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B9BAD">
      <w:pPr>
        <w:spacing w:line="520" w:lineRule="exact"/>
        <w:jc w:val="both"/>
        <w:rPr>
          <w:rFonts w:hint="eastAsia"/>
          <w:lang w:val="en-US" w:eastAsia="zh-CN"/>
        </w:rPr>
      </w:pPr>
      <w:r>
        <w:rPr>
          <w:rFonts w:hint="eastAsia"/>
          <w:lang w:eastAsia="zh-CN"/>
        </w:rPr>
        <w:t>附件</w:t>
      </w:r>
      <w:r>
        <w:rPr>
          <w:rFonts w:hint="eastAsia"/>
          <w:lang w:val="en-US" w:eastAsia="zh-CN"/>
        </w:rPr>
        <w:t>1</w:t>
      </w:r>
    </w:p>
    <w:p w14:paraId="4EFB3E3E">
      <w:pPr>
        <w:spacing w:line="520" w:lineRule="exact"/>
        <w:jc w:val="center"/>
        <w:rPr>
          <w:rFonts w:hint="eastAsia" w:ascii="方正小标宋简体" w:hAnsi="方正小标宋简体" w:eastAsia="方正小标宋简体" w:cs="方正小标宋简体"/>
          <w:b w:val="0"/>
          <w:bCs w:val="0"/>
          <w:color w:val="000000"/>
          <w:sz w:val="44"/>
          <w:szCs w:val="44"/>
          <w:highlight w:val="none"/>
        </w:rPr>
      </w:pPr>
    </w:p>
    <w:p w14:paraId="58CBAF53">
      <w:pPr>
        <w:spacing w:line="520" w:lineRule="exact"/>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贵州盛柯运输服务有限责任公司股权100</w:t>
      </w:r>
      <w:r>
        <w:rPr>
          <w:rFonts w:hint="eastAsia" w:ascii="方正小标宋简体" w:hAnsi="方正小标宋简体" w:eastAsia="方正小标宋简体" w:cs="方正小标宋简体"/>
          <w:b w:val="0"/>
          <w:bCs w:val="0"/>
          <w:color w:val="000000"/>
          <w:sz w:val="44"/>
          <w:szCs w:val="44"/>
          <w:highlight w:val="none"/>
          <w:lang w:val="en-US" w:eastAsia="zh-CN"/>
        </w:rPr>
        <w:t>%股权挂牌</w:t>
      </w:r>
      <w:r>
        <w:rPr>
          <w:rFonts w:hint="eastAsia" w:ascii="方正小标宋简体" w:hAnsi="方正小标宋简体" w:eastAsia="方正小标宋简体" w:cs="方正小标宋简体"/>
          <w:b w:val="0"/>
          <w:bCs w:val="0"/>
          <w:color w:val="000000"/>
          <w:sz w:val="44"/>
          <w:szCs w:val="44"/>
          <w:highlight w:val="none"/>
          <w:lang w:eastAsia="zh-CN"/>
        </w:rPr>
        <w:t>转让</w:t>
      </w:r>
      <w:r>
        <w:rPr>
          <w:rFonts w:hint="eastAsia" w:ascii="方正小标宋简体" w:hAnsi="方正小标宋简体" w:eastAsia="方正小标宋简体" w:cs="方正小标宋简体"/>
          <w:b w:val="0"/>
          <w:bCs w:val="0"/>
          <w:color w:val="000000"/>
          <w:sz w:val="44"/>
          <w:szCs w:val="44"/>
          <w:highlight w:val="none"/>
        </w:rPr>
        <w:t>方案</w:t>
      </w:r>
    </w:p>
    <w:p w14:paraId="16D982DB">
      <w:pPr>
        <w:pStyle w:val="9"/>
        <w:widowControl w:val="0"/>
        <w:wordWrap/>
        <w:spacing w:line="560" w:lineRule="exact"/>
        <w:jc w:val="both"/>
        <w:textAlignment w:val="auto"/>
        <w:rPr>
          <w:rFonts w:hint="default" w:ascii="仿宋" w:hAnsi="仿宋" w:eastAsia="仿宋" w:cs="仿宋_GB2312"/>
          <w:color w:val="02A5E3"/>
          <w:sz w:val="32"/>
          <w:szCs w:val="32"/>
          <w:highlight w:val="none"/>
          <w:u w:val="single" w:color="00B0F0"/>
        </w:rPr>
      </w:pPr>
    </w:p>
    <w:p w14:paraId="61490431">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六盘水市钟山区瑞诚开发投资有限责任公司</w:t>
      </w:r>
      <w:r>
        <w:rPr>
          <w:rFonts w:hint="eastAsia" w:ascii="仿宋_GB2312" w:hAnsi="仿宋_GB2312" w:eastAsia="仿宋_GB2312" w:cs="仿宋_GB2312"/>
          <w:color w:val="auto"/>
          <w:kern w:val="2"/>
          <w:sz w:val="32"/>
          <w:szCs w:val="32"/>
          <w:highlight w:val="none"/>
          <w:lang w:val="en-US" w:eastAsia="zh-CN" w:bidi="ar-SA"/>
        </w:rPr>
        <w:t>（简称“瑞诚公司”，国有企业）拟将持有的</w:t>
      </w:r>
      <w:r>
        <w:rPr>
          <w:rFonts w:hint="eastAsia" w:ascii="仿宋_GB2312" w:hAnsi="仿宋_GB2312" w:eastAsia="仿宋_GB2312" w:cs="仿宋_GB2312"/>
          <w:color w:val="auto"/>
          <w:sz w:val="32"/>
          <w:szCs w:val="32"/>
          <w:lang w:val="en-US" w:eastAsia="zh-CN"/>
        </w:rPr>
        <w:t>贵州盛柯运输服务有限责任公司（</w:t>
      </w:r>
      <w:r>
        <w:rPr>
          <w:rFonts w:hint="eastAsia" w:ascii="仿宋_GB2312" w:hAnsi="仿宋_GB2312" w:eastAsia="仿宋_GB2312" w:cs="仿宋_GB2312"/>
          <w:color w:val="auto"/>
          <w:sz w:val="32"/>
          <w:szCs w:val="32"/>
          <w:highlight w:val="none"/>
          <w:lang w:val="en-US" w:eastAsia="zh-CN"/>
        </w:rPr>
        <w:t>简称“盛柯公司”，国有企业）</w:t>
      </w:r>
      <w:r>
        <w:rPr>
          <w:rFonts w:hint="eastAsia" w:ascii="仿宋_GB2312" w:hAnsi="仿宋_GB2312" w:eastAsia="仿宋_GB2312" w:cs="仿宋_GB2312"/>
          <w:color w:val="auto"/>
          <w:kern w:val="2"/>
          <w:sz w:val="32"/>
          <w:szCs w:val="32"/>
          <w:highlight w:val="none"/>
          <w:lang w:val="en-US" w:eastAsia="zh-CN" w:bidi="ar-SA"/>
        </w:rPr>
        <w:t>100%股权公开挂牌转让，为顺利推进股权转让工作。结合实际，特制定本转让方案。</w:t>
      </w:r>
    </w:p>
    <w:p w14:paraId="04590C4C">
      <w:pPr>
        <w:pStyle w:val="9"/>
        <w:widowControl w:val="0"/>
        <w:wordWrap/>
        <w:spacing w:line="56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一、股权转让标的公司及股东基本情况</w:t>
      </w:r>
    </w:p>
    <w:p w14:paraId="38D196B4">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lang w:val="en-US" w:eastAsia="zh-CN"/>
        </w:rPr>
        <w:t>贵州盛柯运输服务有限责任公司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w:t>
      </w:r>
      <w:r>
        <w:rPr>
          <w:rFonts w:hint="eastAsia" w:ascii="仿宋_GB2312" w:hAnsi="仿宋_GB2312" w:eastAsia="仿宋_GB2312" w:cs="仿宋_GB2312"/>
          <w:b w:val="0"/>
          <w:bCs w:val="0"/>
          <w:color w:val="auto"/>
          <w:sz w:val="32"/>
          <w:szCs w:val="32"/>
          <w:highlight w:val="none"/>
          <w:lang w:val="en-US" w:eastAsia="zh-CN"/>
        </w:rPr>
        <w:t>盛柯公司</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月注册成立，注册地址</w:t>
      </w:r>
      <w:r>
        <w:rPr>
          <w:rFonts w:hint="eastAsia" w:ascii="仿宋_GB2312" w:hAnsi="仿宋_GB2312" w:eastAsia="仿宋_GB2312" w:cs="仿宋_GB2312"/>
          <w:color w:val="auto"/>
          <w:sz w:val="32"/>
          <w:szCs w:val="32"/>
          <w:highlight w:val="none"/>
          <w:u w:val="none"/>
          <w:lang w:eastAsia="zh-CN"/>
        </w:rPr>
        <w:t>位于贵州省六盘水市钟山区月照养生养老基地综合楼</w:t>
      </w:r>
      <w:r>
        <w:rPr>
          <w:rFonts w:hint="eastAsia" w:ascii="仿宋_GB2312" w:hAnsi="仿宋_GB2312" w:eastAsia="仿宋_GB2312" w:cs="仿宋_GB2312"/>
          <w:color w:val="auto"/>
          <w:sz w:val="32"/>
          <w:szCs w:val="32"/>
          <w:highlight w:val="none"/>
          <w:u w:val="none"/>
          <w:lang w:val="en-US" w:eastAsia="zh-CN"/>
        </w:rPr>
        <w:t>4楼，</w:t>
      </w:r>
      <w:r>
        <w:rPr>
          <w:rFonts w:hint="eastAsia" w:ascii="仿宋_GB2312" w:hAnsi="仿宋_GB2312" w:eastAsia="仿宋_GB2312" w:cs="仿宋_GB2312"/>
          <w:color w:val="auto"/>
          <w:sz w:val="32"/>
          <w:szCs w:val="32"/>
          <w:highlight w:val="none"/>
        </w:rPr>
        <w:t>注册资本</w:t>
      </w:r>
      <w:r>
        <w:rPr>
          <w:rFonts w:hint="eastAsia" w:ascii="仿宋_GB2312" w:hAnsi="仿宋_GB2312" w:eastAsia="仿宋_GB2312" w:cs="仿宋_GB2312"/>
          <w:color w:val="auto"/>
          <w:sz w:val="32"/>
          <w:szCs w:val="32"/>
          <w:highlight w:val="none"/>
          <w:lang w:val="en-US" w:eastAsia="zh-CN"/>
        </w:rPr>
        <w:t>8000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已实物实缴</w:t>
      </w:r>
      <w:r>
        <w:rPr>
          <w:rFonts w:hint="eastAsia" w:ascii="仿宋_GB2312" w:hAnsi="仿宋_GB2312" w:eastAsia="仿宋_GB2312" w:cs="仿宋_GB2312"/>
          <w:color w:val="auto"/>
          <w:sz w:val="32"/>
          <w:szCs w:val="32"/>
          <w:highlight w:val="none"/>
          <w:lang w:val="en-US" w:eastAsia="zh-CN"/>
        </w:rPr>
        <w:t>72864679.94元，剩余7135320.06元未实缴，核心资产为土地性质为物流用地。股东六盘水市钟山区瑞诚开发投资有限责任公司</w:t>
      </w:r>
      <w:r>
        <w:rPr>
          <w:rFonts w:hint="eastAsia" w:ascii="仿宋_GB2312" w:hAnsi="仿宋_GB2312" w:eastAsia="仿宋_GB2312" w:cs="仿宋_GB2312"/>
          <w:color w:val="auto"/>
          <w:kern w:val="2"/>
          <w:sz w:val="32"/>
          <w:szCs w:val="32"/>
          <w:highlight w:val="none"/>
          <w:lang w:val="en-US" w:eastAsia="zh-CN" w:bidi="ar-SA"/>
        </w:rPr>
        <w:t>（简称“瑞诚公司”）</w:t>
      </w:r>
      <w:r>
        <w:rPr>
          <w:rFonts w:hint="eastAsia" w:ascii="仿宋_GB2312" w:hAnsi="仿宋_GB2312" w:eastAsia="仿宋_GB2312" w:cs="仿宋_GB2312"/>
          <w:color w:val="auto"/>
          <w:sz w:val="32"/>
          <w:szCs w:val="32"/>
          <w:highlight w:val="none"/>
          <w:lang w:eastAsia="zh-CN"/>
        </w:rPr>
        <w:t>注册资本为</w:t>
      </w:r>
      <w:r>
        <w:rPr>
          <w:rFonts w:hint="eastAsia" w:ascii="仿宋_GB2312" w:hAnsi="仿宋_GB2312" w:eastAsia="仿宋_GB2312" w:cs="仿宋_GB2312"/>
          <w:color w:val="auto"/>
          <w:sz w:val="32"/>
          <w:szCs w:val="32"/>
          <w:highlight w:val="none"/>
          <w:lang w:val="en-US" w:eastAsia="zh-CN"/>
        </w:rPr>
        <w:t>10000万元，未实缴</w:t>
      </w:r>
      <w:r>
        <w:rPr>
          <w:rFonts w:hint="eastAsia" w:ascii="仿宋_GB2312" w:hAnsi="仿宋_GB2312" w:eastAsia="仿宋_GB2312" w:cs="仿宋_GB2312"/>
          <w:color w:val="auto"/>
          <w:sz w:val="32"/>
          <w:szCs w:val="32"/>
          <w:highlight w:val="none"/>
        </w:rPr>
        <w:t>。注册地址</w:t>
      </w:r>
      <w:r>
        <w:rPr>
          <w:rFonts w:hint="eastAsia" w:ascii="仿宋_GB2312" w:hAnsi="仿宋_GB2312" w:eastAsia="仿宋_GB2312" w:cs="仿宋_GB2312"/>
          <w:color w:val="auto"/>
          <w:sz w:val="32"/>
          <w:szCs w:val="32"/>
          <w:highlight w:val="none"/>
          <w:u w:val="none"/>
          <w:lang w:eastAsia="zh-CN"/>
        </w:rPr>
        <w:t>位于贵州省六盘水市钟山区月照养生养老基地综合楼。</w:t>
      </w:r>
    </w:p>
    <w:p w14:paraId="777C6B06">
      <w:pPr>
        <w:ind w:firstLine="640" w:firstLineChars="200"/>
        <w:rPr>
          <w:rFonts w:hint="eastAsia"/>
          <w:sz w:val="32"/>
          <w:szCs w:val="32"/>
        </w:rPr>
      </w:pPr>
      <w:r>
        <w:rPr>
          <w:rFonts w:hint="eastAsia" w:ascii="黑体" w:hAnsi="黑体" w:eastAsia="黑体" w:cs="黑体"/>
          <w:color w:val="auto"/>
          <w:kern w:val="0"/>
          <w:sz w:val="32"/>
          <w:szCs w:val="32"/>
          <w:highlight w:val="none"/>
          <w:lang w:val="en-US" w:eastAsia="zh-CN" w:bidi="ar-SA"/>
        </w:rPr>
        <w:t>二、交易必要性及可行性分析</w:t>
      </w:r>
      <w:r>
        <w:rPr>
          <w:rFonts w:hint="eastAsia"/>
          <w:sz w:val="32"/>
          <w:szCs w:val="32"/>
        </w:rPr>
        <w:t xml:space="preserve">  </w:t>
      </w:r>
    </w:p>
    <w:p w14:paraId="17E1CFFF">
      <w:pPr>
        <w:ind w:firstLine="320" w:firstLineChars="1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（一）交易必要性</w:t>
      </w:r>
    </w:p>
    <w:p w14:paraId="09F48CE3">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优化国有资本布局：通过股权转让实现国有资本向战略性、关键性领域集中，提升资源配置效率。  </w:t>
      </w:r>
    </w:p>
    <w:p w14:paraId="0271389C">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引入战略投资者：借助外部资本和市场经验，推动企业技术升级、管理创新和市场拓展。  </w:t>
      </w:r>
    </w:p>
    <w:p w14:paraId="15569A92">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 缓解财政压力：盘活国有资产，补充财政资金，用于基础设施建设。  </w:t>
      </w:r>
    </w:p>
    <w:p w14:paraId="5CEA9F5C">
      <w:pPr>
        <w:numPr>
          <w:ilvl w:val="0"/>
          <w:numId w:val="0"/>
        </w:numPr>
        <w:ind w:firstLine="640"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（二）交易可行性</w:t>
      </w:r>
    </w:p>
    <w:p w14:paraId="3301700C">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政策支持：符合《企业国有资产交易监督管理办法》《贵州省企业国有资产交易监督管理办法》等法规要求，已获国资监管部门初步认可。  </w:t>
      </w:r>
    </w:p>
    <w:p w14:paraId="0A88E432">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市场条件：盛柯公司资产具备核心竞争力，潜在投资者意向明确。  </w:t>
      </w:r>
    </w:p>
    <w:p w14:paraId="51D7C2A6">
      <w:pPr>
        <w:pStyle w:val="9"/>
        <w:widowControl w:val="0"/>
        <w:wordWrap/>
        <w:spacing w:line="560" w:lineRule="exact"/>
        <w:ind w:firstLine="640" w:firstLineChars="200"/>
        <w:jc w:val="both"/>
        <w:textAlignment w:val="auto"/>
        <w:rPr>
          <w:rFonts w:hint="eastAsia"/>
        </w:rPr>
      </w:pPr>
      <w:r>
        <w:rPr>
          <w:rFonts w:hint="eastAsia" w:ascii="仿宋_GB2312" w:hAnsi="仿宋_GB2312" w:eastAsia="仿宋_GB2312" w:cs="仿宋_GB2312"/>
          <w:color w:val="auto"/>
          <w:sz w:val="32"/>
          <w:szCs w:val="32"/>
          <w:highlight w:val="none"/>
          <w:lang w:val="en-US" w:eastAsia="zh-CN"/>
        </w:rPr>
        <w:t xml:space="preserve">3. 法律合规性：盛柯公司股权权属清晰，无重大纠纷，审计、评估程序已完成。  </w:t>
      </w:r>
    </w:p>
    <w:p w14:paraId="67819324">
      <w:pPr>
        <w:numPr>
          <w:ilvl w:val="0"/>
          <w:numId w:val="0"/>
        </w:numPr>
        <w:rPr>
          <w:rFonts w:hint="eastAsia"/>
          <w:b/>
          <w:bCs/>
          <w:sz w:val="32"/>
          <w:szCs w:val="32"/>
        </w:rPr>
      </w:pPr>
      <w:r>
        <w:rPr>
          <w:rFonts w:hint="eastAsia"/>
          <w:b/>
          <w:bCs/>
          <w:sz w:val="32"/>
          <w:szCs w:val="32"/>
          <w:lang w:val="en-US" w:eastAsia="zh-CN"/>
        </w:rPr>
        <w:t xml:space="preserve">    三、</w:t>
      </w:r>
      <w:r>
        <w:rPr>
          <w:rFonts w:hint="eastAsia"/>
          <w:b/>
          <w:bCs/>
          <w:sz w:val="32"/>
          <w:szCs w:val="32"/>
        </w:rPr>
        <w:t>资金用途</w:t>
      </w:r>
    </w:p>
    <w:p w14:paraId="6C9D16C3">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转让所得资金拟用于以下方向：  </w:t>
      </w:r>
    </w:p>
    <w:p w14:paraId="3A5B66B6">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偿还企业债务：降低瑞诚公司企业负债率，优化财务结构。  </w:t>
      </w:r>
    </w:p>
    <w:p w14:paraId="188BF8D0">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主业投资：投入企业核心技术研发、产能扩建或产业链整合。  </w:t>
      </w:r>
    </w:p>
    <w:p w14:paraId="309B1904">
      <w:pPr>
        <w:pStyle w:val="9"/>
        <w:widowControl w:val="0"/>
        <w:wordWrap/>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3.返还公司开发成本，完善基础设施建设。</w:t>
      </w:r>
    </w:p>
    <w:p w14:paraId="639EF68B">
      <w:pPr>
        <w:pStyle w:val="9"/>
        <w:widowControl w:val="0"/>
        <w:wordWrap/>
        <w:spacing w:line="56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、转让价格</w:t>
      </w:r>
    </w:p>
    <w:p w14:paraId="16C6ECFB">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选聘具有资质的中介机构出具的资产评估结果为7410.59万元（大写：柒仟肆佰壹拾万零伍仟玖佰元整），盛柯公司已实缴资本金7285.928万元，评估价值7410.59万元，因此转让的100%的股权对应出资义务为7410.59万元，以7410.59万元作为盛柯公司100%股权转让价格。转让后由受让方补足盛柯公司剩余未实缴的注册资本。</w:t>
      </w:r>
    </w:p>
    <w:p w14:paraId="2FA6C54D">
      <w:pPr>
        <w:ind w:firstLine="643" w:firstLineChars="200"/>
        <w:rPr>
          <w:rFonts w:hint="eastAsia"/>
          <w:sz w:val="32"/>
          <w:szCs w:val="32"/>
        </w:rPr>
      </w:pPr>
      <w:r>
        <w:rPr>
          <w:rFonts w:hint="eastAsia"/>
          <w:b/>
          <w:bCs/>
          <w:sz w:val="32"/>
          <w:szCs w:val="32"/>
          <w:lang w:val="en-US" w:eastAsia="zh-CN"/>
        </w:rPr>
        <w:t>五</w:t>
      </w:r>
      <w:r>
        <w:rPr>
          <w:rFonts w:hint="eastAsia"/>
          <w:b/>
          <w:bCs/>
          <w:sz w:val="32"/>
          <w:szCs w:val="32"/>
        </w:rPr>
        <w:t>、交易方案</w:t>
      </w:r>
      <w:r>
        <w:rPr>
          <w:rFonts w:hint="eastAsia"/>
          <w:sz w:val="32"/>
          <w:szCs w:val="32"/>
        </w:rPr>
        <w:t xml:space="preserve">  </w:t>
      </w:r>
    </w:p>
    <w:p w14:paraId="74D7F1DB">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（一）交易方式  </w:t>
      </w:r>
    </w:p>
    <w:p w14:paraId="1FA940CA">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公开挂牌转让：通过公共资源交易中心公开征集受让方，确保程序透明。  </w:t>
      </w:r>
    </w:p>
    <w:p w14:paraId="36A44AB1">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（二）定价机制  </w:t>
      </w:r>
    </w:p>
    <w:p w14:paraId="50924651">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以经备案的资产评估结果为基准确定底价。溢价部分可通过竞价机制实现国有资产增值。  </w:t>
      </w:r>
    </w:p>
    <w:p w14:paraId="55F255A6">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（三）受让方资格 </w:t>
      </w:r>
    </w:p>
    <w:p w14:paraId="757BE773">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1.意向受让方必须为中国境内合法存续的法人，且无重大违法记录的负面清单。</w:t>
      </w:r>
    </w:p>
    <w:p w14:paraId="43ECDFF9">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2.本项目不接受联合体受让。</w:t>
      </w:r>
    </w:p>
    <w:p w14:paraId="64251457">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3.法律法规规定的其他条件。 </w:t>
      </w:r>
    </w:p>
    <w:p w14:paraId="546C0016">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（四）与转让相关条件 </w:t>
      </w:r>
    </w:p>
    <w:p w14:paraId="0B6289F5">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需为具备行业经验、资金实力的企业或投资机构。  </w:t>
      </w:r>
    </w:p>
    <w:p w14:paraId="33747703">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承诺业务投资保持与盛柯公司持有地块性质一致。  </w:t>
      </w:r>
    </w:p>
    <w:p w14:paraId="30D2EF19">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 接受股权转让后的开发投资与政府规划相符合。</w:t>
      </w:r>
    </w:p>
    <w:p w14:paraId="3C1EB785">
      <w:pPr>
        <w:ind w:firstLine="643" w:firstLineChars="200"/>
        <w:rPr>
          <w:rFonts w:hint="eastAsia"/>
          <w:sz w:val="32"/>
          <w:szCs w:val="32"/>
        </w:rPr>
      </w:pPr>
      <w:r>
        <w:rPr>
          <w:rFonts w:hint="eastAsia"/>
          <w:b/>
          <w:bCs/>
          <w:sz w:val="32"/>
          <w:szCs w:val="32"/>
          <w:lang w:val="en-US" w:eastAsia="zh-CN"/>
        </w:rPr>
        <w:t>六</w:t>
      </w:r>
      <w:r>
        <w:rPr>
          <w:rFonts w:hint="eastAsia"/>
          <w:b/>
          <w:bCs/>
          <w:sz w:val="32"/>
          <w:szCs w:val="32"/>
        </w:rPr>
        <w:t>、交易前后股权结构变化</w:t>
      </w:r>
      <w:r>
        <w:rPr>
          <w:rFonts w:hint="eastAsia"/>
          <w:sz w:val="32"/>
          <w:szCs w:val="32"/>
        </w:rPr>
        <w:t xml:space="preserve"> </w:t>
      </w:r>
    </w:p>
    <w:p w14:paraId="20D1CB8A">
      <w:pPr>
        <w:ind w:firstLine="840" w:firstLineChars="400"/>
        <w:rPr>
          <w:rFonts w:hint="eastAsia" w:ascii="仿宋_GB2312" w:hAnsi="仿宋_GB2312" w:eastAsia="仿宋_GB2312" w:cs="仿宋_GB2312"/>
          <w:color w:val="auto"/>
          <w:sz w:val="32"/>
          <w:szCs w:val="32"/>
          <w:highlight w:val="none"/>
          <w:lang w:val="en-US" w:eastAsia="zh-CN"/>
        </w:rPr>
      </w:pPr>
      <w:r>
        <w:drawing>
          <wp:inline distT="0" distB="0" distL="114300" distR="114300">
            <wp:extent cx="4592320" cy="1562100"/>
            <wp:effectExtent l="0" t="0" r="177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4592320" cy="1562100"/>
                    </a:xfrm>
                    <a:prstGeom prst="rect">
                      <a:avLst/>
                    </a:prstGeom>
                    <a:noFill/>
                    <a:ln>
                      <a:noFill/>
                    </a:ln>
                  </pic:spPr>
                </pic:pic>
              </a:graphicData>
            </a:graphic>
          </wp:inline>
        </w:drawing>
      </w:r>
      <w:r>
        <w:rPr>
          <w:rFonts w:hint="eastAsia"/>
        </w:rPr>
        <w:t>---</w:t>
      </w:r>
    </w:p>
    <w:p w14:paraId="529E36BF">
      <w:pPr>
        <w:pStyle w:val="9"/>
        <w:widowControl w:val="0"/>
        <w:numPr>
          <w:ilvl w:val="0"/>
          <w:numId w:val="0"/>
        </w:numPr>
        <w:wordWrap/>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七、职工安置</w:t>
      </w:r>
    </w:p>
    <w:p w14:paraId="5D0CC66D">
      <w:pPr>
        <w:pStyle w:val="9"/>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截至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盛柯公司</w:t>
      </w:r>
      <w:r>
        <w:rPr>
          <w:rFonts w:hint="eastAsia" w:ascii="仿宋_GB2312" w:hAnsi="仿宋_GB2312" w:eastAsia="仿宋_GB2312" w:cs="仿宋_GB2312"/>
          <w:sz w:val="32"/>
          <w:szCs w:val="32"/>
          <w:highlight w:val="none"/>
        </w:rPr>
        <w:t>签订合同员工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人，劳务派遣</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人。因此，该股权转让事项不涉及职工安置问题。</w:t>
      </w:r>
    </w:p>
    <w:p w14:paraId="54CDBCE5">
      <w:pPr>
        <w:pStyle w:val="9"/>
        <w:widowControl w:val="0"/>
        <w:numPr>
          <w:ilvl w:val="0"/>
          <w:numId w:val="0"/>
        </w:numPr>
        <w:wordWrap/>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八、债权债务处置</w:t>
      </w:r>
    </w:p>
    <w:p w14:paraId="1753F9CC">
      <w:pPr>
        <w:pStyle w:val="9"/>
        <w:widowControl w:val="0"/>
        <w:wordWrap/>
        <w:spacing w:line="560" w:lineRule="exact"/>
        <w:ind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eastAsia="zh-CN"/>
        </w:rPr>
        <w:t>出具审计评估结果</w:t>
      </w:r>
      <w:r>
        <w:rPr>
          <w:rFonts w:hint="eastAsia" w:ascii="仿宋_GB2312" w:hAnsi="仿宋_GB2312" w:eastAsia="仿宋_GB2312" w:cs="仿宋_GB2312"/>
          <w:color w:val="auto"/>
          <w:sz w:val="32"/>
          <w:szCs w:val="32"/>
          <w:highlight w:val="none"/>
        </w:rPr>
        <w:t>为基准日，经本次清产核资专项审计后确认的生产经营活动、债权债务由原法人实体承担；该基准日之后，标的企业债权债务由转让后的标的企业继续承继。</w:t>
      </w:r>
    </w:p>
    <w:p w14:paraId="6DC40D11">
      <w:pPr>
        <w:pStyle w:val="9"/>
        <w:widowControl w:val="0"/>
        <w:wordWrap/>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黑体" w:hAnsi="黑体" w:eastAsia="黑体" w:cs="黑体"/>
          <w:color w:val="auto"/>
          <w:kern w:val="0"/>
          <w:sz w:val="32"/>
          <w:szCs w:val="32"/>
          <w:highlight w:val="none"/>
          <w:lang w:val="en-US" w:eastAsia="zh-CN"/>
        </w:rPr>
        <w:t>九</w:t>
      </w:r>
      <w:r>
        <w:rPr>
          <w:rFonts w:hint="eastAsia" w:ascii="黑体" w:hAnsi="黑体" w:eastAsia="黑体" w:cs="黑体"/>
          <w:color w:val="auto"/>
          <w:kern w:val="0"/>
          <w:sz w:val="32"/>
          <w:szCs w:val="32"/>
          <w:highlight w:val="none"/>
        </w:rPr>
        <w:t>、实施程序和步骤</w:t>
      </w:r>
    </w:p>
    <w:p w14:paraId="37C54371">
      <w:pPr>
        <w:pStyle w:val="9"/>
        <w:widowControl w:val="0"/>
        <w:wordWrap/>
        <w:spacing w:line="560" w:lineRule="exact"/>
        <w:ind w:firstLine="640" w:firstLineChars="200"/>
        <w:jc w:val="both"/>
        <w:textAlignment w:val="auto"/>
        <w:rPr>
          <w:rFonts w:hint="default" w:ascii="仿宋_GB2312" w:hAnsi="仿宋_GB2312" w:eastAsia="仿宋_GB2312" w:cs="仿宋_GB2312"/>
          <w:b w:val="0"/>
          <w:i w:val="0"/>
          <w:caps w:val="0"/>
          <w:color w:val="auto"/>
          <w:spacing w:val="0"/>
          <w:sz w:val="32"/>
          <w:szCs w:val="32"/>
          <w:highlight w:val="none"/>
          <w:lang w:val="en-US" w:eastAsia="zh-CN"/>
        </w:rPr>
      </w:pPr>
      <w:r>
        <w:rPr>
          <w:rFonts w:hint="eastAsia" w:ascii="仿宋_GB2312" w:eastAsia="仿宋_GB2312"/>
          <w:color w:val="auto"/>
          <w:sz w:val="32"/>
          <w:szCs w:val="32"/>
          <w:highlight w:val="none"/>
          <w:lang w:val="en-US" w:eastAsia="zh-CN"/>
        </w:rPr>
        <w:t>根据《中华人民共和国公司法》《</w:t>
      </w:r>
      <w:r>
        <w:rPr>
          <w:rFonts w:hint="eastAsia" w:ascii="仿宋_GB2312" w:hAnsi="仿宋_GB2312" w:eastAsia="仿宋_GB2312" w:cs="仿宋_GB2312"/>
          <w:b w:val="0"/>
          <w:i w:val="0"/>
          <w:caps w:val="0"/>
          <w:color w:val="auto"/>
          <w:spacing w:val="0"/>
          <w:sz w:val="32"/>
          <w:szCs w:val="32"/>
          <w:highlight w:val="none"/>
          <w:lang w:eastAsia="zh-CN"/>
        </w:rPr>
        <w:t>贵州省</w:t>
      </w:r>
      <w:r>
        <w:rPr>
          <w:rFonts w:hint="eastAsia" w:ascii="仿宋_GB2312" w:hAnsi="仿宋_GB2312" w:eastAsia="仿宋_GB2312" w:cs="仿宋_GB2312"/>
          <w:b w:val="0"/>
          <w:i w:val="0"/>
          <w:caps w:val="0"/>
          <w:color w:val="auto"/>
          <w:spacing w:val="0"/>
          <w:sz w:val="32"/>
          <w:szCs w:val="32"/>
          <w:highlight w:val="none"/>
        </w:rPr>
        <w:t>企业国有资产交易监督管理</w:t>
      </w:r>
      <w:r>
        <w:rPr>
          <w:rFonts w:hint="eastAsia" w:ascii="仿宋_GB2312" w:hAnsi="仿宋_GB2312" w:eastAsia="仿宋_GB2312" w:cs="仿宋_GB2312"/>
          <w:color w:val="auto"/>
          <w:sz w:val="32"/>
          <w:szCs w:val="32"/>
          <w:highlight w:val="none"/>
        </w:rPr>
        <w:t>办法</w:t>
      </w:r>
      <w:r>
        <w:rPr>
          <w:rFonts w:hint="eastAsia" w:ascii="仿宋_GB2312" w:hAnsi="仿宋_GB2312" w:eastAsia="仿宋_GB2312" w:cs="仿宋_GB2312"/>
          <w:b w:val="0"/>
          <w:i w:val="0"/>
          <w:caps w:val="0"/>
          <w:color w:val="auto"/>
          <w:spacing w:val="0"/>
          <w:sz w:val="32"/>
          <w:szCs w:val="32"/>
          <w:highlight w:val="none"/>
        </w:rPr>
        <w:t>》</w:t>
      </w:r>
      <w:r>
        <w:rPr>
          <w:rFonts w:hint="eastAsia" w:ascii="仿宋_GB2312" w:hAnsi="仿宋_GB2312" w:eastAsia="仿宋_GB2312" w:cs="仿宋_GB2312"/>
          <w:b w:val="0"/>
          <w:i w:val="0"/>
          <w:caps w:val="0"/>
          <w:color w:val="auto"/>
          <w:spacing w:val="0"/>
          <w:sz w:val="32"/>
          <w:szCs w:val="32"/>
          <w:highlight w:val="none"/>
          <w:lang w:val="en-US" w:eastAsia="zh-CN"/>
        </w:rPr>
        <w:t>等相关法律法规的要求，股权转让应依照以下步骤进行：</w:t>
      </w:r>
    </w:p>
    <w:p w14:paraId="65622293">
      <w:pPr>
        <w:pStyle w:val="9"/>
        <w:widowControl w:val="0"/>
        <w:wordWrap/>
        <w:spacing w:line="560" w:lineRule="exact"/>
        <w:ind w:firstLine="643" w:firstLineChars="200"/>
        <w:jc w:val="both"/>
        <w:textAlignment w:val="auto"/>
        <w:rPr>
          <w:rFonts w:hint="default"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（一）方案制定。</w:t>
      </w:r>
    </w:p>
    <w:p w14:paraId="6F94B15F">
      <w:pPr>
        <w:widowControl w:val="0"/>
        <w:wordWrap/>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仿宋_GB2312" w:eastAsia="仿宋_GB2312"/>
          <w:color w:val="auto"/>
          <w:sz w:val="32"/>
          <w:szCs w:val="32"/>
          <w:highlight w:val="none"/>
          <w:lang w:val="en-US" w:eastAsia="zh-CN"/>
        </w:rPr>
        <w:t>制定《贵州盛柯运输服务有限责任公司股权100%股权挂</w:t>
      </w:r>
      <w:r>
        <w:rPr>
          <w:rFonts w:hint="eastAsia" w:ascii="仿宋_GB2312" w:hAnsi="仿宋_GB2312" w:eastAsia="仿宋_GB2312" w:cs="仿宋_GB2312"/>
          <w:color w:val="auto"/>
          <w:kern w:val="0"/>
          <w:sz w:val="32"/>
          <w:szCs w:val="32"/>
          <w:highlight w:val="none"/>
          <w:lang w:val="en-US" w:eastAsia="zh-CN" w:bidi="ar-SA"/>
        </w:rPr>
        <w:t>牌转让方案》。</w:t>
      </w:r>
    </w:p>
    <w:p w14:paraId="27E51D38">
      <w:pPr>
        <w:widowControl w:val="0"/>
        <w:wordWrap/>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（二）内部决策。</w:t>
      </w:r>
    </w:p>
    <w:p w14:paraId="1926301C">
      <w:pPr>
        <w:pStyle w:val="9"/>
        <w:widowControl w:val="0"/>
        <w:wordWrap/>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盛柯公司股权100%股权挂</w:t>
      </w:r>
      <w:r>
        <w:rPr>
          <w:rFonts w:hint="eastAsia" w:ascii="仿宋_GB2312" w:hAnsi="仿宋_GB2312" w:eastAsia="仿宋_GB2312" w:cs="仿宋_GB2312"/>
          <w:color w:val="auto"/>
          <w:kern w:val="0"/>
          <w:sz w:val="32"/>
          <w:szCs w:val="32"/>
          <w:highlight w:val="none"/>
          <w:lang w:val="en-US" w:eastAsia="zh-CN" w:bidi="ar-SA"/>
        </w:rPr>
        <w:t>牌转让方案</w:t>
      </w:r>
      <w:r>
        <w:rPr>
          <w:rFonts w:hint="eastAsia" w:ascii="仿宋_GB2312" w:hAnsi="仿宋_GB2312" w:eastAsia="仿宋_GB2312" w:cs="仿宋_GB2312"/>
          <w:color w:val="auto"/>
          <w:sz w:val="32"/>
          <w:szCs w:val="32"/>
          <w:highlight w:val="none"/>
          <w:lang w:eastAsia="zh-CN"/>
        </w:rPr>
        <w:t>内部预审程序，将</w:t>
      </w:r>
      <w:r>
        <w:rPr>
          <w:rFonts w:hint="eastAsia" w:ascii="仿宋_GB2312" w:hAnsi="仿宋_GB2312" w:eastAsia="仿宋_GB2312" w:cs="仿宋_GB2312"/>
          <w:color w:val="auto"/>
          <w:sz w:val="32"/>
          <w:szCs w:val="32"/>
          <w:highlight w:val="none"/>
          <w:lang w:val="en-US" w:eastAsia="zh-CN"/>
        </w:rPr>
        <w:t>股权转让</w:t>
      </w:r>
      <w:r>
        <w:rPr>
          <w:rFonts w:hint="eastAsia" w:ascii="仿宋_GB2312" w:hAnsi="仿宋_GB2312" w:eastAsia="仿宋_GB2312" w:cs="仿宋_GB2312"/>
          <w:color w:val="auto"/>
          <w:sz w:val="32"/>
          <w:szCs w:val="32"/>
          <w:highlight w:val="none"/>
        </w:rPr>
        <w:t>方案</w:t>
      </w:r>
      <w:r>
        <w:rPr>
          <w:rFonts w:hint="eastAsia" w:ascii="仿宋_GB2312" w:hAnsi="仿宋_GB2312" w:eastAsia="仿宋_GB2312" w:cs="仿宋_GB2312"/>
          <w:color w:val="auto"/>
          <w:sz w:val="32"/>
          <w:szCs w:val="32"/>
          <w:highlight w:val="none"/>
          <w:lang w:eastAsia="zh-CN"/>
        </w:rPr>
        <w:t>报董事会审议，形成董事会决议，报股东会研究同意</w:t>
      </w:r>
      <w:r>
        <w:rPr>
          <w:rFonts w:hint="eastAsia" w:ascii="仿宋_GB2312" w:hAnsi="仿宋_GB2312" w:eastAsia="仿宋_GB2312" w:cs="仿宋_GB2312"/>
          <w:color w:val="auto"/>
          <w:sz w:val="32"/>
          <w:szCs w:val="32"/>
          <w:highlight w:val="none"/>
        </w:rPr>
        <w:t>。</w:t>
      </w:r>
    </w:p>
    <w:p w14:paraId="14AA5965">
      <w:pPr>
        <w:pStyle w:val="9"/>
        <w:widowControl w:val="0"/>
        <w:numPr>
          <w:ilvl w:val="0"/>
          <w:numId w:val="0"/>
        </w:numPr>
        <w:wordWrap/>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方案报批。</w:t>
      </w:r>
    </w:p>
    <w:p w14:paraId="121F09D9">
      <w:pPr>
        <w:pStyle w:val="9"/>
        <w:widowControl w:val="0"/>
        <w:numPr>
          <w:ilvl w:val="0"/>
          <w:numId w:val="0"/>
        </w:numPr>
        <w:wordWrap/>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 xml:space="preserve"> 公司内部决策完毕后，报履行出资人机构及国资中心审批后执行。</w:t>
      </w:r>
    </w:p>
    <w:p w14:paraId="1365EB77">
      <w:pPr>
        <w:widowControl w:val="0"/>
        <w:wordWrap/>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（四）清产核资。</w:t>
      </w:r>
    </w:p>
    <w:p w14:paraId="2C174AC8">
      <w:pPr>
        <w:widowControl w:val="0"/>
        <w:wordWrap/>
        <w:adjustRightInd/>
        <w:snapToGrid/>
        <w:spacing w:line="560" w:lineRule="exact"/>
        <w:ind w:firstLine="643" w:firstLineChars="200"/>
        <w:textAlignment w:val="auto"/>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 xml:space="preserve">  无</w:t>
      </w:r>
    </w:p>
    <w:p w14:paraId="79F4BF91">
      <w:pPr>
        <w:widowControl w:val="0"/>
        <w:wordWrap/>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（五）审计评估。</w:t>
      </w:r>
      <w:bookmarkStart w:id="0" w:name="_GoBack"/>
      <w:bookmarkEnd w:id="0"/>
    </w:p>
    <w:p w14:paraId="02CAB603">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聘请</w:t>
      </w:r>
      <w:r>
        <w:rPr>
          <w:rFonts w:hint="eastAsia" w:ascii="仿宋_GB2312" w:hAnsi="仿宋_GB2312" w:eastAsia="仿宋_GB2312" w:cs="仿宋_GB2312"/>
          <w:color w:val="auto"/>
          <w:sz w:val="32"/>
          <w:szCs w:val="32"/>
          <w:highlight w:val="none"/>
          <w:lang w:eastAsia="zh-CN"/>
        </w:rPr>
        <w:t>中勤万信会计事务所贵州分所</w:t>
      </w:r>
      <w:r>
        <w:rPr>
          <w:rFonts w:hint="eastAsia" w:ascii="仿宋_GB2312" w:hAnsi="仿宋_GB2312" w:eastAsia="仿宋_GB2312" w:cs="仿宋_GB2312"/>
          <w:color w:val="auto"/>
          <w:sz w:val="32"/>
          <w:szCs w:val="32"/>
          <w:highlight w:val="none"/>
          <w:lang w:val="en-US" w:eastAsia="zh-CN"/>
        </w:rPr>
        <w:t>实施审计，在清产核资和审计的基础上，委托</w:t>
      </w:r>
      <w:r>
        <w:rPr>
          <w:rFonts w:hint="eastAsia" w:ascii="仿宋_GB2312" w:hAnsi="仿宋_GB2312" w:eastAsia="仿宋_GB2312" w:cs="仿宋_GB2312"/>
          <w:sz w:val="32"/>
          <w:szCs w:val="32"/>
          <w:highlight w:val="none"/>
          <w:lang w:eastAsia="zh-CN"/>
        </w:rPr>
        <w:t>贵州中信智恒资产评估有限公司</w:t>
      </w:r>
      <w:r>
        <w:rPr>
          <w:rFonts w:hint="eastAsia" w:ascii="仿宋_GB2312" w:hAnsi="仿宋_GB2312" w:eastAsia="仿宋_GB2312" w:cs="仿宋_GB2312"/>
          <w:color w:val="auto"/>
          <w:sz w:val="32"/>
          <w:szCs w:val="32"/>
          <w:highlight w:val="none"/>
          <w:lang w:val="en-US" w:eastAsia="zh-CN"/>
        </w:rPr>
        <w:t>进行资产评估。资产评估报告经中国资产评估协会备案后，评估价格7410.59万元。</w:t>
      </w:r>
    </w:p>
    <w:p w14:paraId="5D625A6B">
      <w:pPr>
        <w:widowControl w:val="0"/>
        <w:wordWrap/>
        <w:adjustRightInd/>
        <w:snapToGrid/>
        <w:spacing w:line="560" w:lineRule="exact"/>
        <w:ind w:firstLine="643" w:firstLineChars="200"/>
        <w:textAlignment w:val="auto"/>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（六）公开挂牌转让。</w:t>
      </w:r>
    </w:p>
    <w:p w14:paraId="48795568">
      <w:pPr>
        <w:pStyle w:val="9"/>
        <w:widowControl w:val="0"/>
        <w:wordWrap/>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获得</w:t>
      </w:r>
      <w:r>
        <w:rPr>
          <w:rFonts w:hint="eastAsia" w:ascii="仿宋_GB2312" w:hAnsi="仿宋_GB2312" w:eastAsia="仿宋_GB2312" w:cs="仿宋_GB2312"/>
          <w:color w:val="auto"/>
          <w:kern w:val="2"/>
          <w:sz w:val="32"/>
          <w:szCs w:val="32"/>
          <w:highlight w:val="none"/>
          <w:lang w:eastAsia="zh-CN"/>
        </w:rPr>
        <w:t>钟山产业园区</w:t>
      </w:r>
      <w:r>
        <w:rPr>
          <w:rFonts w:hint="eastAsia" w:ascii="仿宋_GB2312" w:hAnsi="仿宋_GB2312" w:eastAsia="仿宋_GB2312" w:cs="仿宋_GB2312"/>
          <w:color w:val="auto"/>
          <w:sz w:val="32"/>
          <w:szCs w:val="32"/>
          <w:highlight w:val="none"/>
          <w:lang w:val="en-US" w:eastAsia="zh-CN"/>
        </w:rPr>
        <w:t>批复后，委托有资质的产权交易机构申请公开挂牌转让股权，公开征集受让方。</w:t>
      </w:r>
    </w:p>
    <w:p w14:paraId="757CA300">
      <w:pPr>
        <w:widowControl w:val="0"/>
        <w:wordWrap/>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（七）签订协议。</w:t>
      </w:r>
    </w:p>
    <w:p w14:paraId="1468F37C">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征集到受让方转让成交后，转让方和受让方签订股权转让合同，取得产权交易机构出具的《产权交易凭证》。</w:t>
      </w:r>
    </w:p>
    <w:p w14:paraId="3199CDE3">
      <w:pPr>
        <w:widowControl w:val="0"/>
        <w:wordWrap/>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（八）股权变更。</w:t>
      </w:r>
    </w:p>
    <w:p w14:paraId="226AAB3C">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转让方和受让方凭公共资源交易中心出具的产权交易凭证以及相应的材料办理产权登记及变更等手续。</w:t>
      </w:r>
    </w:p>
    <w:p w14:paraId="3DDA8FDC">
      <w:pPr>
        <w:pStyle w:val="9"/>
        <w:widowControl w:val="0"/>
        <w:wordWrap/>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kern w:val="0"/>
          <w:sz w:val="32"/>
          <w:szCs w:val="32"/>
          <w:highlight w:val="none"/>
          <w:lang w:val="en-US" w:eastAsia="zh-CN"/>
        </w:rPr>
        <w:t>十、保障</w:t>
      </w:r>
      <w:r>
        <w:rPr>
          <w:rFonts w:hint="eastAsia" w:ascii="黑体" w:hAnsi="黑体" w:eastAsia="黑体" w:cs="黑体"/>
          <w:color w:val="auto"/>
          <w:sz w:val="32"/>
          <w:szCs w:val="32"/>
          <w:highlight w:val="none"/>
        </w:rPr>
        <w:t>措施</w:t>
      </w:r>
    </w:p>
    <w:p w14:paraId="2AEFA7CD">
      <w:pPr>
        <w:widowControl w:val="0"/>
        <w:wordWrap/>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（一）健全组织，加强领导。</w:t>
      </w:r>
    </w:p>
    <w:p w14:paraId="4B8F24FA">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lang w:val="en-US" w:eastAsia="zh-CN"/>
        </w:rPr>
        <w:t>贵州盛柯运输服务有限责任公司</w:t>
      </w:r>
      <w:r>
        <w:rPr>
          <w:rFonts w:hint="eastAsia" w:ascii="仿宋_GB2312" w:hAnsi="仿宋_GB2312" w:eastAsia="仿宋_GB2312" w:cs="仿宋_GB2312"/>
          <w:color w:val="auto"/>
          <w:sz w:val="32"/>
          <w:szCs w:val="32"/>
          <w:highlight w:val="none"/>
          <w:lang w:val="en-US" w:eastAsia="zh-CN"/>
        </w:rPr>
        <w:t>100%股权公开挂牌转让推进工作领导小组，依法依规，统筹推进股权转让相关工作，协调</w:t>
      </w:r>
      <w:r>
        <w:rPr>
          <w:rFonts w:hint="eastAsia" w:ascii="仿宋_GB2312" w:hAnsi="仿宋_GB2312" w:eastAsia="仿宋_GB2312" w:cs="仿宋_GB2312"/>
          <w:color w:val="auto"/>
          <w:sz w:val="32"/>
          <w:szCs w:val="32"/>
          <w:highlight w:val="none"/>
        </w:rPr>
        <w:t>解决</w:t>
      </w:r>
      <w:r>
        <w:rPr>
          <w:rFonts w:hint="eastAsia" w:ascii="仿宋_GB2312" w:hAnsi="仿宋_GB2312" w:eastAsia="仿宋_GB2312" w:cs="仿宋_GB2312"/>
          <w:color w:val="auto"/>
          <w:sz w:val="32"/>
          <w:szCs w:val="32"/>
          <w:highlight w:val="none"/>
          <w:lang w:val="en-US" w:eastAsia="zh-CN"/>
        </w:rPr>
        <w:t>股权</w:t>
      </w:r>
      <w:r>
        <w:rPr>
          <w:rFonts w:hint="eastAsia" w:ascii="仿宋_GB2312" w:hAnsi="仿宋_GB2312" w:eastAsia="仿宋_GB2312" w:cs="仿宋_GB2312"/>
          <w:color w:val="auto"/>
          <w:sz w:val="32"/>
          <w:szCs w:val="32"/>
          <w:highlight w:val="none"/>
        </w:rPr>
        <w:t>转让过程中遇到的重大问题。</w:t>
      </w:r>
    </w:p>
    <w:p w14:paraId="33B58012">
      <w:pPr>
        <w:pStyle w:val="9"/>
        <w:widowControl w:val="0"/>
        <w:numPr>
          <w:ilvl w:val="0"/>
          <w:numId w:val="0"/>
        </w:numPr>
        <w:wordWrap/>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（二）统筹协调，落实分工。</w:t>
      </w:r>
    </w:p>
    <w:p w14:paraId="662B192D">
      <w:pPr>
        <w:pStyle w:val="9"/>
        <w:widowControl w:val="0"/>
        <w:wordWrap/>
        <w:spacing w:line="560" w:lineRule="exact"/>
        <w:ind w:firstLine="640" w:firstLineChars="200"/>
        <w:jc w:val="both"/>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股权</w:t>
      </w:r>
      <w:r>
        <w:rPr>
          <w:rFonts w:hint="eastAsia" w:ascii="仿宋_GB2312" w:hAnsi="仿宋_GB2312" w:eastAsia="仿宋_GB2312" w:cs="仿宋_GB2312"/>
          <w:color w:val="auto"/>
          <w:sz w:val="32"/>
          <w:szCs w:val="32"/>
          <w:highlight w:val="none"/>
        </w:rPr>
        <w:t>转让工作推进过程当中，各责任单位、部门务必要认真履职、相互配合，层层落实责任分工，确保</w:t>
      </w:r>
      <w:r>
        <w:rPr>
          <w:rFonts w:hint="eastAsia" w:ascii="仿宋_GB2312" w:hAnsi="仿宋_GB2312" w:eastAsia="仿宋_GB2312" w:cs="仿宋_GB2312"/>
          <w:color w:val="auto"/>
          <w:sz w:val="32"/>
          <w:szCs w:val="32"/>
          <w:highlight w:val="none"/>
          <w:lang w:val="en-US" w:eastAsia="zh-CN"/>
        </w:rPr>
        <w:t>股权</w:t>
      </w:r>
      <w:r>
        <w:rPr>
          <w:rFonts w:hint="eastAsia" w:ascii="仿宋_GB2312" w:hAnsi="仿宋_GB2312" w:eastAsia="仿宋_GB2312" w:cs="仿宋_GB2312"/>
          <w:color w:val="auto"/>
          <w:sz w:val="32"/>
          <w:szCs w:val="32"/>
          <w:highlight w:val="none"/>
        </w:rPr>
        <w:t>转让工作按计划推进。</w:t>
      </w:r>
    </w:p>
    <w:p w14:paraId="6A34EE4E">
      <w:pPr>
        <w:pStyle w:val="4"/>
        <w:widowControl w:val="0"/>
        <w:wordWrap/>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（三）依法依规，规范操作。</w:t>
      </w:r>
    </w:p>
    <w:p w14:paraId="46EC59E6">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依法依规，民主决策，确保决策执行过程符合政策程序，建立信息公开制度，接受社会监督，确保</w:t>
      </w:r>
      <w:r>
        <w:rPr>
          <w:rFonts w:hint="eastAsia" w:ascii="仿宋_GB2312" w:hAnsi="仿宋_GB2312" w:eastAsia="仿宋_GB2312" w:cs="仿宋_GB2312"/>
          <w:color w:val="auto"/>
          <w:sz w:val="32"/>
          <w:szCs w:val="32"/>
          <w:highlight w:val="none"/>
          <w:lang w:val="en-US" w:eastAsia="zh-CN"/>
        </w:rPr>
        <w:t>股权</w:t>
      </w:r>
      <w:r>
        <w:rPr>
          <w:rFonts w:hint="eastAsia" w:ascii="仿宋_GB2312" w:hAnsi="仿宋_GB2312" w:eastAsia="仿宋_GB2312" w:cs="仿宋_GB2312"/>
          <w:color w:val="auto"/>
          <w:sz w:val="32"/>
          <w:szCs w:val="32"/>
          <w:highlight w:val="none"/>
        </w:rPr>
        <w:t>转让各项工作有序合规开展。</w:t>
      </w:r>
    </w:p>
    <w:p w14:paraId="08A5167A">
      <w:pPr>
        <w:pStyle w:val="9"/>
        <w:widowControl w:val="0"/>
        <w:wordWrap/>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14:paraId="39B61860">
      <w:pPr>
        <w:widowControl w:val="0"/>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六盘水市钟山区瑞诚开发投资有限责任公司</w:t>
      </w:r>
    </w:p>
    <w:p w14:paraId="0B4B2669">
      <w:pPr>
        <w:widowControl w:val="0"/>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2025年6月12日</w:t>
      </w:r>
    </w:p>
    <w:p w14:paraId="6E18896A">
      <w:pPr>
        <w:pStyle w:val="9"/>
        <w:widowControl w:val="0"/>
        <w:wordWrap/>
        <w:spacing w:line="560" w:lineRule="exact"/>
        <w:jc w:val="both"/>
        <w:textAlignment w:val="auto"/>
        <w:rPr>
          <w:rFonts w:hint="eastAsia" w:ascii="仿宋_GB2312" w:hAnsi="仿宋_GB2312" w:eastAsia="仿宋_GB2312" w:cs="仿宋_GB2312"/>
          <w:color w:val="auto"/>
          <w:sz w:val="32"/>
          <w:szCs w:val="32"/>
          <w:highlight w:val="none"/>
        </w:rPr>
      </w:pPr>
    </w:p>
    <w:sectPr>
      <w:footerReference r:id="rId3" w:type="default"/>
      <w:pgSz w:w="11906" w:h="16838"/>
      <w:pgMar w:top="2098"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D113">
    <w:pPr>
      <w:pStyle w:val="4"/>
    </w:pPr>
    <w:r>
      <w:rPr>
        <w:rFonts w:ascii="Calibri" w:hAnsi="Calibri" w:eastAsia="宋体" w:cs="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A132AD1">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6A132AD1">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2QzMzRmNjA0YzBhMTA4NzM4NzVjZDljYWEzMjAifQ=="/>
  </w:docVars>
  <w:rsids>
    <w:rsidRoot w:val="00000000"/>
    <w:rsid w:val="0187402D"/>
    <w:rsid w:val="01E72D9A"/>
    <w:rsid w:val="04207703"/>
    <w:rsid w:val="063F2571"/>
    <w:rsid w:val="07E36EB8"/>
    <w:rsid w:val="09295E45"/>
    <w:rsid w:val="093C56FD"/>
    <w:rsid w:val="0BE502CE"/>
    <w:rsid w:val="0CC47EE3"/>
    <w:rsid w:val="0F106A0C"/>
    <w:rsid w:val="10FE1DB7"/>
    <w:rsid w:val="11FE0013"/>
    <w:rsid w:val="16262F52"/>
    <w:rsid w:val="16DE3A9F"/>
    <w:rsid w:val="18360E46"/>
    <w:rsid w:val="194C4552"/>
    <w:rsid w:val="1AC50844"/>
    <w:rsid w:val="1CBE48B7"/>
    <w:rsid w:val="1DA43419"/>
    <w:rsid w:val="1DC464D9"/>
    <w:rsid w:val="1DE877AA"/>
    <w:rsid w:val="1DE96425"/>
    <w:rsid w:val="1E805C34"/>
    <w:rsid w:val="20E76D5E"/>
    <w:rsid w:val="23D2112D"/>
    <w:rsid w:val="27AA11D5"/>
    <w:rsid w:val="285B6468"/>
    <w:rsid w:val="29051210"/>
    <w:rsid w:val="2F9972D4"/>
    <w:rsid w:val="30043756"/>
    <w:rsid w:val="309B292D"/>
    <w:rsid w:val="31155CDA"/>
    <w:rsid w:val="3239599B"/>
    <w:rsid w:val="32EF3F4B"/>
    <w:rsid w:val="35596216"/>
    <w:rsid w:val="35D02CDA"/>
    <w:rsid w:val="360A7C68"/>
    <w:rsid w:val="363044C5"/>
    <w:rsid w:val="36DB1CA4"/>
    <w:rsid w:val="3FC40095"/>
    <w:rsid w:val="40193070"/>
    <w:rsid w:val="40364E7B"/>
    <w:rsid w:val="405C0E8C"/>
    <w:rsid w:val="405C7E57"/>
    <w:rsid w:val="416067A8"/>
    <w:rsid w:val="468A6B4F"/>
    <w:rsid w:val="47171A2D"/>
    <w:rsid w:val="48083A46"/>
    <w:rsid w:val="49675E66"/>
    <w:rsid w:val="4CE32D26"/>
    <w:rsid w:val="4F5F0DCA"/>
    <w:rsid w:val="52240B80"/>
    <w:rsid w:val="5411795B"/>
    <w:rsid w:val="5622357B"/>
    <w:rsid w:val="573D67DC"/>
    <w:rsid w:val="5976755F"/>
    <w:rsid w:val="5B7D5546"/>
    <w:rsid w:val="5CFA0384"/>
    <w:rsid w:val="5FDE5D3B"/>
    <w:rsid w:val="613A1344"/>
    <w:rsid w:val="62AE5E99"/>
    <w:rsid w:val="63091FAC"/>
    <w:rsid w:val="64855782"/>
    <w:rsid w:val="668A5EAF"/>
    <w:rsid w:val="6FDD7831"/>
    <w:rsid w:val="70D30CEC"/>
    <w:rsid w:val="71850FFD"/>
    <w:rsid w:val="723C307A"/>
    <w:rsid w:val="7A04631D"/>
    <w:rsid w:val="7B4753CF"/>
    <w:rsid w:val="7C012911"/>
    <w:rsid w:val="7E3A4493"/>
    <w:rsid w:val="7EED5B43"/>
    <w:rsid w:val="7F046EE9"/>
    <w:rsid w:val="7FD779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tabs>
        <w:tab w:val="left" w:pos="4738"/>
      </w:tabs>
      <w:spacing w:before="198"/>
    </w:pPr>
    <w:rPr>
      <w:sz w:val="28"/>
      <w:szCs w:val="2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1937</Words>
  <Characters>2049</Characters>
  <Lines>0</Lines>
  <Paragraphs>0</Paragraphs>
  <TotalTime>12</TotalTime>
  <ScaleCrop>false</ScaleCrop>
  <LinksUpToDate>false</LinksUpToDate>
  <CharactersWithSpaces>2155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2020-04-11T11:02:00Z</dcterms:created>
  <dc:creator>Administrator</dc:creator>
  <cp:lastModifiedBy>峰回路转</cp:lastModifiedBy>
  <cp:lastPrinted>2021-02-18T08:28:00Z</cp:lastPrinted>
  <dcterms:modified xsi:type="dcterms:W3CDTF">2025-08-15T06:28:47Z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1CBE58A8BCBB4DE8921005A87717CDB4_13</vt:lpwstr>
  </property>
  <property fmtid="{D5CDD505-2E9C-101B-9397-08002B2CF9AE}" pid="4" name="KSOTemplateDocerSaveRecord">
    <vt:lpwstr>eyJoZGlkIjoiMWM5OWU1MDM4MDE1NzE2NTQyN2Y5MDhiOTU1NjRiYWMiLCJ1c2VySWQiOiI0NDYxMDE1NjkifQ==</vt:lpwstr>
  </property>
</Properties>
</file>