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EBBCBA">
      <w:pPr>
        <w:pStyle w:val="12"/>
        <w:rPr>
          <w:rFonts w:hint="eastAsia" w:ascii="宋体" w:hAnsi="宋体" w:eastAsia="宋体" w:cs="宋体"/>
        </w:rPr>
      </w:pPr>
    </w:p>
    <w:p w14:paraId="31734BBC">
      <w:pPr>
        <w:spacing w:line="800" w:lineRule="exact"/>
        <w:jc w:val="center"/>
        <w:rPr>
          <w:rFonts w:hint="eastAsia" w:ascii="宋体" w:hAnsi="宋体" w:eastAsia="宋体" w:cs="宋体"/>
          <w:b/>
          <w:spacing w:val="78"/>
          <w:sz w:val="72"/>
          <w:szCs w:val="88"/>
          <w:lang w:val="en-US" w:eastAsia="zh-CN"/>
        </w:rPr>
      </w:pPr>
    </w:p>
    <w:p w14:paraId="37E60F62">
      <w:pPr>
        <w:spacing w:line="800" w:lineRule="exact"/>
        <w:jc w:val="center"/>
        <w:rPr>
          <w:rFonts w:hint="eastAsia" w:ascii="宋体" w:hAnsi="宋体" w:eastAsia="宋体" w:cs="宋体"/>
          <w:b/>
          <w:spacing w:val="78"/>
          <w:sz w:val="72"/>
          <w:szCs w:val="88"/>
        </w:rPr>
      </w:pPr>
      <w:r>
        <w:rPr>
          <w:rFonts w:hint="eastAsia" w:ascii="宋体" w:hAnsi="宋体" w:eastAsia="宋体" w:cs="宋体"/>
          <w:b/>
          <w:spacing w:val="78"/>
          <w:sz w:val="72"/>
          <w:szCs w:val="88"/>
          <w:lang w:val="en-US" w:eastAsia="zh-CN"/>
        </w:rPr>
        <w:t>企业</w:t>
      </w:r>
      <w:r>
        <w:rPr>
          <w:rFonts w:hint="eastAsia" w:ascii="宋体" w:hAnsi="宋体" w:eastAsia="宋体" w:cs="宋体"/>
          <w:b/>
          <w:spacing w:val="78"/>
          <w:sz w:val="72"/>
          <w:szCs w:val="88"/>
        </w:rPr>
        <w:t>采购</w:t>
      </w:r>
    </w:p>
    <w:p w14:paraId="236AAD73">
      <w:pPr>
        <w:spacing w:line="800" w:lineRule="exact"/>
        <w:jc w:val="center"/>
        <w:rPr>
          <w:rFonts w:hint="eastAsia" w:ascii="宋体" w:hAnsi="宋体" w:eastAsia="宋体" w:cs="宋体"/>
          <w:b/>
          <w:spacing w:val="78"/>
          <w:sz w:val="72"/>
          <w:szCs w:val="88"/>
        </w:rPr>
      </w:pPr>
      <w:r>
        <w:rPr>
          <w:rFonts w:hint="eastAsia" w:ascii="宋体" w:hAnsi="宋体" w:cs="宋体"/>
          <w:b/>
          <w:spacing w:val="78"/>
          <w:sz w:val="72"/>
          <w:szCs w:val="88"/>
          <w:lang w:eastAsia="zh-CN"/>
        </w:rPr>
        <w:t>竞争性谈判</w:t>
      </w:r>
      <w:r>
        <w:rPr>
          <w:rFonts w:hint="eastAsia" w:ascii="宋体" w:hAnsi="宋体" w:eastAsia="宋体" w:cs="宋体"/>
          <w:b/>
          <w:spacing w:val="78"/>
          <w:sz w:val="72"/>
          <w:szCs w:val="88"/>
        </w:rPr>
        <w:t>文件</w:t>
      </w:r>
    </w:p>
    <w:p w14:paraId="5DCBB65C">
      <w:pPr>
        <w:spacing w:before="240" w:beforeLines="100" w:after="120" w:afterLines="50" w:line="200" w:lineRule="exact"/>
        <w:ind w:firstLine="1846" w:firstLineChars="460"/>
        <w:rPr>
          <w:rFonts w:hint="eastAsia" w:ascii="宋体" w:hAnsi="宋体" w:eastAsia="宋体" w:cs="宋体"/>
          <w:b/>
          <w:spacing w:val="40"/>
          <w:sz w:val="32"/>
        </w:rPr>
      </w:pPr>
    </w:p>
    <w:p w14:paraId="553B636C">
      <w:pPr>
        <w:ind w:left="2183" w:hanging="2183" w:hangingChars="544"/>
        <w:jc w:val="center"/>
        <w:rPr>
          <w:rFonts w:hint="eastAsia" w:ascii="宋体" w:hAnsi="宋体" w:eastAsia="宋体" w:cs="宋体"/>
          <w:b/>
          <w:spacing w:val="40"/>
          <w:sz w:val="32"/>
        </w:rPr>
      </w:pPr>
    </w:p>
    <w:p w14:paraId="6F460E23">
      <w:pPr>
        <w:spacing w:line="360" w:lineRule="auto"/>
        <w:ind w:left="2183" w:hanging="1964" w:hangingChars="544"/>
        <w:jc w:val="center"/>
        <w:rPr>
          <w:rFonts w:hint="eastAsia" w:ascii="宋体" w:hAnsi="宋体" w:cs="宋体"/>
          <w:b/>
          <w:spacing w:val="40"/>
          <w:sz w:val="28"/>
          <w:szCs w:val="28"/>
          <w:lang w:eastAsia="zh-CN"/>
        </w:rPr>
      </w:pPr>
      <w:r>
        <w:rPr>
          <w:rFonts w:hint="eastAsia" w:ascii="宋体" w:hAnsi="宋体" w:eastAsia="宋体" w:cs="宋体"/>
          <w:b/>
          <w:spacing w:val="40"/>
          <w:sz w:val="28"/>
          <w:szCs w:val="28"/>
        </w:rPr>
        <w:t>项目名称：</w:t>
      </w:r>
      <w:r>
        <w:rPr>
          <w:rFonts w:hint="eastAsia" w:ascii="宋体" w:hAnsi="宋体" w:cs="宋体"/>
          <w:b/>
          <w:spacing w:val="40"/>
          <w:sz w:val="28"/>
          <w:szCs w:val="28"/>
          <w:lang w:eastAsia="zh-CN"/>
        </w:rPr>
        <w:t>贵州钟山野马寨热电有限责任公司</w:t>
      </w:r>
    </w:p>
    <w:p w14:paraId="57A5485C">
      <w:pPr>
        <w:spacing w:line="360" w:lineRule="auto"/>
        <w:ind w:left="2183" w:hanging="1964" w:hangingChars="544"/>
        <w:jc w:val="center"/>
        <w:rPr>
          <w:rFonts w:hint="eastAsia" w:ascii="宋体" w:hAnsi="宋体" w:cs="宋体"/>
          <w:b/>
          <w:spacing w:val="40"/>
          <w:sz w:val="28"/>
          <w:szCs w:val="28"/>
          <w:lang w:eastAsia="zh-CN"/>
        </w:rPr>
      </w:pPr>
      <w:r>
        <w:rPr>
          <w:rFonts w:hint="eastAsia" w:ascii="宋体" w:hAnsi="宋体" w:cs="宋体"/>
          <w:b/>
          <w:spacing w:val="40"/>
          <w:sz w:val="28"/>
          <w:szCs w:val="28"/>
          <w:lang w:eastAsia="zh-CN"/>
        </w:rPr>
        <w:t>202</w:t>
      </w:r>
      <w:r>
        <w:rPr>
          <w:rFonts w:hint="eastAsia" w:ascii="宋体" w:hAnsi="宋体" w:cs="宋体"/>
          <w:b/>
          <w:spacing w:val="40"/>
          <w:sz w:val="28"/>
          <w:szCs w:val="28"/>
          <w:lang w:val="en-US" w:eastAsia="zh-CN"/>
        </w:rPr>
        <w:t>5</w:t>
      </w:r>
      <w:r>
        <w:rPr>
          <w:rFonts w:hint="eastAsia" w:ascii="宋体" w:hAnsi="宋体" w:cs="宋体"/>
          <w:b/>
          <w:spacing w:val="40"/>
          <w:sz w:val="28"/>
          <w:szCs w:val="28"/>
          <w:lang w:eastAsia="zh-CN"/>
        </w:rPr>
        <w:t>年</w:t>
      </w:r>
      <w:r>
        <w:rPr>
          <w:rFonts w:hint="eastAsia" w:ascii="宋体" w:hAnsi="宋体" w:cs="宋体"/>
          <w:b/>
          <w:spacing w:val="40"/>
          <w:sz w:val="28"/>
          <w:szCs w:val="28"/>
          <w:lang w:val="en-US" w:eastAsia="zh-CN"/>
        </w:rPr>
        <w:t>第十九批次</w:t>
      </w:r>
      <w:r>
        <w:rPr>
          <w:rFonts w:hint="eastAsia" w:ascii="宋体" w:hAnsi="宋体" w:cs="宋体"/>
          <w:b/>
          <w:spacing w:val="40"/>
          <w:sz w:val="28"/>
          <w:szCs w:val="28"/>
          <w:lang w:eastAsia="zh-CN"/>
        </w:rPr>
        <w:t>燃煤采购项目</w:t>
      </w:r>
    </w:p>
    <w:p w14:paraId="4D267F82">
      <w:pPr>
        <w:spacing w:line="360" w:lineRule="auto"/>
        <w:ind w:left="2128" w:leftChars="580" w:hanging="910" w:hangingChars="244"/>
        <w:jc w:val="both"/>
        <w:rPr>
          <w:rFonts w:hint="eastAsia" w:ascii="宋体" w:hAnsi="宋体" w:cs="宋体"/>
          <w:b/>
          <w:spacing w:val="46"/>
          <w:kern w:val="0"/>
          <w:sz w:val="28"/>
          <w:szCs w:val="28"/>
          <w:fitText w:val="1400" w:id="597450788"/>
          <w:lang w:val="en-US" w:eastAsia="zh-CN"/>
        </w:rPr>
      </w:pPr>
    </w:p>
    <w:p w14:paraId="39FB19FA">
      <w:pPr>
        <w:spacing w:line="360" w:lineRule="auto"/>
        <w:ind w:left="2128" w:leftChars="580" w:hanging="910" w:hangingChars="244"/>
        <w:jc w:val="both"/>
        <w:rPr>
          <w:rFonts w:hint="default" w:ascii="宋体" w:hAnsi="宋体" w:eastAsia="宋体" w:cs="宋体"/>
          <w:b/>
          <w:sz w:val="28"/>
          <w:szCs w:val="28"/>
          <w:lang w:val="en-US" w:eastAsia="zh-CN"/>
        </w:rPr>
      </w:pPr>
      <w:r>
        <w:rPr>
          <w:rFonts w:hint="eastAsia" w:ascii="宋体" w:hAnsi="宋体" w:cs="宋体"/>
          <w:b/>
          <w:spacing w:val="46"/>
          <w:kern w:val="0"/>
          <w:sz w:val="28"/>
          <w:szCs w:val="28"/>
          <w:fitText w:val="1400" w:id="597450788"/>
          <w:lang w:val="en-US" w:eastAsia="zh-CN"/>
        </w:rPr>
        <w:t>项目编</w:t>
      </w:r>
      <w:r>
        <w:rPr>
          <w:rFonts w:hint="eastAsia" w:ascii="宋体" w:hAnsi="宋体" w:cs="宋体"/>
          <w:b/>
          <w:spacing w:val="2"/>
          <w:kern w:val="0"/>
          <w:sz w:val="28"/>
          <w:szCs w:val="28"/>
          <w:fitText w:val="1400" w:id="597450788"/>
          <w:lang w:val="en-US" w:eastAsia="zh-CN"/>
        </w:rPr>
        <w:t>号</w:t>
      </w:r>
      <w:r>
        <w:rPr>
          <w:rFonts w:hint="eastAsia" w:ascii="宋体" w:hAnsi="宋体" w:cs="宋体"/>
          <w:b/>
          <w:sz w:val="28"/>
          <w:szCs w:val="28"/>
          <w:lang w:val="en-US" w:eastAsia="zh-CN"/>
        </w:rPr>
        <w:t>：ZSRD2025000119</w:t>
      </w:r>
    </w:p>
    <w:p w14:paraId="3D22255D">
      <w:pPr>
        <w:pStyle w:val="10"/>
        <w:rPr>
          <w:rFonts w:hint="eastAsia" w:ascii="宋体" w:hAnsi="宋体" w:eastAsia="宋体" w:cs="宋体"/>
          <w:b/>
          <w:sz w:val="28"/>
          <w:szCs w:val="28"/>
        </w:rPr>
      </w:pPr>
    </w:p>
    <w:p w14:paraId="018032A8">
      <w:pPr>
        <w:rPr>
          <w:rFonts w:hint="eastAsia" w:ascii="宋体" w:hAnsi="宋体" w:eastAsia="宋体" w:cs="宋体"/>
          <w:b/>
          <w:sz w:val="28"/>
          <w:szCs w:val="28"/>
        </w:rPr>
      </w:pPr>
    </w:p>
    <w:p w14:paraId="42DE160A">
      <w:pPr>
        <w:pStyle w:val="9"/>
        <w:rPr>
          <w:rFonts w:hint="eastAsia" w:ascii="宋体" w:hAnsi="宋体" w:eastAsia="宋体" w:cs="宋体"/>
          <w:b/>
          <w:sz w:val="28"/>
          <w:szCs w:val="28"/>
        </w:rPr>
      </w:pPr>
    </w:p>
    <w:p w14:paraId="7C657497">
      <w:pPr>
        <w:pStyle w:val="10"/>
        <w:rPr>
          <w:rFonts w:hint="eastAsia" w:ascii="宋体" w:hAnsi="宋体" w:eastAsia="宋体" w:cs="宋体"/>
          <w:b/>
          <w:sz w:val="28"/>
          <w:szCs w:val="28"/>
        </w:rPr>
      </w:pPr>
    </w:p>
    <w:p w14:paraId="7B181238">
      <w:pPr>
        <w:rPr>
          <w:rFonts w:hint="eastAsia" w:ascii="宋体" w:hAnsi="宋体" w:eastAsia="宋体" w:cs="宋体"/>
          <w:b/>
          <w:sz w:val="28"/>
          <w:szCs w:val="28"/>
        </w:rPr>
      </w:pPr>
    </w:p>
    <w:p w14:paraId="1969B7E3">
      <w:pPr>
        <w:rPr>
          <w:rFonts w:hint="eastAsia" w:ascii="宋体" w:hAnsi="宋体" w:eastAsia="宋体" w:cs="宋体"/>
          <w:b/>
          <w:sz w:val="28"/>
          <w:szCs w:val="28"/>
        </w:rPr>
      </w:pPr>
    </w:p>
    <w:p w14:paraId="1FA26676">
      <w:pPr>
        <w:spacing w:after="0" w:line="360" w:lineRule="auto"/>
        <w:rPr>
          <w:rFonts w:hint="eastAsia" w:ascii="宋体" w:hAnsi="宋体" w:eastAsia="宋体" w:cs="宋体"/>
          <w:b/>
          <w:sz w:val="28"/>
          <w:szCs w:val="28"/>
        </w:rPr>
      </w:pPr>
    </w:p>
    <w:p w14:paraId="2EFAA24D">
      <w:pPr>
        <w:spacing w:after="0" w:line="360" w:lineRule="auto"/>
        <w:ind w:firstLine="1405" w:firstLineChars="500"/>
        <w:jc w:val="both"/>
        <w:rPr>
          <w:rFonts w:hint="eastAsia" w:ascii="宋体" w:hAnsi="宋体" w:eastAsia="宋体" w:cs="宋体"/>
          <w:b/>
          <w:sz w:val="28"/>
          <w:szCs w:val="28"/>
          <w:u w:val="none"/>
          <w:lang w:eastAsia="zh-CN"/>
        </w:rPr>
      </w:pPr>
      <w:r>
        <w:rPr>
          <w:rFonts w:hint="eastAsia" w:ascii="宋体" w:hAnsi="宋体" w:eastAsia="宋体" w:cs="宋体"/>
          <w:b/>
          <w:sz w:val="28"/>
          <w:szCs w:val="28"/>
        </w:rPr>
        <w:t>采 购</w:t>
      </w:r>
      <w:r>
        <w:rPr>
          <w:rFonts w:hint="eastAsia" w:ascii="宋体" w:hAnsi="宋体" w:cs="宋体"/>
          <w:b/>
          <w:sz w:val="28"/>
          <w:szCs w:val="28"/>
          <w:lang w:val="en-US" w:eastAsia="zh-CN"/>
        </w:rPr>
        <w:t>人</w:t>
      </w:r>
      <w:r>
        <w:rPr>
          <w:rFonts w:hint="eastAsia" w:ascii="宋体" w:hAnsi="宋体" w:eastAsia="宋体" w:cs="宋体"/>
          <w:b/>
          <w:sz w:val="28"/>
          <w:szCs w:val="28"/>
        </w:rPr>
        <w:t>：</w:t>
      </w:r>
      <w:r>
        <w:rPr>
          <w:rFonts w:hint="eastAsia" w:ascii="宋体" w:hAnsi="宋体" w:eastAsia="宋体" w:cs="宋体"/>
          <w:b/>
          <w:sz w:val="28"/>
          <w:szCs w:val="28"/>
          <w:u w:val="none"/>
          <w:lang w:eastAsia="zh-CN"/>
        </w:rPr>
        <w:t>贵州钟山野马寨热电有限责任公司</w:t>
      </w:r>
      <w:bookmarkStart w:id="0" w:name="_Toc392506291"/>
      <w:bookmarkStart w:id="1" w:name="_Toc21075"/>
      <w:bookmarkStart w:id="2" w:name="_Toc319574045"/>
    </w:p>
    <w:p w14:paraId="234748F8">
      <w:pPr>
        <w:spacing w:after="0" w:line="360" w:lineRule="auto"/>
        <w:ind w:firstLine="1405" w:firstLineChars="500"/>
        <w:jc w:val="both"/>
        <w:rPr>
          <w:rFonts w:hint="eastAsia" w:ascii="宋体" w:hAnsi="宋体" w:eastAsia="宋体" w:cs="宋体"/>
          <w:sz w:val="52"/>
          <w:szCs w:val="52"/>
          <w:lang w:val="en-US" w:eastAsia="zh-CN"/>
        </w:rPr>
      </w:pPr>
      <w:r>
        <w:rPr>
          <w:rFonts w:hint="eastAsia" w:ascii="宋体" w:hAnsi="宋体" w:eastAsia="宋体" w:cs="宋体"/>
          <w:b/>
          <w:bCs/>
          <w:sz w:val="28"/>
          <w:szCs w:val="28"/>
        </w:rPr>
        <w:t>时   间：</w:t>
      </w:r>
      <w:bookmarkEnd w:id="0"/>
      <w:bookmarkEnd w:id="1"/>
      <w:bookmarkEnd w:id="2"/>
      <w:r>
        <w:rPr>
          <w:rFonts w:hint="eastAsia" w:ascii="宋体" w:hAnsi="宋体" w:cs="宋体"/>
          <w:b/>
          <w:bCs/>
          <w:sz w:val="28"/>
          <w:szCs w:val="28"/>
          <w:u w:val="none"/>
          <w:lang w:eastAsia="zh-CN"/>
        </w:rPr>
        <w:t>二○二五年</w:t>
      </w:r>
      <w:r>
        <w:rPr>
          <w:rFonts w:hint="eastAsia" w:ascii="宋体" w:hAnsi="宋体" w:cs="宋体"/>
          <w:b/>
          <w:bCs/>
          <w:sz w:val="28"/>
          <w:szCs w:val="28"/>
          <w:u w:val="none"/>
          <w:lang w:val="en-US" w:eastAsia="zh-CN"/>
        </w:rPr>
        <w:t>九</w:t>
      </w:r>
      <w:r>
        <w:rPr>
          <w:rFonts w:hint="eastAsia" w:ascii="宋体" w:hAnsi="宋体" w:cs="宋体"/>
          <w:b/>
          <w:bCs/>
          <w:sz w:val="28"/>
          <w:szCs w:val="28"/>
          <w:u w:val="none"/>
          <w:lang w:eastAsia="zh-CN"/>
        </w:rPr>
        <w:t>月</w:t>
      </w:r>
      <w:r>
        <w:rPr>
          <w:rFonts w:hint="eastAsia" w:ascii="宋体" w:hAnsi="宋体" w:cs="宋体"/>
          <w:b/>
          <w:bCs/>
          <w:sz w:val="28"/>
          <w:szCs w:val="28"/>
          <w:u w:val="none"/>
          <w:lang w:val="en-US" w:eastAsia="zh-CN"/>
        </w:rPr>
        <w:t>十二</w:t>
      </w:r>
      <w:r>
        <w:rPr>
          <w:rFonts w:hint="eastAsia" w:ascii="宋体" w:hAnsi="宋体" w:cs="宋体"/>
          <w:b/>
          <w:bCs/>
          <w:sz w:val="28"/>
          <w:szCs w:val="28"/>
          <w:u w:val="none"/>
          <w:lang w:eastAsia="zh-CN"/>
        </w:rPr>
        <w:t>日</w:t>
      </w:r>
    </w:p>
    <w:p w14:paraId="14C174D6">
      <w:pPr>
        <w:pStyle w:val="33"/>
        <w:rPr>
          <w:rFonts w:hint="eastAsia" w:ascii="宋体" w:hAnsi="宋体" w:eastAsia="宋体" w:cs="宋体"/>
          <w:lang w:val="zh-CN" w:eastAsia="zh-CN"/>
        </w:rPr>
      </w:pPr>
    </w:p>
    <w:p w14:paraId="528A76A8">
      <w:pPr>
        <w:pStyle w:val="25"/>
        <w:rPr>
          <w:rFonts w:hint="eastAsia" w:ascii="宋体" w:hAnsi="宋体" w:eastAsia="宋体" w:cs="宋体"/>
          <w:lang w:val="zh-CN" w:eastAsia="zh-CN"/>
        </w:rPr>
      </w:pPr>
    </w:p>
    <w:p w14:paraId="09A0D904">
      <w:pPr>
        <w:rPr>
          <w:rFonts w:hint="eastAsia" w:ascii="宋体" w:hAnsi="宋体" w:eastAsia="宋体" w:cs="宋体"/>
          <w:lang w:val="zh-CN" w:eastAsia="zh-CN"/>
        </w:rPr>
      </w:pPr>
    </w:p>
    <w:p w14:paraId="0E417CD9">
      <w:pPr>
        <w:pStyle w:val="8"/>
        <w:rPr>
          <w:rFonts w:hint="eastAsia"/>
          <w:lang w:val="zh-CN" w:eastAsia="zh-CN"/>
        </w:rPr>
      </w:pPr>
    </w:p>
    <w:p w14:paraId="0D507E87">
      <w:pPr>
        <w:keepNext w:val="0"/>
        <w:keepLines w:val="0"/>
        <w:pageBreakBefore w:val="0"/>
        <w:kinsoku/>
        <w:wordWrap/>
        <w:overflowPunct/>
        <w:topLinePunct w:val="0"/>
        <w:autoSpaceDE/>
        <w:autoSpaceDN/>
        <w:bidi w:val="0"/>
        <w:adjustRightInd/>
        <w:snapToGrid/>
        <w:spacing w:line="360" w:lineRule="auto"/>
        <w:ind w:firstLine="643" w:firstLineChars="200"/>
        <w:jc w:val="center"/>
        <w:rPr>
          <w:rFonts w:hint="eastAsia" w:ascii="宋体" w:hAnsi="宋体" w:eastAsia="宋体" w:cs="宋体"/>
          <w:b/>
          <w:color w:val="auto"/>
          <w:sz w:val="32"/>
          <w:szCs w:val="32"/>
          <w:lang w:val="zh-CN"/>
        </w:rPr>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pPr>
    </w:p>
    <w:p w14:paraId="583E74A5">
      <w:pPr>
        <w:keepNext w:val="0"/>
        <w:keepLines w:val="0"/>
        <w:pageBreakBefore w:val="0"/>
        <w:kinsoku/>
        <w:wordWrap/>
        <w:overflowPunct/>
        <w:topLinePunct w:val="0"/>
        <w:autoSpaceDE/>
        <w:autoSpaceDN/>
        <w:bidi w:val="0"/>
        <w:adjustRightInd/>
        <w:snapToGrid/>
        <w:spacing w:line="360" w:lineRule="auto"/>
        <w:ind w:firstLine="643" w:firstLineChars="200"/>
        <w:jc w:val="center"/>
        <w:rPr>
          <w:rFonts w:hint="eastAsia" w:ascii="宋体" w:hAnsi="宋体" w:eastAsia="宋体" w:cs="宋体"/>
          <w:b/>
          <w:color w:val="auto"/>
          <w:sz w:val="32"/>
          <w:szCs w:val="32"/>
          <w:lang w:val="zh-CN"/>
        </w:rPr>
      </w:pPr>
      <w:r>
        <w:rPr>
          <w:rFonts w:hint="eastAsia" w:ascii="宋体" w:hAnsi="宋体" w:eastAsia="宋体" w:cs="宋体"/>
          <w:b/>
          <w:color w:val="auto"/>
          <w:sz w:val="32"/>
          <w:szCs w:val="32"/>
          <w:lang w:val="zh-CN"/>
        </w:rPr>
        <w:t>目    录</w:t>
      </w:r>
    </w:p>
    <w:p w14:paraId="49DC3A50">
      <w:pPr>
        <w:pStyle w:val="49"/>
        <w:keepNext w:val="0"/>
        <w:keepLines w:val="0"/>
        <w:pageBreakBefore w:val="0"/>
        <w:kinsoku/>
        <w:wordWrap/>
        <w:overflowPunct/>
        <w:topLinePunct w:val="0"/>
        <w:autoSpaceDE/>
        <w:autoSpaceDN/>
        <w:bidi w:val="0"/>
        <w:adjustRightInd/>
        <w:snapToGrid/>
        <w:spacing w:line="360" w:lineRule="auto"/>
        <w:ind w:firstLine="420" w:firstLineChars="200"/>
        <w:jc w:val="center"/>
        <w:rPr>
          <w:rFonts w:hint="eastAsia" w:ascii="宋体" w:hAnsi="宋体" w:eastAsia="宋体" w:cs="宋体"/>
          <w:color w:val="auto"/>
        </w:rPr>
      </w:pPr>
    </w:p>
    <w:p w14:paraId="0155C391">
      <w:pPr>
        <w:keepNext w:val="0"/>
        <w:keepLines w:val="0"/>
        <w:pageBreakBefore w:val="0"/>
        <w:kinsoku/>
        <w:wordWrap/>
        <w:overflowPunct/>
        <w:topLinePunct w:val="0"/>
        <w:autoSpaceDE/>
        <w:autoSpaceDN/>
        <w:bidi w:val="0"/>
        <w:adjustRightInd/>
        <w:snapToGrid/>
        <w:spacing w:line="360" w:lineRule="auto"/>
        <w:ind w:firstLine="422" w:firstLineChars="200"/>
        <w:jc w:val="center"/>
        <w:rPr>
          <w:rFonts w:hint="eastAsia" w:ascii="宋体" w:hAnsi="宋体" w:eastAsia="宋体" w:cs="宋体"/>
          <w:b/>
          <w:color w:val="auto"/>
          <w:lang w:val="zh-CN"/>
        </w:rPr>
      </w:pPr>
    </w:p>
    <w:p w14:paraId="145A20F2">
      <w:pPr>
        <w:pStyle w:val="23"/>
        <w:tabs>
          <w:tab w:val="right" w:leader="dot" w:pos="8306"/>
          <w:tab w:val="clear" w:pos="8280"/>
        </w:tabs>
      </w:pPr>
      <w:r>
        <w:rPr>
          <w:rFonts w:hint="eastAsia" w:ascii="宋体" w:hAnsi="宋体" w:eastAsia="宋体" w:cs="宋体"/>
          <w:color w:val="auto"/>
        </w:rPr>
        <w:fldChar w:fldCharType="begin"/>
      </w:r>
      <w:r>
        <w:rPr>
          <w:rFonts w:hint="eastAsia" w:ascii="宋体" w:hAnsi="宋体" w:eastAsia="宋体" w:cs="宋体"/>
          <w:color w:val="auto"/>
        </w:rPr>
        <w:instrText xml:space="preserve"> TOC \o "1-3" \h \z \u </w:instrText>
      </w:r>
      <w:r>
        <w:rPr>
          <w:rFonts w:hint="eastAsia" w:ascii="宋体" w:hAnsi="宋体" w:eastAsia="宋体" w:cs="宋体"/>
          <w:color w:val="auto"/>
        </w:rPr>
        <w:fldChar w:fldCharType="separate"/>
      </w:r>
      <w:r>
        <w:rPr>
          <w:rFonts w:hint="eastAsia" w:ascii="宋体" w:hAnsi="宋体" w:eastAsia="宋体" w:cs="宋体"/>
          <w:color w:val="auto"/>
        </w:rPr>
        <w:fldChar w:fldCharType="begin"/>
      </w:r>
      <w:r>
        <w:rPr>
          <w:rFonts w:hint="eastAsia" w:ascii="宋体" w:hAnsi="宋体" w:eastAsia="宋体" w:cs="宋体"/>
        </w:rPr>
        <w:instrText xml:space="preserve"> HYPERLINK \l _Toc2378 </w:instrText>
      </w:r>
      <w:r>
        <w:rPr>
          <w:rFonts w:hint="eastAsia" w:ascii="宋体" w:hAnsi="宋体" w:eastAsia="宋体" w:cs="宋体"/>
        </w:rPr>
        <w:fldChar w:fldCharType="separate"/>
      </w:r>
      <w:r>
        <w:rPr>
          <w:rFonts w:hint="eastAsia" w:ascii="宋体" w:hAnsi="宋体" w:eastAsia="宋体" w:cs="宋体"/>
          <w:lang w:val="en-US" w:eastAsia="zh-CN"/>
        </w:rPr>
        <w:t>第</w:t>
      </w:r>
      <w:r>
        <w:rPr>
          <w:rFonts w:hint="eastAsia" w:ascii="宋体" w:hAnsi="宋体" w:cs="宋体"/>
          <w:lang w:val="en-US" w:eastAsia="zh-CN"/>
        </w:rPr>
        <w:t>一</w:t>
      </w:r>
      <w:r>
        <w:rPr>
          <w:rFonts w:hint="eastAsia" w:ascii="宋体" w:hAnsi="宋体" w:eastAsia="宋体" w:cs="宋体"/>
          <w:lang w:val="en-US" w:eastAsia="zh-CN"/>
        </w:rPr>
        <w:t>章</w:t>
      </w:r>
      <w:r>
        <w:rPr>
          <w:rFonts w:hint="eastAsia" w:ascii="宋体" w:hAnsi="宋体" w:cs="宋体"/>
          <w:lang w:val="en-US" w:eastAsia="zh-CN"/>
        </w:rPr>
        <w:t xml:space="preserve">  </w:t>
      </w:r>
      <w:r>
        <w:rPr>
          <w:rFonts w:hint="eastAsia" w:ascii="宋体" w:hAnsi="宋体" w:cs="宋体"/>
          <w:szCs w:val="30"/>
          <w:lang w:val="en-US" w:eastAsia="zh-CN"/>
        </w:rPr>
        <w:t>竞争性谈判通知</w:t>
      </w:r>
      <w:r>
        <w:tab/>
      </w:r>
      <w:r>
        <w:fldChar w:fldCharType="begin"/>
      </w:r>
      <w:r>
        <w:instrText xml:space="preserve"> PAGEREF _Toc2378 \h </w:instrText>
      </w:r>
      <w:r>
        <w:fldChar w:fldCharType="separate"/>
      </w:r>
      <w:r>
        <w:t>1</w:t>
      </w:r>
      <w:r>
        <w:fldChar w:fldCharType="end"/>
      </w:r>
      <w:r>
        <w:rPr>
          <w:rFonts w:hint="eastAsia" w:ascii="宋体" w:hAnsi="宋体" w:eastAsia="宋体" w:cs="宋体"/>
          <w:color w:val="auto"/>
        </w:rPr>
        <w:fldChar w:fldCharType="end"/>
      </w:r>
    </w:p>
    <w:p w14:paraId="6F321090">
      <w:pPr>
        <w:pStyle w:val="23"/>
        <w:tabs>
          <w:tab w:val="right" w:leader="dot" w:pos="8306"/>
          <w:tab w:val="clear" w:pos="8280"/>
        </w:tabs>
      </w:pPr>
      <w:r>
        <w:rPr>
          <w:rFonts w:hint="eastAsia" w:ascii="宋体" w:hAnsi="宋体" w:eastAsia="宋体" w:cs="宋体"/>
          <w:color w:val="auto"/>
        </w:rPr>
        <w:fldChar w:fldCharType="begin"/>
      </w:r>
      <w:r>
        <w:rPr>
          <w:rFonts w:hint="eastAsia" w:ascii="宋体" w:hAnsi="宋体" w:eastAsia="宋体" w:cs="宋体"/>
        </w:rPr>
        <w:instrText xml:space="preserve"> HYPERLINK \l _Toc4281 </w:instrText>
      </w:r>
      <w:r>
        <w:rPr>
          <w:rFonts w:hint="eastAsia" w:ascii="宋体" w:hAnsi="宋体" w:eastAsia="宋体" w:cs="宋体"/>
        </w:rPr>
        <w:fldChar w:fldCharType="separate"/>
      </w:r>
      <w:r>
        <w:rPr>
          <w:rFonts w:hint="eastAsia" w:ascii="宋体" w:hAnsi="宋体" w:eastAsia="宋体" w:cs="宋体"/>
          <w:lang w:val="en-US" w:eastAsia="zh-CN"/>
        </w:rPr>
        <w:t>第二章  供应</w:t>
      </w:r>
      <w:r>
        <w:rPr>
          <w:rFonts w:hint="eastAsia" w:ascii="宋体" w:hAnsi="宋体" w:eastAsia="宋体" w:cs="宋体"/>
        </w:rPr>
        <w:t>商须知</w:t>
      </w:r>
      <w:r>
        <w:tab/>
      </w:r>
      <w:r>
        <w:fldChar w:fldCharType="begin"/>
      </w:r>
      <w:r>
        <w:instrText xml:space="preserve"> PAGEREF _Toc4281 \h </w:instrText>
      </w:r>
      <w:r>
        <w:fldChar w:fldCharType="separate"/>
      </w:r>
      <w:r>
        <w:t>4</w:t>
      </w:r>
      <w:r>
        <w:fldChar w:fldCharType="end"/>
      </w:r>
      <w:r>
        <w:rPr>
          <w:rFonts w:hint="eastAsia" w:ascii="宋体" w:hAnsi="宋体" w:eastAsia="宋体" w:cs="宋体"/>
          <w:color w:val="auto"/>
        </w:rPr>
        <w:fldChar w:fldCharType="end"/>
      </w:r>
    </w:p>
    <w:p w14:paraId="5ACDD632">
      <w:pPr>
        <w:pStyle w:val="23"/>
        <w:tabs>
          <w:tab w:val="right" w:leader="dot" w:pos="8306"/>
          <w:tab w:val="clear" w:pos="8280"/>
        </w:tabs>
      </w:pPr>
      <w:r>
        <w:rPr>
          <w:rFonts w:hint="eastAsia" w:ascii="宋体" w:hAnsi="宋体" w:eastAsia="宋体" w:cs="宋体"/>
          <w:color w:val="auto"/>
        </w:rPr>
        <w:fldChar w:fldCharType="begin"/>
      </w:r>
      <w:r>
        <w:rPr>
          <w:rFonts w:hint="eastAsia" w:ascii="宋体" w:hAnsi="宋体" w:eastAsia="宋体" w:cs="宋体"/>
        </w:rPr>
        <w:instrText xml:space="preserve"> HYPERLINK \l _Toc3366 </w:instrText>
      </w:r>
      <w:r>
        <w:rPr>
          <w:rFonts w:hint="eastAsia" w:ascii="宋体" w:hAnsi="宋体" w:eastAsia="宋体" w:cs="宋体"/>
        </w:rPr>
        <w:fldChar w:fldCharType="separate"/>
      </w:r>
      <w:r>
        <w:rPr>
          <w:rFonts w:hint="eastAsia" w:ascii="宋体" w:hAnsi="宋体" w:eastAsia="宋体" w:cs="宋体"/>
          <w:lang w:val="en-US" w:eastAsia="zh-CN"/>
        </w:rPr>
        <w:t xml:space="preserve">第三章  </w:t>
      </w:r>
      <w:r>
        <w:rPr>
          <w:rFonts w:hint="eastAsia" w:ascii="宋体" w:hAnsi="宋体" w:eastAsia="宋体" w:cs="宋体"/>
        </w:rPr>
        <w:t>供应商应当提交的资格、资信证明文件</w:t>
      </w:r>
      <w:r>
        <w:tab/>
      </w:r>
      <w:r>
        <w:fldChar w:fldCharType="begin"/>
      </w:r>
      <w:r>
        <w:instrText xml:space="preserve"> PAGEREF _Toc3366 \h </w:instrText>
      </w:r>
      <w:r>
        <w:fldChar w:fldCharType="separate"/>
      </w:r>
      <w:r>
        <w:t>18</w:t>
      </w:r>
      <w:r>
        <w:fldChar w:fldCharType="end"/>
      </w:r>
      <w:r>
        <w:rPr>
          <w:rFonts w:hint="eastAsia" w:ascii="宋体" w:hAnsi="宋体" w:eastAsia="宋体" w:cs="宋体"/>
          <w:color w:val="auto"/>
        </w:rPr>
        <w:fldChar w:fldCharType="end"/>
      </w:r>
    </w:p>
    <w:p w14:paraId="3E1B68F0">
      <w:pPr>
        <w:pStyle w:val="23"/>
        <w:tabs>
          <w:tab w:val="right" w:leader="dot" w:pos="8306"/>
          <w:tab w:val="clear" w:pos="8280"/>
        </w:tabs>
      </w:pPr>
      <w:r>
        <w:rPr>
          <w:rFonts w:hint="eastAsia" w:ascii="宋体" w:hAnsi="宋体" w:eastAsia="宋体" w:cs="宋体"/>
          <w:color w:val="auto"/>
        </w:rPr>
        <w:fldChar w:fldCharType="begin"/>
      </w:r>
      <w:r>
        <w:rPr>
          <w:rFonts w:hint="eastAsia" w:ascii="宋体" w:hAnsi="宋体" w:eastAsia="宋体" w:cs="宋体"/>
        </w:rPr>
        <w:instrText xml:space="preserve"> HYPERLINK \l _Toc29085 </w:instrText>
      </w:r>
      <w:r>
        <w:rPr>
          <w:rFonts w:hint="eastAsia" w:ascii="宋体" w:hAnsi="宋体" w:eastAsia="宋体" w:cs="宋体"/>
        </w:rPr>
        <w:fldChar w:fldCharType="separate"/>
      </w:r>
      <w:r>
        <w:rPr>
          <w:rFonts w:hint="eastAsia" w:ascii="宋体" w:hAnsi="宋体" w:eastAsia="宋体" w:cs="宋体"/>
          <w:szCs w:val="30"/>
          <w:lang w:val="en-US" w:eastAsia="zh-CN"/>
        </w:rPr>
        <w:t>第</w:t>
      </w:r>
      <w:r>
        <w:rPr>
          <w:rFonts w:hint="eastAsia" w:ascii="宋体" w:hAnsi="宋体" w:cs="宋体"/>
          <w:szCs w:val="30"/>
          <w:lang w:val="en-US" w:eastAsia="zh-CN"/>
        </w:rPr>
        <w:t>四</w:t>
      </w:r>
      <w:r>
        <w:rPr>
          <w:rFonts w:hint="eastAsia" w:ascii="宋体" w:hAnsi="宋体" w:eastAsia="宋体" w:cs="宋体"/>
          <w:szCs w:val="30"/>
          <w:lang w:val="en-US" w:eastAsia="zh-CN"/>
        </w:rPr>
        <w:t>章</w:t>
      </w:r>
      <w:r>
        <w:rPr>
          <w:rFonts w:hint="eastAsia" w:ascii="宋体" w:hAnsi="宋体" w:eastAsia="宋体" w:cs="宋体"/>
          <w:szCs w:val="30"/>
        </w:rPr>
        <w:t xml:space="preserve"> </w:t>
      </w:r>
      <w:r>
        <w:rPr>
          <w:rFonts w:hint="eastAsia" w:ascii="宋体" w:hAnsi="宋体" w:eastAsia="宋体" w:cs="宋体"/>
          <w:szCs w:val="30"/>
          <w:lang w:val="en-US" w:eastAsia="zh-CN"/>
        </w:rPr>
        <w:t xml:space="preserve"> </w:t>
      </w:r>
      <w:r>
        <w:rPr>
          <w:rFonts w:hint="eastAsia" w:ascii="宋体" w:hAnsi="宋体" w:eastAsia="宋体" w:cs="宋体"/>
          <w:szCs w:val="30"/>
        </w:rPr>
        <w:t>采购项目的技术规格、数量、服务标准、验收等要求。</w:t>
      </w:r>
      <w:r>
        <w:tab/>
      </w:r>
      <w:r>
        <w:fldChar w:fldCharType="begin"/>
      </w:r>
      <w:r>
        <w:instrText xml:space="preserve"> PAGEREF _Toc29085 \h </w:instrText>
      </w:r>
      <w:r>
        <w:fldChar w:fldCharType="separate"/>
      </w:r>
      <w:r>
        <w:t>19</w:t>
      </w:r>
      <w:r>
        <w:fldChar w:fldCharType="end"/>
      </w:r>
      <w:r>
        <w:rPr>
          <w:rFonts w:hint="eastAsia" w:ascii="宋体" w:hAnsi="宋体" w:eastAsia="宋体" w:cs="宋体"/>
          <w:color w:val="auto"/>
        </w:rPr>
        <w:fldChar w:fldCharType="end"/>
      </w:r>
    </w:p>
    <w:p w14:paraId="285E6D55">
      <w:pPr>
        <w:pStyle w:val="23"/>
        <w:tabs>
          <w:tab w:val="right" w:leader="dot" w:pos="8306"/>
          <w:tab w:val="clear" w:pos="8280"/>
        </w:tabs>
      </w:pPr>
      <w:r>
        <w:rPr>
          <w:rFonts w:hint="eastAsia" w:ascii="宋体" w:hAnsi="宋体" w:eastAsia="宋体" w:cs="宋体"/>
          <w:color w:val="auto"/>
        </w:rPr>
        <w:fldChar w:fldCharType="begin"/>
      </w:r>
      <w:r>
        <w:rPr>
          <w:rFonts w:hint="eastAsia" w:ascii="宋体" w:hAnsi="宋体" w:eastAsia="宋体" w:cs="宋体"/>
        </w:rPr>
        <w:instrText xml:space="preserve"> HYPERLINK \l _Toc16691 </w:instrText>
      </w:r>
      <w:r>
        <w:rPr>
          <w:rFonts w:hint="eastAsia" w:ascii="宋体" w:hAnsi="宋体" w:eastAsia="宋体" w:cs="宋体"/>
        </w:rPr>
        <w:fldChar w:fldCharType="separate"/>
      </w:r>
      <w:r>
        <w:rPr>
          <w:rFonts w:hint="eastAsia" w:ascii="宋体" w:hAnsi="宋体" w:cs="宋体"/>
          <w:szCs w:val="30"/>
        </w:rPr>
        <w:t xml:space="preserve">第五章 </w:t>
      </w:r>
      <w:r>
        <w:rPr>
          <w:rFonts w:hint="eastAsia" w:ascii="宋体" w:hAnsi="宋体" w:cs="宋体"/>
          <w:szCs w:val="30"/>
          <w:lang w:val="en-US" w:eastAsia="zh-CN"/>
        </w:rPr>
        <w:t xml:space="preserve"> </w:t>
      </w:r>
      <w:r>
        <w:rPr>
          <w:rFonts w:hint="eastAsia" w:ascii="宋体" w:hAnsi="宋体" w:cs="宋体"/>
          <w:szCs w:val="30"/>
        </w:rPr>
        <w:t>合同格式文本</w:t>
      </w:r>
      <w:r>
        <w:tab/>
      </w:r>
      <w:r>
        <w:fldChar w:fldCharType="begin"/>
      </w:r>
      <w:r>
        <w:instrText xml:space="preserve"> PAGEREF _Toc16691 \h </w:instrText>
      </w:r>
      <w:r>
        <w:fldChar w:fldCharType="separate"/>
      </w:r>
      <w:r>
        <w:t>2</w:t>
      </w:r>
      <w:r>
        <w:rPr>
          <w:rFonts w:hint="eastAsia"/>
          <w:lang w:val="en-US" w:eastAsia="zh-CN"/>
        </w:rPr>
        <w:t>5</w:t>
      </w:r>
      <w:r>
        <w:fldChar w:fldCharType="end"/>
      </w:r>
      <w:r>
        <w:rPr>
          <w:rFonts w:hint="eastAsia" w:ascii="宋体" w:hAnsi="宋体" w:eastAsia="宋体" w:cs="宋体"/>
          <w:color w:val="auto"/>
        </w:rPr>
        <w:fldChar w:fldCharType="end"/>
      </w:r>
    </w:p>
    <w:p w14:paraId="5A1F927C">
      <w:pPr>
        <w:pStyle w:val="23"/>
        <w:tabs>
          <w:tab w:val="right" w:leader="dot" w:pos="8306"/>
          <w:tab w:val="clear" w:pos="8280"/>
        </w:tabs>
      </w:pPr>
      <w:r>
        <w:rPr>
          <w:rFonts w:hint="eastAsia" w:ascii="宋体" w:hAnsi="宋体" w:eastAsia="宋体" w:cs="宋体"/>
          <w:color w:val="auto"/>
        </w:rPr>
        <w:fldChar w:fldCharType="begin"/>
      </w:r>
      <w:r>
        <w:rPr>
          <w:rFonts w:hint="eastAsia" w:ascii="宋体" w:hAnsi="宋体" w:eastAsia="宋体" w:cs="宋体"/>
        </w:rPr>
        <w:instrText xml:space="preserve"> HYPERLINK \l _Toc31987 </w:instrText>
      </w:r>
      <w:r>
        <w:rPr>
          <w:rFonts w:hint="eastAsia" w:ascii="宋体" w:hAnsi="宋体" w:eastAsia="宋体" w:cs="宋体"/>
        </w:rPr>
        <w:fldChar w:fldCharType="separate"/>
      </w:r>
      <w:r>
        <w:rPr>
          <w:rFonts w:hint="eastAsia" w:ascii="宋体" w:hAnsi="宋体" w:eastAsia="宋体" w:cs="宋体"/>
        </w:rPr>
        <w:t>第</w:t>
      </w:r>
      <w:r>
        <w:rPr>
          <w:rFonts w:hint="eastAsia" w:ascii="宋体" w:hAnsi="宋体" w:cs="宋体"/>
          <w:lang w:val="en-US" w:eastAsia="zh-CN"/>
        </w:rPr>
        <w:t>六</w:t>
      </w:r>
      <w:r>
        <w:rPr>
          <w:rFonts w:hint="eastAsia" w:ascii="宋体" w:hAnsi="宋体" w:eastAsia="宋体" w:cs="宋体"/>
        </w:rPr>
        <w:t xml:space="preserve">章  </w:t>
      </w:r>
      <w:r>
        <w:rPr>
          <w:rFonts w:hint="eastAsia" w:ascii="宋体" w:hAnsi="宋体" w:cs="宋体"/>
          <w:lang w:eastAsia="zh-CN"/>
        </w:rPr>
        <w:t>谈判</w:t>
      </w:r>
      <w:r>
        <w:rPr>
          <w:rFonts w:hint="eastAsia" w:ascii="宋体" w:hAnsi="宋体" w:eastAsia="宋体" w:cs="宋体"/>
        </w:rPr>
        <w:t>程序、评定成交标准、</w:t>
      </w:r>
      <w:r>
        <w:rPr>
          <w:rFonts w:hint="eastAsia" w:ascii="宋体" w:hAnsi="宋体" w:cs="宋体"/>
          <w:lang w:eastAsia="zh-CN"/>
        </w:rPr>
        <w:t>谈判</w:t>
      </w:r>
      <w:r>
        <w:rPr>
          <w:rFonts w:hint="eastAsia" w:ascii="宋体" w:hAnsi="宋体" w:eastAsia="宋体" w:cs="宋体"/>
        </w:rPr>
        <w:t>原则及</w:t>
      </w:r>
      <w:r>
        <w:rPr>
          <w:rFonts w:hint="eastAsia" w:ascii="宋体" w:hAnsi="宋体" w:cs="宋体"/>
          <w:lang w:eastAsia="zh-CN"/>
        </w:rPr>
        <w:t>谈判</w:t>
      </w:r>
      <w:r>
        <w:rPr>
          <w:rFonts w:hint="eastAsia" w:ascii="宋体" w:hAnsi="宋体" w:eastAsia="宋体" w:cs="宋体"/>
        </w:rPr>
        <w:t>纪律</w:t>
      </w:r>
      <w:r>
        <w:tab/>
      </w:r>
      <w:r>
        <w:fldChar w:fldCharType="begin"/>
      </w:r>
      <w:r>
        <w:instrText xml:space="preserve"> PAGEREF _Toc31987 \h </w:instrText>
      </w:r>
      <w:r>
        <w:fldChar w:fldCharType="separate"/>
      </w:r>
      <w:r>
        <w:t>4</w:t>
      </w:r>
      <w:r>
        <w:rPr>
          <w:rFonts w:hint="eastAsia"/>
          <w:lang w:val="en-US" w:eastAsia="zh-CN"/>
        </w:rPr>
        <w:t>7</w:t>
      </w:r>
      <w:r>
        <w:fldChar w:fldCharType="end"/>
      </w:r>
      <w:r>
        <w:rPr>
          <w:rFonts w:hint="eastAsia" w:ascii="宋体" w:hAnsi="宋体" w:eastAsia="宋体" w:cs="宋体"/>
          <w:color w:val="auto"/>
        </w:rPr>
        <w:fldChar w:fldCharType="end"/>
      </w:r>
    </w:p>
    <w:p w14:paraId="3A914E94">
      <w:pPr>
        <w:pStyle w:val="23"/>
        <w:tabs>
          <w:tab w:val="right" w:leader="dot" w:pos="8306"/>
          <w:tab w:val="clear" w:pos="8280"/>
        </w:tabs>
        <w:rPr>
          <w:rFonts w:hint="eastAsia" w:eastAsia="宋体"/>
          <w:lang w:val="en-US" w:eastAsia="zh-CN"/>
        </w:rPr>
      </w:pPr>
      <w:r>
        <w:rPr>
          <w:rFonts w:hint="eastAsia" w:eastAsia="宋体"/>
        </w:rPr>
        <w:fldChar w:fldCharType="begin"/>
      </w:r>
      <w:r>
        <w:rPr>
          <w:rFonts w:hint="eastAsia" w:eastAsia="宋体"/>
        </w:rPr>
        <w:instrText xml:space="preserve"> HYPERLINK \l _Toc9691 </w:instrText>
      </w:r>
      <w:r>
        <w:rPr>
          <w:rFonts w:hint="eastAsia" w:eastAsia="宋体"/>
        </w:rPr>
        <w:fldChar w:fldCharType="separate"/>
      </w:r>
      <w:r>
        <w:rPr>
          <w:rFonts w:hint="eastAsia" w:eastAsia="宋体"/>
        </w:rPr>
        <w:t>第</w:t>
      </w:r>
      <w:r>
        <w:rPr>
          <w:rFonts w:hint="eastAsia" w:eastAsia="宋体"/>
          <w:lang w:val="en-US" w:eastAsia="zh-CN"/>
        </w:rPr>
        <w:t>七</w:t>
      </w:r>
      <w:r>
        <w:rPr>
          <w:rFonts w:hint="eastAsia" w:eastAsia="宋体"/>
        </w:rPr>
        <w:t xml:space="preserve">章  </w:t>
      </w:r>
      <w:r>
        <w:rPr>
          <w:rFonts w:hint="eastAsia" w:eastAsia="宋体"/>
          <w:lang w:eastAsia="zh-CN"/>
        </w:rPr>
        <w:t>谈判</w:t>
      </w:r>
      <w:r>
        <w:rPr>
          <w:rFonts w:hint="eastAsia" w:eastAsia="宋体"/>
        </w:rPr>
        <w:t>有效期</w:t>
      </w:r>
      <w:r>
        <w:rPr>
          <w:rFonts w:eastAsia="宋体"/>
        </w:rPr>
        <w:tab/>
      </w:r>
      <w:r>
        <w:rPr>
          <w:rFonts w:hint="eastAsia" w:eastAsia="宋体"/>
          <w:lang w:val="en-US" w:eastAsia="zh-CN"/>
        </w:rPr>
        <w:t>5</w:t>
      </w:r>
      <w:r>
        <w:rPr>
          <w:rFonts w:hint="eastAsia" w:eastAsia="宋体"/>
        </w:rPr>
        <w:fldChar w:fldCharType="end"/>
      </w:r>
      <w:r>
        <w:rPr>
          <w:rFonts w:hint="eastAsia"/>
          <w:lang w:val="en-US" w:eastAsia="zh-CN"/>
        </w:rPr>
        <w:t>3</w:t>
      </w:r>
    </w:p>
    <w:p w14:paraId="2BFBA4CE">
      <w:pPr>
        <w:pStyle w:val="23"/>
        <w:tabs>
          <w:tab w:val="right" w:leader="dot" w:pos="8306"/>
          <w:tab w:val="clear" w:pos="8280"/>
        </w:tabs>
        <w:rPr>
          <w:rFonts w:hint="eastAsia" w:eastAsia="宋体"/>
          <w:lang w:val="en-US" w:eastAsia="zh-CN"/>
        </w:rPr>
      </w:pPr>
      <w:r>
        <w:rPr>
          <w:rFonts w:hint="eastAsia" w:eastAsia="宋体"/>
        </w:rPr>
        <w:fldChar w:fldCharType="begin"/>
      </w:r>
      <w:r>
        <w:rPr>
          <w:rFonts w:hint="eastAsia" w:eastAsia="宋体"/>
        </w:rPr>
        <w:instrText xml:space="preserve"> HYPERLINK \l _Toc17311 </w:instrText>
      </w:r>
      <w:r>
        <w:rPr>
          <w:rFonts w:hint="eastAsia" w:eastAsia="宋体"/>
        </w:rPr>
        <w:fldChar w:fldCharType="separate"/>
      </w:r>
      <w:r>
        <w:rPr>
          <w:rFonts w:hint="eastAsia" w:eastAsia="宋体"/>
        </w:rPr>
        <w:t>第</w:t>
      </w:r>
      <w:r>
        <w:rPr>
          <w:rFonts w:hint="eastAsia" w:eastAsia="宋体"/>
          <w:lang w:val="en-US" w:eastAsia="zh-CN"/>
        </w:rPr>
        <w:t>八</w:t>
      </w:r>
      <w:r>
        <w:rPr>
          <w:rFonts w:hint="eastAsia" w:eastAsia="宋体"/>
        </w:rPr>
        <w:t>章  响应文件格式</w:t>
      </w:r>
      <w:r>
        <w:rPr>
          <w:rFonts w:hint="eastAsia" w:eastAsia="宋体"/>
        </w:rPr>
        <w:tab/>
      </w:r>
      <w:r>
        <w:rPr>
          <w:rFonts w:hint="eastAsia" w:eastAsia="宋体"/>
          <w:lang w:val="en-US" w:eastAsia="zh-CN"/>
        </w:rPr>
        <w:t>5</w:t>
      </w:r>
      <w:r>
        <w:rPr>
          <w:rFonts w:hint="eastAsia" w:eastAsia="宋体"/>
        </w:rPr>
        <w:fldChar w:fldCharType="end"/>
      </w:r>
      <w:r>
        <w:rPr>
          <w:rFonts w:hint="eastAsia"/>
          <w:lang w:val="en-US" w:eastAsia="zh-CN"/>
        </w:rPr>
        <w:t>4</w:t>
      </w:r>
    </w:p>
    <w:p w14:paraId="48AF9E60">
      <w:pPr>
        <w:pStyle w:val="23"/>
        <w:keepNext w:val="0"/>
        <w:keepLines w:val="0"/>
        <w:pageBreakBefore w:val="0"/>
        <w:widowControl/>
        <w:tabs>
          <w:tab w:val="right" w:leader="dot" w:pos="9660"/>
          <w:tab w:val="clear" w:pos="8280"/>
        </w:tabs>
        <w:kinsoku/>
        <w:wordWrap/>
        <w:overflowPunct/>
        <w:topLinePunct w:val="0"/>
        <w:autoSpaceDE/>
        <w:autoSpaceDN/>
        <w:bidi w:val="0"/>
        <w:adjustRightInd/>
        <w:snapToGrid/>
        <w:spacing w:after="0" w:line="360" w:lineRule="auto"/>
        <w:ind w:firstLine="440" w:firstLineChars="200"/>
        <w:jc w:val="left"/>
        <w:textAlignment w:val="bottom"/>
        <w:rPr>
          <w:rFonts w:hint="eastAsia" w:ascii="宋体" w:hAnsi="宋体" w:eastAsia="宋体" w:cs="宋体"/>
          <w:color w:val="auto"/>
        </w:rPr>
      </w:pPr>
      <w:r>
        <w:rPr>
          <w:rFonts w:hint="eastAsia" w:ascii="宋体" w:hAnsi="宋体" w:eastAsia="宋体" w:cs="宋体"/>
          <w:color w:val="auto"/>
        </w:rPr>
        <w:fldChar w:fldCharType="end"/>
      </w:r>
    </w:p>
    <w:p w14:paraId="583658BB">
      <w:pPr>
        <w:jc w:val="center"/>
        <w:rPr>
          <w:rFonts w:hint="eastAsia" w:ascii="宋体" w:hAnsi="宋体" w:eastAsia="宋体" w:cs="宋体"/>
          <w:b/>
          <w:bCs/>
          <w:color w:val="auto"/>
          <w:sz w:val="32"/>
        </w:rPr>
      </w:pPr>
    </w:p>
    <w:p w14:paraId="32DD0F88">
      <w:pPr>
        <w:jc w:val="center"/>
        <w:rPr>
          <w:rFonts w:hint="eastAsia" w:ascii="宋体" w:hAnsi="宋体" w:eastAsia="宋体" w:cs="宋体"/>
          <w:b/>
          <w:bCs/>
          <w:color w:val="auto"/>
          <w:sz w:val="32"/>
        </w:rPr>
      </w:pPr>
    </w:p>
    <w:p w14:paraId="74D9A974">
      <w:pPr>
        <w:pStyle w:val="27"/>
        <w:rPr>
          <w:rFonts w:hint="eastAsia"/>
          <w:lang w:val="en-US" w:eastAsia="zh-CN"/>
        </w:rPr>
        <w:sectPr>
          <w:footerReference r:id="rId5" w:type="default"/>
          <w:pgSz w:w="11906" w:h="16838"/>
          <w:pgMar w:top="1440" w:right="1800" w:bottom="1440" w:left="1800" w:header="851" w:footer="992" w:gutter="0"/>
          <w:pgNumType w:fmt="decimal" w:start="1"/>
          <w:cols w:space="425" w:num="1"/>
          <w:docGrid w:type="lines" w:linePitch="312" w:charSpace="0"/>
        </w:sectPr>
      </w:pPr>
      <w:bookmarkStart w:id="3" w:name="_Toc30261"/>
    </w:p>
    <w:p w14:paraId="79885A13">
      <w:pPr>
        <w:pStyle w:val="2"/>
        <w:keepNext/>
        <w:keepLines/>
        <w:pageBreakBefore w:val="0"/>
        <w:widowControl w:val="0"/>
        <w:kinsoku/>
        <w:wordWrap/>
        <w:overflowPunct/>
        <w:topLinePunct w:val="0"/>
        <w:autoSpaceDE/>
        <w:autoSpaceDN/>
        <w:bidi w:val="0"/>
        <w:adjustRightInd/>
        <w:snapToGrid/>
        <w:spacing w:after="240" w:line="120" w:lineRule="auto"/>
        <w:jc w:val="center"/>
        <w:textAlignment w:val="auto"/>
        <w:rPr>
          <w:rStyle w:val="89"/>
          <w:rFonts w:hint="eastAsia" w:eastAsia="仿宋_GB2312" w:cs="Times New Roman"/>
          <w:color w:val="auto"/>
          <w:sz w:val="32"/>
          <w:szCs w:val="32"/>
          <w:lang w:val="en-US" w:eastAsia="zh-CN"/>
        </w:rPr>
      </w:pPr>
      <w:bookmarkStart w:id="4" w:name="_Toc2378"/>
      <w:r>
        <w:rPr>
          <w:rFonts w:hint="eastAsia" w:ascii="宋体" w:hAnsi="宋体" w:eastAsia="宋体" w:cs="宋体"/>
          <w:lang w:val="en-US" w:eastAsia="zh-CN"/>
        </w:rPr>
        <w:t>第</w:t>
      </w:r>
      <w:r>
        <w:rPr>
          <w:rFonts w:hint="eastAsia" w:ascii="宋体" w:hAnsi="宋体" w:cs="宋体"/>
          <w:lang w:val="en-US" w:eastAsia="zh-CN"/>
        </w:rPr>
        <w:t>一</w:t>
      </w:r>
      <w:r>
        <w:rPr>
          <w:rFonts w:hint="eastAsia" w:ascii="宋体" w:hAnsi="宋体" w:eastAsia="宋体" w:cs="宋体"/>
          <w:lang w:val="en-US" w:eastAsia="zh-CN"/>
        </w:rPr>
        <w:t>章</w:t>
      </w:r>
      <w:r>
        <w:rPr>
          <w:rFonts w:hint="eastAsia" w:ascii="宋体" w:hAnsi="宋体" w:cs="宋体"/>
          <w:lang w:val="en-US" w:eastAsia="zh-CN"/>
        </w:rPr>
        <w:t xml:space="preserve">  </w:t>
      </w:r>
      <w:r>
        <w:rPr>
          <w:rFonts w:hint="eastAsia" w:ascii="宋体" w:hAnsi="宋体" w:cs="宋体"/>
          <w:color w:val="auto"/>
          <w:sz w:val="30"/>
          <w:szCs w:val="30"/>
          <w:lang w:val="en-US" w:eastAsia="zh-CN"/>
        </w:rPr>
        <w:t>竞争性谈判通知</w:t>
      </w:r>
      <w:bookmarkEnd w:id="3"/>
      <w:bookmarkEnd w:id="4"/>
    </w:p>
    <w:p w14:paraId="0B950CC5">
      <w:pPr>
        <w:spacing w:line="360" w:lineRule="auto"/>
        <w:ind w:left="-210" w:leftChars="-100"/>
        <w:jc w:val="both"/>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各供应商：</w:t>
      </w:r>
      <w:r>
        <w:rPr>
          <w:rFonts w:hint="default" w:ascii="宋体" w:hAnsi="宋体" w:eastAsia="宋体" w:cs="宋体"/>
          <w:color w:val="auto"/>
          <w:szCs w:val="21"/>
          <w:lang w:val="en-US" w:eastAsia="zh-CN"/>
        </w:rPr>
        <w:t xml:space="preserve"> </w:t>
      </w:r>
    </w:p>
    <w:p w14:paraId="3071CA83">
      <w:pPr>
        <w:spacing w:line="360" w:lineRule="auto"/>
        <w:ind w:left="-210" w:leftChars="-100" w:firstLine="420" w:firstLineChars="200"/>
        <w:jc w:val="both"/>
        <w:rPr>
          <w:rFonts w:hint="eastAsia" w:ascii="宋体" w:hAnsi="宋体" w:eastAsia="宋体" w:cs="宋体"/>
          <w:color w:val="auto"/>
          <w:szCs w:val="21"/>
          <w:lang w:val="en-US" w:eastAsia="zh-CN"/>
        </w:rPr>
      </w:pPr>
      <w:r>
        <w:rPr>
          <w:rFonts w:hint="default" w:ascii="宋体" w:hAnsi="宋体" w:eastAsia="宋体" w:cs="宋体"/>
          <w:color w:val="auto"/>
          <w:szCs w:val="21"/>
          <w:lang w:val="en-US" w:eastAsia="zh-CN"/>
        </w:rPr>
        <w:t>贵州钟山野马寨热电有限责任公司拟进行</w:t>
      </w:r>
      <w:r>
        <w:rPr>
          <w:rFonts w:hint="eastAsia" w:ascii="宋体" w:hAnsi="宋体" w:cs="宋体"/>
          <w:color w:val="auto"/>
          <w:szCs w:val="21"/>
          <w:lang w:val="en-US" w:eastAsia="zh-CN"/>
        </w:rPr>
        <w:t>2025年第十九批次燃煤采购项目</w:t>
      </w:r>
      <w:r>
        <w:rPr>
          <w:rFonts w:hint="default" w:ascii="宋体" w:hAnsi="宋体" w:eastAsia="宋体" w:cs="宋体"/>
          <w:color w:val="auto"/>
          <w:szCs w:val="21"/>
          <w:lang w:val="en-US" w:eastAsia="zh-CN"/>
        </w:rPr>
        <w:t>竞争性谈判采购工作，本项目资金为企业自筹。欢迎</w:t>
      </w:r>
      <w:r>
        <w:rPr>
          <w:rFonts w:hint="eastAsia" w:ascii="宋体" w:hAnsi="宋体" w:eastAsia="宋体" w:cs="宋体"/>
          <w:color w:val="auto"/>
          <w:szCs w:val="21"/>
          <w:lang w:val="en-US" w:eastAsia="zh-CN"/>
        </w:rPr>
        <w:t>各位已报名入库的</w:t>
      </w:r>
      <w:r>
        <w:rPr>
          <w:rFonts w:hint="default" w:ascii="宋体" w:hAnsi="宋体" w:eastAsia="宋体" w:cs="宋体"/>
          <w:color w:val="auto"/>
          <w:szCs w:val="21"/>
          <w:lang w:eastAsia="zh-CN"/>
        </w:rPr>
        <w:t>供应商参加</w:t>
      </w:r>
      <w:r>
        <w:rPr>
          <w:rFonts w:hint="default" w:ascii="宋体" w:hAnsi="宋体" w:eastAsia="宋体" w:cs="宋体"/>
          <w:color w:val="auto"/>
          <w:szCs w:val="21"/>
          <w:lang w:val="en-US" w:eastAsia="zh-CN"/>
        </w:rPr>
        <w:t>本次竞争性谈判</w:t>
      </w:r>
      <w:r>
        <w:rPr>
          <w:rFonts w:hint="default" w:ascii="宋体" w:hAnsi="宋体" w:eastAsia="宋体" w:cs="宋体"/>
          <w:color w:val="auto"/>
          <w:szCs w:val="21"/>
          <w:lang w:eastAsia="zh-CN"/>
        </w:rPr>
        <w:t>。</w:t>
      </w:r>
    </w:p>
    <w:p w14:paraId="627BF6C8">
      <w:pPr>
        <w:spacing w:line="360" w:lineRule="auto"/>
        <w:ind w:left="-210" w:leftChars="-100" w:firstLine="420" w:firstLineChars="200"/>
        <w:jc w:val="both"/>
        <w:rPr>
          <w:rFonts w:hint="eastAsia" w:ascii="黑体" w:hAnsi="黑体" w:eastAsia="黑体" w:cs="黑体"/>
          <w:color w:val="auto"/>
          <w:szCs w:val="21"/>
          <w:lang w:val="en-US" w:eastAsia="zh-CN"/>
        </w:rPr>
      </w:pPr>
      <w:r>
        <w:rPr>
          <w:rFonts w:hint="eastAsia" w:ascii="黑体" w:hAnsi="黑体" w:eastAsia="黑体" w:cs="黑体"/>
          <w:color w:val="auto"/>
          <w:szCs w:val="21"/>
          <w:lang w:val="en-US" w:eastAsia="zh-CN"/>
        </w:rPr>
        <w:t>一、项目基本信息</w:t>
      </w:r>
    </w:p>
    <w:p w14:paraId="4C282D53">
      <w:pPr>
        <w:spacing w:line="360" w:lineRule="auto"/>
        <w:ind w:left="-210" w:leftChars="-100" w:firstLine="420" w:firstLineChars="200"/>
        <w:jc w:val="both"/>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项目名称：贵州钟山野马寨热电有限责任公司</w:t>
      </w:r>
      <w:r>
        <w:rPr>
          <w:rFonts w:hint="eastAsia" w:ascii="宋体" w:hAnsi="宋体" w:cs="宋体"/>
          <w:color w:val="auto"/>
          <w:szCs w:val="21"/>
          <w:lang w:val="en-US" w:eastAsia="zh-CN"/>
        </w:rPr>
        <w:t>2025年第十九批次燃煤采购项目</w:t>
      </w:r>
    </w:p>
    <w:p w14:paraId="3578D99B">
      <w:pPr>
        <w:spacing w:line="360" w:lineRule="auto"/>
        <w:ind w:left="-210" w:leftChars="-100" w:firstLine="420" w:firstLineChars="200"/>
        <w:jc w:val="both"/>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项目编号：</w:t>
      </w:r>
      <w:r>
        <w:rPr>
          <w:rFonts w:hint="eastAsia" w:ascii="宋体" w:hAnsi="宋体" w:cs="宋体"/>
          <w:color w:val="auto"/>
          <w:szCs w:val="21"/>
          <w:lang w:val="en-US" w:eastAsia="zh-CN"/>
        </w:rPr>
        <w:t>ZSRD2025000119</w:t>
      </w:r>
    </w:p>
    <w:p w14:paraId="578EE54F">
      <w:pPr>
        <w:spacing w:line="360" w:lineRule="auto"/>
        <w:ind w:left="-210" w:leftChars="-100" w:firstLine="420" w:firstLineChars="200"/>
        <w:jc w:val="both"/>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采购方式：竞争性谈判</w:t>
      </w:r>
    </w:p>
    <w:p w14:paraId="1A2C099E">
      <w:pPr>
        <w:spacing w:line="360" w:lineRule="auto"/>
        <w:ind w:left="-210" w:leftChars="-100" w:firstLine="420" w:firstLineChars="200"/>
        <w:jc w:val="both"/>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采购主要内容：</w:t>
      </w:r>
    </w:p>
    <w:tbl>
      <w:tblPr>
        <w:tblStyle w:val="36"/>
        <w:tblW w:w="564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992"/>
        <w:gridCol w:w="761"/>
        <w:gridCol w:w="1050"/>
        <w:gridCol w:w="853"/>
        <w:gridCol w:w="701"/>
        <w:gridCol w:w="961"/>
        <w:gridCol w:w="1044"/>
        <w:gridCol w:w="905"/>
        <w:gridCol w:w="1668"/>
      </w:tblGrid>
      <w:tr w14:paraId="04EA0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0" w:type="pct"/>
            <w:vMerge w:val="restart"/>
            <w:noWrap w:val="0"/>
            <w:vAlign w:val="center"/>
          </w:tcPr>
          <w:p w14:paraId="5574B722">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煤种</w:t>
            </w:r>
          </w:p>
        </w:tc>
        <w:tc>
          <w:tcPr>
            <w:tcW w:w="2262" w:type="pct"/>
            <w:gridSpan w:val="5"/>
            <w:noWrap w:val="0"/>
            <w:vAlign w:val="center"/>
          </w:tcPr>
          <w:p w14:paraId="04921295">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质量要求</w:t>
            </w:r>
          </w:p>
        </w:tc>
        <w:tc>
          <w:tcPr>
            <w:tcW w:w="499" w:type="pct"/>
            <w:vMerge w:val="restart"/>
            <w:noWrap w:val="0"/>
            <w:vAlign w:val="center"/>
          </w:tcPr>
          <w:p w14:paraId="1EECCE0A">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供应数量（吨）</w:t>
            </w:r>
          </w:p>
        </w:tc>
        <w:tc>
          <w:tcPr>
            <w:tcW w:w="1878" w:type="pct"/>
            <w:gridSpan w:val="3"/>
            <w:vMerge w:val="restart"/>
            <w:noWrap w:val="0"/>
            <w:vAlign w:val="center"/>
          </w:tcPr>
          <w:p w14:paraId="4644058A">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控制价</w:t>
            </w:r>
          </w:p>
        </w:tc>
      </w:tr>
      <w:tr w14:paraId="5F5E0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60" w:type="pct"/>
            <w:vMerge w:val="continue"/>
            <w:noWrap w:val="0"/>
            <w:vAlign w:val="center"/>
          </w:tcPr>
          <w:p w14:paraId="299E2B11">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auto"/>
                <w:sz w:val="18"/>
                <w:szCs w:val="18"/>
                <w:lang w:val="en-US" w:eastAsia="zh-CN"/>
              </w:rPr>
            </w:pPr>
          </w:p>
        </w:tc>
        <w:tc>
          <w:tcPr>
            <w:tcW w:w="515" w:type="pct"/>
            <w:vMerge w:val="restart"/>
            <w:noWrap w:val="0"/>
            <w:vAlign w:val="center"/>
          </w:tcPr>
          <w:p w14:paraId="7EA51568">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Qnet,ar(kcal/kg)</w:t>
            </w:r>
          </w:p>
        </w:tc>
        <w:tc>
          <w:tcPr>
            <w:tcW w:w="395" w:type="pct"/>
            <w:vMerge w:val="restart"/>
            <w:noWrap w:val="0"/>
            <w:vAlign w:val="center"/>
          </w:tcPr>
          <w:p w14:paraId="6D0DCDC0">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Mt(%)</w:t>
            </w:r>
          </w:p>
        </w:tc>
        <w:tc>
          <w:tcPr>
            <w:tcW w:w="545" w:type="pct"/>
            <w:vMerge w:val="restart"/>
            <w:noWrap w:val="0"/>
            <w:vAlign w:val="center"/>
          </w:tcPr>
          <w:p w14:paraId="629EAE95">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Var(%)</w:t>
            </w:r>
          </w:p>
        </w:tc>
        <w:tc>
          <w:tcPr>
            <w:tcW w:w="442" w:type="pct"/>
            <w:vMerge w:val="restart"/>
            <w:noWrap w:val="0"/>
            <w:vAlign w:val="center"/>
          </w:tcPr>
          <w:p w14:paraId="1BF0DD6C">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St,d(%)</w:t>
            </w:r>
          </w:p>
        </w:tc>
        <w:tc>
          <w:tcPr>
            <w:tcW w:w="364" w:type="pct"/>
            <w:vMerge w:val="restart"/>
            <w:noWrap w:val="0"/>
            <w:vAlign w:val="center"/>
          </w:tcPr>
          <w:p w14:paraId="3732149D">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粒度（mm）</w:t>
            </w:r>
          </w:p>
        </w:tc>
        <w:tc>
          <w:tcPr>
            <w:tcW w:w="499" w:type="pct"/>
            <w:vMerge w:val="continue"/>
            <w:noWrap w:val="0"/>
            <w:vAlign w:val="center"/>
          </w:tcPr>
          <w:p w14:paraId="6AC13E0A">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auto"/>
                <w:sz w:val="18"/>
                <w:szCs w:val="18"/>
                <w:lang w:val="en-US" w:eastAsia="zh-CN"/>
              </w:rPr>
            </w:pPr>
          </w:p>
        </w:tc>
        <w:tc>
          <w:tcPr>
            <w:tcW w:w="1878" w:type="pct"/>
            <w:gridSpan w:val="3"/>
            <w:vMerge w:val="continue"/>
            <w:noWrap w:val="0"/>
            <w:vAlign w:val="center"/>
          </w:tcPr>
          <w:p w14:paraId="02849C9D">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auto"/>
                <w:sz w:val="18"/>
                <w:szCs w:val="18"/>
                <w:lang w:val="en-US" w:eastAsia="zh-CN"/>
              </w:rPr>
            </w:pPr>
          </w:p>
        </w:tc>
      </w:tr>
      <w:tr w14:paraId="1349A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360" w:type="pct"/>
            <w:vMerge w:val="continue"/>
            <w:noWrap w:val="0"/>
            <w:vAlign w:val="center"/>
          </w:tcPr>
          <w:p w14:paraId="44F67735">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auto"/>
                <w:sz w:val="18"/>
                <w:szCs w:val="18"/>
                <w:lang w:val="en-US" w:eastAsia="zh-CN"/>
              </w:rPr>
            </w:pPr>
          </w:p>
        </w:tc>
        <w:tc>
          <w:tcPr>
            <w:tcW w:w="515" w:type="pct"/>
            <w:vMerge w:val="continue"/>
            <w:noWrap w:val="0"/>
            <w:vAlign w:val="center"/>
          </w:tcPr>
          <w:p w14:paraId="115A108A">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auto"/>
                <w:sz w:val="18"/>
                <w:szCs w:val="18"/>
                <w:lang w:val="en-US" w:eastAsia="zh-CN"/>
              </w:rPr>
            </w:pPr>
          </w:p>
        </w:tc>
        <w:tc>
          <w:tcPr>
            <w:tcW w:w="395" w:type="pct"/>
            <w:vMerge w:val="continue"/>
            <w:noWrap w:val="0"/>
            <w:vAlign w:val="center"/>
          </w:tcPr>
          <w:p w14:paraId="1170A8EE">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auto"/>
                <w:sz w:val="18"/>
                <w:szCs w:val="18"/>
                <w:lang w:val="en-US" w:eastAsia="zh-CN"/>
              </w:rPr>
            </w:pPr>
          </w:p>
        </w:tc>
        <w:tc>
          <w:tcPr>
            <w:tcW w:w="545" w:type="pct"/>
            <w:vMerge w:val="continue"/>
            <w:noWrap w:val="0"/>
            <w:vAlign w:val="center"/>
          </w:tcPr>
          <w:p w14:paraId="7988D398">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auto"/>
                <w:sz w:val="18"/>
                <w:szCs w:val="18"/>
                <w:lang w:val="en-US" w:eastAsia="zh-CN"/>
              </w:rPr>
            </w:pPr>
          </w:p>
        </w:tc>
        <w:tc>
          <w:tcPr>
            <w:tcW w:w="442" w:type="pct"/>
            <w:vMerge w:val="continue"/>
            <w:noWrap w:val="0"/>
            <w:vAlign w:val="center"/>
          </w:tcPr>
          <w:p w14:paraId="3D734C1C">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auto"/>
                <w:sz w:val="18"/>
                <w:szCs w:val="18"/>
                <w:lang w:val="en-US" w:eastAsia="zh-CN"/>
              </w:rPr>
            </w:pPr>
          </w:p>
        </w:tc>
        <w:tc>
          <w:tcPr>
            <w:tcW w:w="364" w:type="pct"/>
            <w:vMerge w:val="continue"/>
            <w:noWrap w:val="0"/>
            <w:vAlign w:val="center"/>
          </w:tcPr>
          <w:p w14:paraId="1A9094C7">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auto"/>
                <w:sz w:val="18"/>
                <w:szCs w:val="18"/>
                <w:lang w:val="en-US" w:eastAsia="zh-CN"/>
              </w:rPr>
            </w:pPr>
          </w:p>
        </w:tc>
        <w:tc>
          <w:tcPr>
            <w:tcW w:w="499" w:type="pct"/>
            <w:vMerge w:val="continue"/>
            <w:noWrap w:val="0"/>
            <w:vAlign w:val="center"/>
          </w:tcPr>
          <w:p w14:paraId="0CB6090D">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auto"/>
                <w:sz w:val="18"/>
                <w:szCs w:val="18"/>
                <w:lang w:val="en-US" w:eastAsia="zh-CN"/>
              </w:rPr>
            </w:pPr>
          </w:p>
        </w:tc>
        <w:tc>
          <w:tcPr>
            <w:tcW w:w="542" w:type="pct"/>
            <w:noWrap w:val="0"/>
            <w:vAlign w:val="center"/>
          </w:tcPr>
          <w:p w14:paraId="76BA4BA1">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货物总价（</w:t>
            </w:r>
            <w:r>
              <w:rPr>
                <w:rFonts w:hint="eastAsia" w:ascii="宋体" w:hAnsi="宋体" w:cs="宋体"/>
                <w:color w:val="auto"/>
                <w:sz w:val="18"/>
                <w:szCs w:val="18"/>
                <w:lang w:val="en-US" w:eastAsia="zh-CN"/>
              </w:rPr>
              <w:t>万</w:t>
            </w:r>
            <w:r>
              <w:rPr>
                <w:rFonts w:hint="eastAsia" w:ascii="宋体" w:hAnsi="宋体" w:eastAsia="宋体" w:cs="宋体"/>
                <w:color w:val="auto"/>
                <w:sz w:val="18"/>
                <w:szCs w:val="18"/>
                <w:lang w:val="en-US" w:eastAsia="zh-CN"/>
              </w:rPr>
              <w:t>元）</w:t>
            </w:r>
          </w:p>
        </w:tc>
        <w:tc>
          <w:tcPr>
            <w:tcW w:w="469" w:type="pct"/>
            <w:noWrap w:val="0"/>
            <w:vAlign w:val="center"/>
          </w:tcPr>
          <w:p w14:paraId="39BD8A07">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货物单价（元/吨）</w:t>
            </w:r>
          </w:p>
        </w:tc>
        <w:tc>
          <w:tcPr>
            <w:tcW w:w="866" w:type="pct"/>
            <w:noWrap w:val="0"/>
            <w:vAlign w:val="center"/>
          </w:tcPr>
          <w:p w14:paraId="464C989F">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热值基准单价 （元 /[(kcal/kg)×吨]）</w:t>
            </w:r>
          </w:p>
        </w:tc>
      </w:tr>
      <w:tr w14:paraId="5FF78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60" w:type="pct"/>
            <w:noWrap w:val="0"/>
            <w:vAlign w:val="center"/>
          </w:tcPr>
          <w:p w14:paraId="3DD075E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lang w:val="en-US" w:eastAsia="zh-CN"/>
              </w:rPr>
            </w:pPr>
            <w:r>
              <w:rPr>
                <w:rStyle w:val="89"/>
                <w:rFonts w:hint="eastAsia" w:ascii="宋体" w:hAnsi="宋体" w:eastAsia="宋体" w:cs="宋体"/>
                <w:color w:val="auto"/>
                <w:sz w:val="20"/>
                <w:szCs w:val="20"/>
                <w:lang w:val="en-US" w:eastAsia="zh-CN"/>
              </w:rPr>
              <w:t>烟煤</w:t>
            </w:r>
          </w:p>
        </w:tc>
        <w:tc>
          <w:tcPr>
            <w:tcW w:w="515" w:type="pct"/>
            <w:noWrap w:val="0"/>
            <w:vAlign w:val="center"/>
          </w:tcPr>
          <w:p w14:paraId="43F49BC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18"/>
                <w:szCs w:val="18"/>
                <w:lang w:val="en-US" w:eastAsia="zh-CN"/>
              </w:rPr>
            </w:pPr>
            <w:r>
              <w:rPr>
                <w:rStyle w:val="89"/>
                <w:rFonts w:hint="eastAsia" w:ascii="宋体" w:hAnsi="宋体" w:eastAsia="宋体" w:cs="宋体"/>
                <w:color w:val="auto"/>
                <w:sz w:val="20"/>
                <w:szCs w:val="20"/>
                <w:lang w:val="en-US" w:eastAsia="zh-CN"/>
              </w:rPr>
              <w:t>≥</w:t>
            </w:r>
            <w:r>
              <w:rPr>
                <w:rStyle w:val="89"/>
                <w:rFonts w:hint="eastAsia" w:ascii="宋体" w:hAnsi="宋体" w:cs="宋体"/>
                <w:color w:val="auto"/>
                <w:sz w:val="20"/>
                <w:szCs w:val="20"/>
                <w:lang w:val="en-US" w:eastAsia="zh-CN"/>
              </w:rPr>
              <w:t>30</w:t>
            </w:r>
            <w:r>
              <w:rPr>
                <w:rStyle w:val="89"/>
                <w:rFonts w:hint="eastAsia" w:ascii="宋体" w:hAnsi="宋体" w:eastAsia="宋体" w:cs="宋体"/>
                <w:color w:val="auto"/>
                <w:sz w:val="20"/>
                <w:szCs w:val="20"/>
                <w:lang w:val="en-US" w:eastAsia="zh-CN"/>
              </w:rPr>
              <w:t>00</w:t>
            </w:r>
          </w:p>
        </w:tc>
        <w:tc>
          <w:tcPr>
            <w:tcW w:w="395" w:type="pct"/>
            <w:noWrap w:val="0"/>
            <w:vAlign w:val="center"/>
          </w:tcPr>
          <w:p w14:paraId="0249880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lang w:val="en-US" w:eastAsia="zh-CN"/>
              </w:rPr>
            </w:pPr>
            <w:r>
              <w:rPr>
                <w:rStyle w:val="89"/>
                <w:rFonts w:hint="eastAsia" w:ascii="宋体" w:hAnsi="宋体" w:eastAsia="宋体" w:cs="宋体"/>
                <w:color w:val="auto"/>
                <w:sz w:val="20"/>
                <w:szCs w:val="20"/>
                <w:lang w:val="en-US" w:eastAsia="zh-CN"/>
              </w:rPr>
              <w:t>≤15.0</w:t>
            </w:r>
          </w:p>
        </w:tc>
        <w:tc>
          <w:tcPr>
            <w:tcW w:w="545" w:type="pct"/>
            <w:noWrap w:val="0"/>
            <w:vAlign w:val="center"/>
          </w:tcPr>
          <w:p w14:paraId="0BA9579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18"/>
                <w:szCs w:val="18"/>
                <w:lang w:val="en-US" w:eastAsia="zh-CN"/>
              </w:rPr>
            </w:pPr>
            <w:r>
              <w:rPr>
                <w:rStyle w:val="89"/>
                <w:rFonts w:hint="eastAsia" w:ascii="宋体" w:hAnsi="宋体" w:cs="宋体"/>
                <w:color w:val="auto"/>
                <w:sz w:val="20"/>
                <w:szCs w:val="20"/>
                <w:lang w:val="en-US" w:eastAsia="zh-CN"/>
              </w:rPr>
              <w:t>13.00≤Var(%)≤25.00</w:t>
            </w:r>
          </w:p>
        </w:tc>
        <w:tc>
          <w:tcPr>
            <w:tcW w:w="442" w:type="pct"/>
            <w:noWrap w:val="0"/>
            <w:vAlign w:val="center"/>
          </w:tcPr>
          <w:p w14:paraId="6BD537A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lang w:val="en-US" w:eastAsia="zh-CN"/>
              </w:rPr>
            </w:pPr>
            <w:r>
              <w:rPr>
                <w:rStyle w:val="89"/>
                <w:rFonts w:hint="eastAsia" w:ascii="宋体" w:hAnsi="宋体" w:eastAsia="宋体" w:cs="宋体"/>
                <w:color w:val="auto"/>
                <w:sz w:val="20"/>
                <w:szCs w:val="20"/>
                <w:lang w:val="en-US" w:eastAsia="zh-CN"/>
              </w:rPr>
              <w:t>≤3.00</w:t>
            </w:r>
          </w:p>
        </w:tc>
        <w:tc>
          <w:tcPr>
            <w:tcW w:w="364" w:type="pct"/>
            <w:noWrap w:val="0"/>
            <w:vAlign w:val="center"/>
          </w:tcPr>
          <w:p w14:paraId="38CABFE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lang w:val="en-US" w:eastAsia="zh-CN"/>
              </w:rPr>
            </w:pPr>
            <w:r>
              <w:rPr>
                <w:rStyle w:val="89"/>
                <w:rFonts w:hint="eastAsia" w:ascii="宋体" w:hAnsi="宋体" w:eastAsia="宋体" w:cs="宋体"/>
                <w:color w:val="auto"/>
                <w:sz w:val="20"/>
                <w:szCs w:val="20"/>
                <w:lang w:val="en-US" w:eastAsia="zh-CN"/>
              </w:rPr>
              <w:t>≤50</w:t>
            </w:r>
          </w:p>
        </w:tc>
        <w:tc>
          <w:tcPr>
            <w:tcW w:w="499" w:type="pct"/>
            <w:noWrap w:val="0"/>
            <w:vAlign w:val="center"/>
          </w:tcPr>
          <w:p w14:paraId="24E1ADE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18"/>
                <w:szCs w:val="18"/>
                <w:lang w:val="en-US" w:eastAsia="zh-CN"/>
              </w:rPr>
            </w:pPr>
            <w:r>
              <w:rPr>
                <w:rStyle w:val="89"/>
                <w:rFonts w:hint="eastAsia" w:ascii="宋体" w:hAnsi="宋体" w:cs="宋体" w:eastAsiaTheme="minorEastAsia"/>
                <w:color w:val="auto"/>
                <w:sz w:val="20"/>
                <w:szCs w:val="20"/>
                <w:lang w:val="en-US" w:eastAsia="zh-CN"/>
              </w:rPr>
              <w:t>≥10000</w:t>
            </w:r>
          </w:p>
        </w:tc>
        <w:tc>
          <w:tcPr>
            <w:tcW w:w="542" w:type="pct"/>
            <w:noWrap w:val="0"/>
            <w:vAlign w:val="center"/>
          </w:tcPr>
          <w:p w14:paraId="09D9182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18"/>
                <w:szCs w:val="18"/>
                <w:lang w:val="en-US" w:eastAsia="zh-CN"/>
              </w:rPr>
            </w:pPr>
            <w:r>
              <w:rPr>
                <w:rStyle w:val="89"/>
                <w:rFonts w:hint="eastAsia" w:ascii="宋体" w:hAnsi="宋体" w:cs="宋体" w:eastAsiaTheme="minorEastAsia"/>
                <w:color w:val="auto"/>
                <w:sz w:val="20"/>
                <w:szCs w:val="20"/>
                <w:lang w:val="en-US" w:eastAsia="zh-CN"/>
              </w:rPr>
              <w:t>321</w:t>
            </w:r>
          </w:p>
        </w:tc>
        <w:tc>
          <w:tcPr>
            <w:tcW w:w="469" w:type="pct"/>
            <w:noWrap w:val="0"/>
            <w:vAlign w:val="center"/>
          </w:tcPr>
          <w:p w14:paraId="7A567FD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18"/>
                <w:szCs w:val="18"/>
                <w:lang w:val="en-US" w:eastAsia="zh-CN"/>
              </w:rPr>
            </w:pPr>
            <w:r>
              <w:rPr>
                <w:rStyle w:val="89"/>
                <w:rFonts w:hint="eastAsia" w:ascii="宋体" w:hAnsi="宋体" w:cs="宋体" w:eastAsiaTheme="minorEastAsia"/>
                <w:color w:val="auto"/>
                <w:sz w:val="20"/>
                <w:szCs w:val="20"/>
                <w:lang w:val="en-US" w:eastAsia="zh-CN"/>
              </w:rPr>
              <w:t>321</w:t>
            </w:r>
          </w:p>
        </w:tc>
        <w:tc>
          <w:tcPr>
            <w:tcW w:w="866" w:type="pct"/>
            <w:noWrap w:val="0"/>
            <w:vAlign w:val="center"/>
          </w:tcPr>
          <w:p w14:paraId="1D26A47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18"/>
                <w:szCs w:val="18"/>
                <w:highlight w:val="none"/>
                <w:lang w:val="en-US" w:eastAsia="zh-CN"/>
              </w:rPr>
            </w:pPr>
            <w:r>
              <w:rPr>
                <w:rStyle w:val="89"/>
                <w:rFonts w:hint="eastAsia" w:ascii="宋体" w:hAnsi="宋体" w:cs="宋体" w:eastAsiaTheme="minorEastAsia"/>
                <w:color w:val="auto"/>
                <w:sz w:val="20"/>
                <w:szCs w:val="20"/>
                <w:lang w:val="en-US" w:eastAsia="zh-CN"/>
              </w:rPr>
              <w:t>0.107</w:t>
            </w:r>
          </w:p>
        </w:tc>
      </w:tr>
    </w:tbl>
    <w:p w14:paraId="7C345AA5">
      <w:pPr>
        <w:keepNext w:val="0"/>
        <w:keepLines w:val="0"/>
        <w:pageBreakBefore w:val="0"/>
        <w:widowControl w:val="0"/>
        <w:kinsoku/>
        <w:wordWrap/>
        <w:overflowPunct/>
        <w:topLinePunct w:val="0"/>
        <w:autoSpaceDE/>
        <w:autoSpaceDN/>
        <w:bidi w:val="0"/>
        <w:adjustRightInd/>
        <w:snapToGrid/>
        <w:spacing w:line="360" w:lineRule="auto"/>
        <w:ind w:left="-210" w:leftChars="-100" w:firstLine="420" w:firstLineChars="200"/>
        <w:jc w:val="both"/>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燃煤采购区域：省内（来煤若掺配新疆煤</w:t>
      </w:r>
      <w:r>
        <w:rPr>
          <w:rFonts w:hint="eastAsia" w:ascii="宋体" w:hAnsi="宋体" w:cs="宋体"/>
          <w:color w:val="auto"/>
          <w:szCs w:val="21"/>
          <w:lang w:val="en-US" w:eastAsia="zh-CN"/>
        </w:rPr>
        <w:t>、无烟煤</w:t>
      </w:r>
      <w:r>
        <w:rPr>
          <w:rFonts w:hint="eastAsia" w:ascii="宋体" w:hAnsi="宋体" w:eastAsia="宋体" w:cs="宋体"/>
          <w:color w:val="auto"/>
          <w:szCs w:val="21"/>
          <w:lang w:val="en-US" w:eastAsia="zh-CN"/>
        </w:rPr>
        <w:t>采购人有权拒付）。</w:t>
      </w:r>
    </w:p>
    <w:p w14:paraId="56371574">
      <w:pPr>
        <w:keepNext w:val="0"/>
        <w:keepLines w:val="0"/>
        <w:pageBreakBefore w:val="0"/>
        <w:widowControl w:val="0"/>
        <w:kinsoku/>
        <w:wordWrap/>
        <w:overflowPunct/>
        <w:topLinePunct w:val="0"/>
        <w:autoSpaceDE/>
        <w:autoSpaceDN/>
        <w:bidi w:val="0"/>
        <w:adjustRightInd/>
        <w:snapToGrid/>
        <w:spacing w:line="360" w:lineRule="auto"/>
        <w:ind w:left="-210" w:leftChars="-100" w:firstLine="420" w:firstLineChars="200"/>
        <w:jc w:val="both"/>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合同期限：合同期为30个日历天</w:t>
      </w:r>
      <w:r>
        <w:rPr>
          <w:rFonts w:hint="eastAsia" w:ascii="宋体" w:hAnsi="宋体" w:cs="宋体"/>
          <w:color w:val="auto"/>
          <w:szCs w:val="21"/>
          <w:lang w:val="en-US" w:eastAsia="zh-CN"/>
        </w:rPr>
        <w:t>，</w:t>
      </w:r>
      <w:r>
        <w:rPr>
          <w:rFonts w:hint="eastAsia" w:ascii="宋体" w:hAnsi="宋体" w:eastAsia="宋体" w:cs="宋体"/>
          <w:color w:val="auto"/>
          <w:szCs w:val="21"/>
          <w:lang w:val="en-US" w:eastAsia="zh-CN"/>
        </w:rPr>
        <w:t>中标供应商在合同期30个日历天内供应燃煤为≥10000吨，供应上限由采购人根据实际情况决定。供应商在收到采购人发出的《中标通知书》7个工作日内在采购人指定地点签订合同。</w:t>
      </w:r>
    </w:p>
    <w:p w14:paraId="062F7468">
      <w:pPr>
        <w:spacing w:line="360" w:lineRule="auto"/>
        <w:ind w:left="-210" w:leftChars="-100" w:firstLine="420" w:firstLineChars="200"/>
        <w:jc w:val="left"/>
        <w:rPr>
          <w:rFonts w:hint="eastAsia" w:ascii="黑体" w:hAnsi="黑体" w:eastAsia="黑体" w:cs="黑体"/>
          <w:color w:val="auto"/>
          <w:szCs w:val="21"/>
          <w:lang w:val="en-US" w:eastAsia="zh-CN"/>
        </w:rPr>
      </w:pPr>
      <w:r>
        <w:rPr>
          <w:rFonts w:hint="eastAsia" w:ascii="黑体" w:hAnsi="黑体" w:eastAsia="黑体" w:cs="黑体"/>
          <w:color w:val="auto"/>
          <w:szCs w:val="21"/>
          <w:lang w:val="en-US" w:eastAsia="zh-CN"/>
        </w:rPr>
        <w:t>二、谈判保证金要求</w:t>
      </w:r>
    </w:p>
    <w:p w14:paraId="7387B090">
      <w:pPr>
        <w:spacing w:line="360" w:lineRule="auto"/>
        <w:ind w:left="-210" w:leftChars="-100" w:firstLine="420" w:firstLineChars="200"/>
        <w:jc w:val="both"/>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参与本批次燃煤采购项目谈判需</w:t>
      </w:r>
      <w:r>
        <w:rPr>
          <w:rFonts w:hint="eastAsia" w:ascii="宋体" w:hAnsi="宋体" w:cs="宋体"/>
          <w:color w:val="auto"/>
          <w:szCs w:val="21"/>
          <w:lang w:val="en-US" w:eastAsia="zh-CN"/>
        </w:rPr>
        <w:t>缴纳</w:t>
      </w:r>
      <w:r>
        <w:rPr>
          <w:rFonts w:hint="eastAsia" w:ascii="宋体" w:hAnsi="宋体" w:eastAsia="宋体" w:cs="宋体"/>
          <w:color w:val="auto"/>
          <w:szCs w:val="21"/>
          <w:lang w:val="en-US" w:eastAsia="zh-CN"/>
        </w:rPr>
        <w:t>谈判保证金</w:t>
      </w:r>
      <w:r>
        <w:rPr>
          <w:rFonts w:hint="eastAsia" w:ascii="宋体" w:hAnsi="宋体" w:cs="宋体"/>
          <w:color w:val="auto"/>
          <w:szCs w:val="21"/>
          <w:lang w:val="en-US" w:eastAsia="zh-CN"/>
        </w:rPr>
        <w:t>2</w:t>
      </w:r>
      <w:r>
        <w:rPr>
          <w:rFonts w:hint="eastAsia" w:ascii="宋体" w:hAnsi="宋体" w:eastAsia="宋体" w:cs="宋体"/>
          <w:color w:val="auto"/>
          <w:szCs w:val="21"/>
          <w:lang w:val="en-US" w:eastAsia="zh-CN"/>
        </w:rPr>
        <w:t>0,000元（大写：人民币贰万元整），由供应商在该批次燃煤采购谈判开始前缴纳至采购人指定账户，未按时缴纳的，视为不参与该批次燃煤采购项目谈判；谈判完成后，由供应商提出申请，采购人于15个工作日内无息返还；供应商也可将此谈判保证金</w:t>
      </w:r>
      <w:r>
        <w:rPr>
          <w:rFonts w:hint="eastAsia" w:ascii="宋体" w:hAnsi="宋体" w:cs="宋体"/>
          <w:color w:val="auto"/>
          <w:szCs w:val="21"/>
          <w:lang w:val="en-US" w:eastAsia="zh-CN"/>
        </w:rPr>
        <w:t>作</w:t>
      </w:r>
      <w:r>
        <w:rPr>
          <w:rFonts w:hint="eastAsia" w:ascii="宋体" w:hAnsi="宋体" w:eastAsia="宋体" w:cs="宋体"/>
          <w:color w:val="auto"/>
          <w:szCs w:val="21"/>
          <w:lang w:val="en-US" w:eastAsia="zh-CN"/>
        </w:rPr>
        <w:t>为下一个批次燃煤采购项目谈判保证金。</w:t>
      </w:r>
    </w:p>
    <w:p w14:paraId="71A34220">
      <w:pPr>
        <w:spacing w:line="360" w:lineRule="auto"/>
        <w:ind w:left="-210" w:leftChars="-100" w:firstLine="420" w:firstLineChars="200"/>
        <w:jc w:val="both"/>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注：1.</w:t>
      </w:r>
      <w:r>
        <w:rPr>
          <w:rFonts w:hint="eastAsia" w:ascii="宋体" w:hAnsi="宋体" w:eastAsia="宋体" w:cs="宋体"/>
          <w:color w:val="auto"/>
          <w:szCs w:val="21"/>
          <w:lang w:val="en-US" w:eastAsia="zh-CN"/>
        </w:rPr>
        <w:fldChar w:fldCharType="begin"/>
      </w:r>
      <w:r>
        <w:rPr>
          <w:rFonts w:hint="eastAsia" w:ascii="宋体" w:hAnsi="宋体" w:eastAsia="宋体" w:cs="宋体"/>
          <w:color w:val="auto"/>
          <w:szCs w:val="21"/>
          <w:lang w:val="en-US" w:eastAsia="zh-CN"/>
        </w:rPr>
        <w:instrText xml:space="preserve"> HYPERLINK "mailto:供应商谈判保证金缴纳后将银行回执在谈判会议开始前通过邮箱发送至277551725@qq.com。" </w:instrText>
      </w:r>
      <w:r>
        <w:rPr>
          <w:rFonts w:hint="eastAsia" w:ascii="宋体" w:hAnsi="宋体" w:eastAsia="宋体" w:cs="宋体"/>
          <w:color w:val="auto"/>
          <w:szCs w:val="21"/>
          <w:lang w:val="en-US" w:eastAsia="zh-CN"/>
        </w:rPr>
        <w:fldChar w:fldCharType="separate"/>
      </w:r>
      <w:r>
        <w:rPr>
          <w:rFonts w:hint="eastAsia" w:ascii="宋体" w:hAnsi="宋体" w:eastAsia="宋体" w:cs="宋体"/>
          <w:color w:val="auto"/>
          <w:szCs w:val="21"/>
          <w:lang w:val="en-US" w:eastAsia="zh-CN"/>
        </w:rPr>
        <w:t>供应商缴纳谈判保证金后将银行回执通过邮箱发送至3696059436@qq.com。</w:t>
      </w:r>
      <w:r>
        <w:rPr>
          <w:rFonts w:hint="eastAsia" w:ascii="宋体" w:hAnsi="宋体" w:eastAsia="宋体" w:cs="宋体"/>
          <w:color w:val="auto"/>
          <w:szCs w:val="21"/>
          <w:lang w:val="en-US" w:eastAsia="zh-CN"/>
        </w:rPr>
        <w:fldChar w:fldCharType="end"/>
      </w:r>
    </w:p>
    <w:p w14:paraId="262ED918">
      <w:pPr>
        <w:spacing w:line="360" w:lineRule="auto"/>
        <w:ind w:left="-210" w:leftChars="-100" w:firstLine="420" w:firstLineChars="200"/>
        <w:jc w:val="both"/>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2.若供应商确定参与该批次燃煤采购，未按约定时间参与竞争性谈判会议及提交竞争性谈判响应文件的，谈判保证金不予退还。</w:t>
      </w:r>
    </w:p>
    <w:p w14:paraId="77F14556">
      <w:pPr>
        <w:spacing w:line="360" w:lineRule="auto"/>
        <w:ind w:left="-210" w:leftChars="-100" w:firstLine="420" w:firstLineChars="200"/>
        <w:jc w:val="both"/>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3.若中标供应商收到采购人发出的《中标通知书》后，未在《中标通知书》约定时间内与采购人签订合同及缴纳合同履约保证金的，谈判保证金将不予退还。</w:t>
      </w:r>
    </w:p>
    <w:p w14:paraId="30DCF9BA">
      <w:pPr>
        <w:spacing w:line="360" w:lineRule="auto"/>
        <w:ind w:left="-210" w:leftChars="-100" w:firstLine="420" w:firstLineChars="200"/>
        <w:jc w:val="left"/>
        <w:rPr>
          <w:rFonts w:hint="eastAsia" w:ascii="黑体" w:hAnsi="黑体" w:eastAsia="黑体" w:cs="黑体"/>
          <w:color w:val="auto"/>
          <w:szCs w:val="21"/>
          <w:lang w:val="en-US" w:eastAsia="zh-CN"/>
        </w:rPr>
      </w:pPr>
      <w:r>
        <w:rPr>
          <w:rFonts w:hint="eastAsia" w:ascii="黑体" w:hAnsi="黑体" w:eastAsia="黑体" w:cs="黑体"/>
          <w:color w:val="auto"/>
          <w:szCs w:val="21"/>
          <w:lang w:val="en-US" w:eastAsia="zh-CN"/>
        </w:rPr>
        <w:t>三、合同履约保证金</w:t>
      </w:r>
    </w:p>
    <w:p w14:paraId="70FDD8A9">
      <w:pPr>
        <w:spacing w:line="360" w:lineRule="auto"/>
        <w:ind w:left="-210" w:leftChars="-100" w:firstLine="420" w:firstLineChars="200"/>
        <w:jc w:val="both"/>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本批次燃煤采购数量为≥10000吨，收取合同履约保证金200000元（大写：人民币贰拾万元整），由中标供应商于合同签订前交纳至采购人指定账户；中标供应商也可按合同格式文本要求向采购人供应同等价值的燃煤。</w:t>
      </w:r>
    </w:p>
    <w:p w14:paraId="705A0D8A">
      <w:pPr>
        <w:spacing w:line="360" w:lineRule="auto"/>
        <w:ind w:left="-210" w:leftChars="-100" w:firstLine="420" w:firstLineChars="200"/>
        <w:jc w:val="left"/>
        <w:rPr>
          <w:rFonts w:hint="eastAsia" w:ascii="黑体" w:hAnsi="黑体" w:eastAsia="黑体" w:cs="黑体"/>
          <w:color w:val="auto"/>
          <w:szCs w:val="21"/>
          <w:lang w:val="en-US" w:eastAsia="zh-CN"/>
        </w:rPr>
      </w:pPr>
      <w:r>
        <w:rPr>
          <w:rFonts w:hint="eastAsia" w:ascii="黑体" w:hAnsi="黑体" w:eastAsia="黑体" w:cs="黑体"/>
          <w:color w:val="auto"/>
          <w:szCs w:val="21"/>
          <w:lang w:val="en-US" w:eastAsia="zh-CN"/>
        </w:rPr>
        <w:t>四、申请人的资格要求</w:t>
      </w:r>
    </w:p>
    <w:p w14:paraId="7D5EF28D">
      <w:pPr>
        <w:spacing w:line="360" w:lineRule="auto"/>
        <w:ind w:left="-210" w:leftChars="-100" w:firstLine="420" w:firstLineChars="200"/>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一般资格要求：</w:t>
      </w:r>
    </w:p>
    <w:p w14:paraId="5F9EA96D">
      <w:pPr>
        <w:spacing w:line="360" w:lineRule="auto"/>
        <w:ind w:left="-210" w:leftChars="-100" w:firstLine="420" w:firstLineChars="200"/>
        <w:jc w:val="both"/>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1.符合中华人民共和国政府采购法第二十二条之规定。</w:t>
      </w:r>
    </w:p>
    <w:p w14:paraId="48B564D5">
      <w:pPr>
        <w:spacing w:line="360" w:lineRule="auto"/>
        <w:ind w:left="-210" w:leftChars="-100" w:firstLine="420" w:firstLineChars="200"/>
        <w:jc w:val="both"/>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①具有独立承担民事责任的能力；②具有良好的商业信誉和健全的财务会计制度；③具有履行合同所必需的设备和专业技术能力；④有依法缴纳税收和社会保障资金的良好记录；⑤参加政府采购活动前三年内，在经营活动中没有重大违法记录；⑥法律、行政法规规定的其他条件）。</w:t>
      </w:r>
    </w:p>
    <w:p w14:paraId="02833FEE">
      <w:pPr>
        <w:spacing w:line="360" w:lineRule="auto"/>
        <w:ind w:left="-210" w:leftChars="-100" w:firstLine="420" w:firstLineChars="200"/>
        <w:jc w:val="both"/>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 xml:space="preserve">2.具有独立法人资格。 </w:t>
      </w:r>
    </w:p>
    <w:p w14:paraId="46D1685F">
      <w:pPr>
        <w:spacing w:line="360" w:lineRule="auto"/>
        <w:ind w:left="-210" w:leftChars="-100" w:firstLine="420" w:firstLineChars="200"/>
        <w:jc w:val="both"/>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 xml:space="preserve">3.本次竞争性谈判不接受联合体参与。 </w:t>
      </w:r>
    </w:p>
    <w:p w14:paraId="11AD38DE">
      <w:pPr>
        <w:spacing w:line="360" w:lineRule="auto"/>
        <w:ind w:left="-210" w:leftChars="-100" w:firstLine="420" w:firstLineChars="200"/>
        <w:jc w:val="both"/>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特殊资格要求：</w:t>
      </w:r>
    </w:p>
    <w:p w14:paraId="4332C6A2">
      <w:pPr>
        <w:spacing w:line="360" w:lineRule="auto"/>
        <w:ind w:left="-210" w:leftChars="-100" w:firstLine="420" w:firstLineChars="200"/>
        <w:jc w:val="both"/>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燃煤生产企业参与谈判的应提供采矿许可证和安全生产许可证。</w:t>
      </w:r>
    </w:p>
    <w:p w14:paraId="1B1C339B">
      <w:pPr>
        <w:spacing w:line="360" w:lineRule="auto"/>
        <w:ind w:left="-210" w:leftChars="-100" w:firstLine="420" w:firstLineChars="200"/>
        <w:jc w:val="both"/>
        <w:rPr>
          <w:rFonts w:hint="eastAsia" w:ascii="黑体" w:hAnsi="黑体" w:eastAsia="黑体" w:cs="黑体"/>
          <w:color w:val="auto"/>
          <w:szCs w:val="21"/>
          <w:lang w:val="en-US" w:eastAsia="zh-CN"/>
        </w:rPr>
      </w:pPr>
      <w:r>
        <w:rPr>
          <w:rFonts w:hint="eastAsia" w:ascii="黑体" w:hAnsi="黑体" w:eastAsia="黑体" w:cs="黑体"/>
          <w:color w:val="auto"/>
          <w:szCs w:val="21"/>
          <w:lang w:val="en-US" w:eastAsia="zh-CN"/>
        </w:rPr>
        <w:t>五、报名方式</w:t>
      </w:r>
    </w:p>
    <w:p w14:paraId="546F8BB1">
      <w:pPr>
        <w:spacing w:line="360" w:lineRule="auto"/>
        <w:ind w:left="-210" w:leftChars="-100" w:firstLine="420" w:firstLineChars="200"/>
        <w:jc w:val="both"/>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时  间：</w:t>
      </w:r>
      <w:r>
        <w:rPr>
          <w:rFonts w:hint="eastAsia" w:ascii="宋体" w:hAnsi="宋体" w:cs="宋体"/>
          <w:color w:val="auto"/>
          <w:szCs w:val="21"/>
          <w:lang w:val="en-US" w:eastAsia="zh-CN"/>
        </w:rPr>
        <w:t>2025年9月12日至2025年9月16日</w:t>
      </w:r>
      <w:r>
        <w:rPr>
          <w:rFonts w:hint="eastAsia" w:ascii="宋体" w:hAnsi="宋体" w:eastAsia="宋体" w:cs="宋体"/>
          <w:color w:val="auto"/>
          <w:szCs w:val="21"/>
          <w:lang w:val="en-US" w:eastAsia="zh-CN"/>
        </w:rPr>
        <w:t>，每天上午09:00时至12:00时，下午14:30分至16 :30 分（北京时间）</w:t>
      </w:r>
      <w:r>
        <w:rPr>
          <w:rFonts w:hint="eastAsia" w:ascii="宋体" w:hAnsi="宋体" w:cs="宋体"/>
          <w:color w:val="auto"/>
          <w:szCs w:val="21"/>
          <w:lang w:val="en-US" w:eastAsia="zh-CN"/>
        </w:rPr>
        <w:t>。</w:t>
      </w:r>
    </w:p>
    <w:p w14:paraId="568EC325">
      <w:pPr>
        <w:spacing w:line="360" w:lineRule="auto"/>
        <w:ind w:left="-210" w:leftChars="-100" w:firstLine="420" w:firstLineChars="200"/>
        <w:jc w:val="both"/>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报名方式：线上报名或现场报名。</w:t>
      </w:r>
    </w:p>
    <w:p w14:paraId="6763EF3F">
      <w:pPr>
        <w:spacing w:line="360" w:lineRule="auto"/>
        <w:ind w:left="-210" w:leftChars="-100" w:firstLine="420" w:firstLineChars="200"/>
        <w:jc w:val="both"/>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线上报名资料要求：</w:t>
      </w:r>
    </w:p>
    <w:p w14:paraId="451EBFB9">
      <w:pPr>
        <w:spacing w:line="360" w:lineRule="auto"/>
        <w:ind w:left="-210" w:leftChars="-100" w:firstLine="420" w:firstLineChars="200"/>
        <w:jc w:val="both"/>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fldChar w:fldCharType="begin"/>
      </w:r>
      <w:r>
        <w:rPr>
          <w:rFonts w:hint="eastAsia" w:ascii="宋体" w:hAnsi="宋体" w:eastAsia="宋体" w:cs="宋体"/>
          <w:color w:val="auto"/>
          <w:szCs w:val="21"/>
          <w:lang w:val="en-US" w:eastAsia="zh-CN"/>
        </w:rPr>
        <w:instrText xml:space="preserve"> HYPERLINK "mailto:供应商需提供竞争性磋商确认函原件和法定代表人证明或授权委托书原件至报名地点或发送以上资料扫描件至电子邮箱43383697@qq.com。" </w:instrText>
      </w:r>
      <w:r>
        <w:rPr>
          <w:rFonts w:hint="eastAsia" w:ascii="宋体" w:hAnsi="宋体" w:eastAsia="宋体" w:cs="宋体"/>
          <w:color w:val="auto"/>
          <w:szCs w:val="21"/>
          <w:lang w:val="en-US" w:eastAsia="zh-CN"/>
        </w:rPr>
        <w:fldChar w:fldCharType="separate"/>
      </w:r>
      <w:r>
        <w:rPr>
          <w:rFonts w:hint="eastAsia" w:ascii="宋体" w:hAnsi="宋体" w:eastAsia="宋体" w:cs="宋体"/>
          <w:color w:val="auto"/>
          <w:szCs w:val="21"/>
          <w:lang w:val="en-US" w:eastAsia="zh-CN"/>
        </w:rPr>
        <w:t>若是法定代表人报名的，报名时提供营业执照和法定代表人身份证明彩色扫描件；若是授权委托人报名的，需提供营业执照、法定代表人身份证明和授权委托书彩色扫描件（以上资料需加盖供应商公章）。</w:t>
      </w:r>
    </w:p>
    <w:p w14:paraId="25E352B9">
      <w:pPr>
        <w:spacing w:line="360" w:lineRule="auto"/>
        <w:ind w:left="-210" w:leftChars="-100" w:firstLine="420" w:firstLineChars="200"/>
        <w:jc w:val="both"/>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线上报名资料提交至邮箱：3696059436@qq.com。</w:t>
      </w:r>
      <w:r>
        <w:rPr>
          <w:rFonts w:hint="eastAsia" w:ascii="宋体" w:hAnsi="宋体" w:eastAsia="宋体" w:cs="宋体"/>
          <w:color w:val="auto"/>
          <w:szCs w:val="21"/>
          <w:lang w:val="en-US" w:eastAsia="zh-CN"/>
        </w:rPr>
        <w:fldChar w:fldCharType="end"/>
      </w:r>
    </w:p>
    <w:p w14:paraId="5FA7BA48">
      <w:pPr>
        <w:spacing w:line="360" w:lineRule="auto"/>
        <w:ind w:left="-210" w:leftChars="-100" w:firstLine="420" w:firstLineChars="200"/>
        <w:jc w:val="both"/>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现场报名资料要求：</w:t>
      </w:r>
    </w:p>
    <w:p w14:paraId="32EE39BA">
      <w:pPr>
        <w:spacing w:line="360" w:lineRule="auto"/>
        <w:ind w:left="-210" w:leftChars="-100" w:firstLine="420" w:firstLineChars="200"/>
        <w:jc w:val="both"/>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若是法定代表人报名的，报名时提供营业执照复印件、法定代表人身份证明原件；若是授权委托人报名的，需提供营业执照复印件、法定代表人身份证明和授权委托书原件（以上报名资料（格式详见附件2）需加盖供应商公章，并与响应文件（格式详见附件3）分开单独装订提供）。</w:t>
      </w:r>
    </w:p>
    <w:p w14:paraId="33857E6A">
      <w:pPr>
        <w:spacing w:line="360" w:lineRule="auto"/>
        <w:ind w:left="-210" w:leftChars="-100" w:firstLine="420" w:firstLineChars="200"/>
        <w:jc w:val="both"/>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现场报名地点：贵州省六盘水市钟山区汪家寨镇新塘村（贵州钟山野马寨热电有限责任公司）。</w:t>
      </w:r>
    </w:p>
    <w:p w14:paraId="78BA1BFC">
      <w:pPr>
        <w:spacing w:line="360" w:lineRule="auto"/>
        <w:ind w:left="-210" w:leftChars="-100" w:firstLine="420" w:firstLineChars="200"/>
        <w:jc w:val="both"/>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注：报名资料格式详见附件2</w:t>
      </w:r>
      <w:r>
        <w:rPr>
          <w:rFonts w:hint="eastAsia" w:ascii="宋体" w:hAnsi="宋体" w:cs="宋体"/>
          <w:color w:val="auto"/>
          <w:szCs w:val="21"/>
          <w:lang w:val="en-US" w:eastAsia="zh-CN"/>
        </w:rPr>
        <w:t>。</w:t>
      </w:r>
    </w:p>
    <w:p w14:paraId="66CDF61E">
      <w:pPr>
        <w:spacing w:line="360" w:lineRule="auto"/>
        <w:ind w:left="-210" w:leftChars="-100" w:firstLine="420" w:firstLineChars="200"/>
        <w:jc w:val="both"/>
        <w:rPr>
          <w:rFonts w:hint="eastAsia" w:ascii="黑体" w:hAnsi="黑体" w:eastAsia="黑体" w:cs="黑体"/>
          <w:color w:val="auto"/>
          <w:szCs w:val="21"/>
          <w:lang w:val="en-US" w:eastAsia="zh-CN"/>
        </w:rPr>
      </w:pPr>
      <w:r>
        <w:rPr>
          <w:rFonts w:hint="eastAsia" w:ascii="黑体" w:hAnsi="黑体" w:eastAsia="黑体" w:cs="黑体"/>
          <w:color w:val="auto"/>
          <w:szCs w:val="21"/>
          <w:lang w:val="en-US" w:eastAsia="zh-CN"/>
        </w:rPr>
        <w:t>六、响应文件提交</w:t>
      </w:r>
    </w:p>
    <w:p w14:paraId="32067D39">
      <w:pPr>
        <w:spacing w:line="360" w:lineRule="auto"/>
        <w:ind w:left="-210" w:leftChars="-100" w:firstLine="420" w:firstLineChars="200"/>
        <w:jc w:val="both"/>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截止时间：</w:t>
      </w:r>
      <w:r>
        <w:rPr>
          <w:rFonts w:hint="eastAsia" w:ascii="宋体" w:hAnsi="宋体" w:cs="宋体"/>
          <w:color w:val="auto"/>
          <w:szCs w:val="21"/>
          <w:lang w:val="en-US" w:eastAsia="zh-CN"/>
        </w:rPr>
        <w:t>2025年9月17日</w:t>
      </w:r>
      <w:r>
        <w:rPr>
          <w:rFonts w:hint="eastAsia" w:ascii="宋体" w:hAnsi="宋体" w:eastAsia="宋体" w:cs="宋体"/>
          <w:color w:val="auto"/>
          <w:szCs w:val="21"/>
          <w:lang w:val="en-US" w:eastAsia="zh-CN"/>
        </w:rPr>
        <w:t xml:space="preserve"> </w:t>
      </w:r>
      <w:r>
        <w:rPr>
          <w:rFonts w:hint="eastAsia" w:ascii="宋体" w:hAnsi="宋体" w:cs="宋体"/>
          <w:color w:val="auto"/>
          <w:szCs w:val="21"/>
          <w:lang w:val="en-US" w:eastAsia="zh-CN"/>
        </w:rPr>
        <w:t>上</w:t>
      </w:r>
      <w:r>
        <w:rPr>
          <w:rFonts w:hint="eastAsia" w:ascii="宋体" w:hAnsi="宋体" w:eastAsia="宋体" w:cs="宋体"/>
          <w:color w:val="auto"/>
          <w:szCs w:val="21"/>
          <w:lang w:val="en-US" w:eastAsia="zh-CN"/>
        </w:rPr>
        <w:t>午</w:t>
      </w:r>
      <w:r>
        <w:rPr>
          <w:rFonts w:hint="eastAsia" w:ascii="宋体" w:hAnsi="宋体" w:cs="宋体"/>
          <w:color w:val="auto"/>
          <w:szCs w:val="21"/>
          <w:lang w:val="en-US" w:eastAsia="zh-CN"/>
        </w:rPr>
        <w:t>10</w:t>
      </w:r>
      <w:r>
        <w:rPr>
          <w:rFonts w:hint="eastAsia" w:ascii="宋体" w:hAnsi="宋体" w:eastAsia="宋体" w:cs="宋体"/>
          <w:color w:val="auto"/>
          <w:szCs w:val="21"/>
          <w:lang w:val="en-US" w:eastAsia="zh-CN"/>
        </w:rPr>
        <w:t>:00时（北京时间）</w:t>
      </w:r>
    </w:p>
    <w:p w14:paraId="7E644556">
      <w:pPr>
        <w:spacing w:line="360" w:lineRule="auto"/>
        <w:ind w:left="-210" w:leftChars="-100" w:firstLine="420" w:firstLineChars="200"/>
        <w:jc w:val="both"/>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地    点：贵州省六盘水市钟山区汪家寨镇新塘村（贵州钟山野马寨热电有限责任公司）</w:t>
      </w:r>
    </w:p>
    <w:p w14:paraId="723D556B">
      <w:pPr>
        <w:spacing w:line="360" w:lineRule="auto"/>
        <w:ind w:left="-210" w:leftChars="-100" w:firstLine="420" w:firstLineChars="200"/>
        <w:jc w:val="both"/>
        <w:rPr>
          <w:rFonts w:hint="eastAsia" w:ascii="黑体" w:hAnsi="黑体" w:eastAsia="黑体" w:cs="黑体"/>
          <w:color w:val="auto"/>
          <w:szCs w:val="21"/>
          <w:lang w:val="en-US" w:eastAsia="zh-CN"/>
        </w:rPr>
      </w:pPr>
      <w:r>
        <w:rPr>
          <w:rFonts w:hint="eastAsia" w:ascii="黑体" w:hAnsi="黑体" w:eastAsia="黑体" w:cs="黑体"/>
          <w:color w:val="auto"/>
          <w:szCs w:val="21"/>
          <w:lang w:val="en-US" w:eastAsia="zh-CN"/>
        </w:rPr>
        <w:t>七、谈判会议</w:t>
      </w:r>
    </w:p>
    <w:p w14:paraId="282EFD09">
      <w:pPr>
        <w:spacing w:line="360" w:lineRule="auto"/>
        <w:ind w:left="-210" w:leftChars="-100" w:firstLine="420" w:firstLineChars="200"/>
        <w:jc w:val="both"/>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时   间：</w:t>
      </w:r>
      <w:r>
        <w:rPr>
          <w:rFonts w:hint="eastAsia" w:ascii="宋体" w:hAnsi="宋体" w:cs="宋体"/>
          <w:color w:val="auto"/>
          <w:szCs w:val="21"/>
          <w:lang w:val="en-US" w:eastAsia="zh-CN"/>
        </w:rPr>
        <w:t>2025年9月17日</w:t>
      </w:r>
      <w:r>
        <w:rPr>
          <w:rFonts w:hint="eastAsia" w:ascii="宋体" w:hAnsi="宋体" w:eastAsia="宋体" w:cs="宋体"/>
          <w:color w:val="auto"/>
          <w:szCs w:val="21"/>
          <w:lang w:val="en-US" w:eastAsia="zh-CN"/>
        </w:rPr>
        <w:t xml:space="preserve"> </w:t>
      </w:r>
      <w:r>
        <w:rPr>
          <w:rFonts w:hint="eastAsia" w:ascii="宋体" w:hAnsi="宋体" w:cs="宋体"/>
          <w:color w:val="auto"/>
          <w:szCs w:val="21"/>
          <w:lang w:val="en-US" w:eastAsia="zh-CN"/>
        </w:rPr>
        <w:t>上</w:t>
      </w:r>
      <w:r>
        <w:rPr>
          <w:rFonts w:hint="eastAsia" w:ascii="宋体" w:hAnsi="宋体" w:eastAsia="宋体" w:cs="宋体"/>
          <w:color w:val="auto"/>
          <w:szCs w:val="21"/>
          <w:lang w:val="en-US" w:eastAsia="zh-CN"/>
        </w:rPr>
        <w:t>午1</w:t>
      </w:r>
      <w:r>
        <w:rPr>
          <w:rFonts w:hint="eastAsia" w:ascii="宋体" w:hAnsi="宋体" w:cs="宋体"/>
          <w:color w:val="auto"/>
          <w:szCs w:val="21"/>
          <w:lang w:val="en-US" w:eastAsia="zh-CN"/>
        </w:rPr>
        <w:t>0</w:t>
      </w:r>
      <w:r>
        <w:rPr>
          <w:rFonts w:hint="eastAsia" w:ascii="宋体" w:hAnsi="宋体" w:eastAsia="宋体" w:cs="宋体"/>
          <w:color w:val="auto"/>
          <w:szCs w:val="21"/>
          <w:lang w:val="en-US" w:eastAsia="zh-CN"/>
        </w:rPr>
        <w:t>:00时（北京时间）</w:t>
      </w:r>
    </w:p>
    <w:p w14:paraId="2F7C6837">
      <w:pPr>
        <w:spacing w:line="360" w:lineRule="auto"/>
        <w:ind w:left="-210" w:leftChars="-100" w:firstLine="420" w:firstLineChars="200"/>
        <w:jc w:val="both"/>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地   点：贵州省六盘水市钟山区汪家寨镇新塘村（贵州钟山野马寨热电有限责任公司）</w:t>
      </w:r>
    </w:p>
    <w:p w14:paraId="79FE3A38">
      <w:pPr>
        <w:spacing w:line="360" w:lineRule="auto"/>
        <w:ind w:left="-210" w:leftChars="-100" w:firstLine="420" w:firstLineChars="200"/>
        <w:jc w:val="both"/>
        <w:rPr>
          <w:rFonts w:hint="eastAsia" w:ascii="黑体" w:hAnsi="黑体" w:eastAsia="黑体" w:cs="黑体"/>
          <w:color w:val="auto"/>
          <w:szCs w:val="21"/>
          <w:lang w:val="en-US" w:eastAsia="zh-CN"/>
        </w:rPr>
      </w:pPr>
      <w:r>
        <w:rPr>
          <w:rFonts w:hint="eastAsia" w:ascii="黑体" w:hAnsi="黑体" w:eastAsia="黑体" w:cs="黑体"/>
          <w:color w:val="auto"/>
          <w:szCs w:val="21"/>
          <w:lang w:val="en-US" w:eastAsia="zh-CN"/>
        </w:rPr>
        <w:t>八、项目联系人</w:t>
      </w:r>
    </w:p>
    <w:p w14:paraId="6C4335AC">
      <w:pPr>
        <w:spacing w:line="360" w:lineRule="auto"/>
        <w:ind w:left="-210" w:leftChars="-100" w:firstLine="420" w:firstLineChars="200"/>
        <w:jc w:val="both"/>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联系人：</w:t>
      </w:r>
      <w:r>
        <w:rPr>
          <w:rFonts w:hint="eastAsia" w:ascii="宋体" w:hAnsi="宋体" w:cs="宋体"/>
          <w:color w:val="auto"/>
          <w:szCs w:val="21"/>
          <w:lang w:val="en-US" w:eastAsia="zh-CN"/>
        </w:rPr>
        <w:t>朱  军</w:t>
      </w:r>
    </w:p>
    <w:p w14:paraId="18F842D3">
      <w:pPr>
        <w:spacing w:line="360" w:lineRule="auto"/>
        <w:ind w:left="-210" w:leftChars="-100" w:firstLine="420" w:firstLineChars="200"/>
        <w:jc w:val="both"/>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联系电话：</w:t>
      </w:r>
      <w:r>
        <w:rPr>
          <w:rFonts w:hint="eastAsia" w:ascii="宋体" w:hAnsi="宋体" w:cs="宋体"/>
          <w:color w:val="auto"/>
          <w:szCs w:val="21"/>
          <w:lang w:val="en-US" w:eastAsia="zh-CN"/>
        </w:rPr>
        <w:t>15519096680</w:t>
      </w:r>
    </w:p>
    <w:p w14:paraId="158837C6">
      <w:pPr>
        <w:spacing w:line="360" w:lineRule="auto"/>
        <w:ind w:left="-210" w:leftChars="-100" w:firstLine="420" w:firstLineChars="200"/>
        <w:jc w:val="both"/>
        <w:rPr>
          <w:rFonts w:hint="eastAsia" w:ascii="黑体" w:hAnsi="黑体" w:eastAsia="黑体" w:cs="黑体"/>
          <w:color w:val="auto"/>
          <w:szCs w:val="21"/>
          <w:lang w:val="en-US" w:eastAsia="zh-CN"/>
        </w:rPr>
      </w:pPr>
      <w:r>
        <w:rPr>
          <w:rFonts w:hint="eastAsia" w:ascii="黑体" w:hAnsi="黑体" w:eastAsia="黑体" w:cs="黑体"/>
          <w:color w:val="auto"/>
          <w:szCs w:val="21"/>
          <w:lang w:val="en-US" w:eastAsia="zh-CN"/>
        </w:rPr>
        <w:t>九、其他补充事宜</w:t>
      </w:r>
    </w:p>
    <w:p w14:paraId="4F5B1E03">
      <w:pPr>
        <w:spacing w:line="360" w:lineRule="auto"/>
        <w:ind w:left="-210" w:leftChars="-100" w:firstLine="420" w:firstLineChars="200"/>
        <w:jc w:val="both"/>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简要技术要求、服务和安全要求：详见竞争性谈判文件</w:t>
      </w:r>
    </w:p>
    <w:p w14:paraId="6296181E">
      <w:pPr>
        <w:spacing w:line="360" w:lineRule="auto"/>
        <w:ind w:left="-210" w:leftChars="-100" w:firstLine="420" w:firstLineChars="200"/>
        <w:jc w:val="both"/>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 xml:space="preserve">交货地点或服务地点：采购人指定地点 </w:t>
      </w:r>
    </w:p>
    <w:p w14:paraId="3808197C">
      <w:pPr>
        <w:spacing w:line="360" w:lineRule="auto"/>
        <w:ind w:left="-210" w:leftChars="-100" w:firstLine="420" w:firstLineChars="200"/>
        <w:jc w:val="both"/>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其他事项（如样品提交、现场踏勘等）: 无。</w:t>
      </w:r>
    </w:p>
    <w:p w14:paraId="1359B873">
      <w:pPr>
        <w:spacing w:line="360" w:lineRule="auto"/>
        <w:ind w:left="-210" w:leftChars="-100" w:firstLine="420" w:firstLineChars="200"/>
        <w:jc w:val="both"/>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 xml:space="preserve">交货时间或服务时间： 详见竞争性谈判文件。 </w:t>
      </w:r>
    </w:p>
    <w:p w14:paraId="3CE39645">
      <w:pPr>
        <w:spacing w:line="360" w:lineRule="auto"/>
        <w:ind w:left="-210" w:leftChars="-100" w:firstLine="420" w:firstLineChars="200"/>
        <w:jc w:val="both"/>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项目公告媒体：钟山区人民政府（http://www.gzzs.gov.cn/）</w:t>
      </w:r>
    </w:p>
    <w:p w14:paraId="1E9DE8D4">
      <w:pPr>
        <w:spacing w:line="360" w:lineRule="auto"/>
        <w:ind w:left="-210" w:leftChars="-100" w:firstLine="420" w:firstLineChars="200"/>
        <w:jc w:val="both"/>
        <w:rPr>
          <w:rFonts w:hint="eastAsia" w:ascii="黑体" w:hAnsi="黑体" w:eastAsia="黑体" w:cs="黑体"/>
          <w:color w:val="auto"/>
          <w:szCs w:val="21"/>
          <w:lang w:val="en-US" w:eastAsia="zh-CN"/>
        </w:rPr>
      </w:pPr>
      <w:r>
        <w:rPr>
          <w:rFonts w:hint="eastAsia" w:ascii="黑体" w:hAnsi="黑体" w:eastAsia="黑体" w:cs="黑体"/>
          <w:color w:val="auto"/>
          <w:szCs w:val="21"/>
          <w:lang w:val="en-US" w:eastAsia="zh-CN"/>
        </w:rPr>
        <w:t xml:space="preserve">十、附件  </w:t>
      </w:r>
    </w:p>
    <w:p w14:paraId="0B7C4F5E">
      <w:pPr>
        <w:spacing w:line="360" w:lineRule="auto"/>
        <w:ind w:left="-210" w:leftChars="-100" w:firstLine="420" w:firstLineChars="200"/>
        <w:jc w:val="both"/>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附件1：贵州钟山野马寨热电有限责任公司</w:t>
      </w:r>
      <w:r>
        <w:rPr>
          <w:rFonts w:hint="eastAsia" w:ascii="宋体" w:hAnsi="宋体" w:cs="宋体"/>
          <w:color w:val="auto"/>
          <w:szCs w:val="21"/>
          <w:lang w:val="en-US" w:eastAsia="zh-CN"/>
        </w:rPr>
        <w:t>2025年第十九批次燃煤采购项目</w:t>
      </w:r>
      <w:r>
        <w:rPr>
          <w:rFonts w:hint="eastAsia" w:ascii="宋体" w:hAnsi="宋体" w:eastAsia="宋体" w:cs="宋体"/>
          <w:color w:val="auto"/>
          <w:szCs w:val="21"/>
          <w:lang w:val="en-US" w:eastAsia="zh-CN"/>
        </w:rPr>
        <w:t>竞争性谈判文件</w:t>
      </w:r>
    </w:p>
    <w:p w14:paraId="60AFFC4E">
      <w:pPr>
        <w:spacing w:line="360" w:lineRule="auto"/>
        <w:ind w:left="-210" w:leftChars="-100" w:firstLine="420" w:firstLineChars="200"/>
        <w:jc w:val="both"/>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附件2：报名资料格式</w:t>
      </w:r>
    </w:p>
    <w:p w14:paraId="2202BFC6">
      <w:pPr>
        <w:spacing w:line="360" w:lineRule="auto"/>
        <w:ind w:left="-210" w:leftChars="-100" w:firstLine="420" w:firstLineChars="200"/>
        <w:jc w:val="both"/>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附件3：响应文件资料格式</w:t>
      </w:r>
    </w:p>
    <w:p w14:paraId="0C46BF45">
      <w:pPr>
        <w:spacing w:line="360" w:lineRule="auto"/>
        <w:jc w:val="left"/>
        <w:rPr>
          <w:rFonts w:hint="default" w:ascii="宋体" w:hAnsi="宋体" w:eastAsia="宋体" w:cs="宋体"/>
          <w:color w:val="auto"/>
          <w:szCs w:val="21"/>
          <w:lang w:val="en-US" w:eastAsia="zh-CN"/>
        </w:rPr>
      </w:pPr>
    </w:p>
    <w:p w14:paraId="2C79DC61">
      <w:pPr>
        <w:wordWrap w:val="0"/>
        <w:spacing w:line="360" w:lineRule="auto"/>
        <w:ind w:left="-210" w:leftChars="-100"/>
        <w:jc w:val="right"/>
        <w:rPr>
          <w:rFonts w:hint="default" w:ascii="宋体" w:hAnsi="宋体" w:eastAsia="宋体" w:cs="宋体"/>
          <w:color w:val="auto"/>
          <w:szCs w:val="21"/>
          <w:lang w:val="en-US" w:eastAsia="zh-CN"/>
        </w:rPr>
      </w:pPr>
    </w:p>
    <w:p w14:paraId="66C105F5">
      <w:pPr>
        <w:wordWrap w:val="0"/>
        <w:spacing w:line="360" w:lineRule="auto"/>
        <w:ind w:left="-210" w:leftChars="-100"/>
        <w:jc w:val="right"/>
        <w:rPr>
          <w:rFonts w:hint="default" w:ascii="宋体" w:hAnsi="宋体" w:eastAsia="宋体" w:cs="宋体"/>
          <w:color w:val="auto"/>
          <w:szCs w:val="21"/>
          <w:lang w:val="en-US" w:eastAsia="zh-CN"/>
        </w:rPr>
      </w:pPr>
      <w:r>
        <w:rPr>
          <w:rFonts w:hint="default" w:ascii="宋体" w:hAnsi="宋体" w:eastAsia="宋体" w:cs="宋体"/>
          <w:color w:val="auto"/>
          <w:szCs w:val="21"/>
          <w:lang w:val="en-US" w:eastAsia="zh-CN"/>
        </w:rPr>
        <w:t>贵州钟山野马寨热电有限责任公司</w:t>
      </w:r>
      <w:r>
        <w:rPr>
          <w:rFonts w:hint="eastAsia" w:ascii="宋体" w:hAnsi="宋体" w:cs="宋体"/>
          <w:color w:val="auto"/>
          <w:szCs w:val="21"/>
          <w:lang w:val="en-US" w:eastAsia="zh-CN"/>
        </w:rPr>
        <w:t xml:space="preserve">  </w:t>
      </w:r>
    </w:p>
    <w:p w14:paraId="7C4DFAD3">
      <w:pPr>
        <w:wordWrap w:val="0"/>
        <w:spacing w:line="360" w:lineRule="auto"/>
        <w:ind w:left="-210" w:leftChars="-100"/>
        <w:jc w:val="right"/>
        <w:rPr>
          <w:rFonts w:hint="default" w:ascii="宋体" w:hAnsi="宋体" w:eastAsia="宋体" w:cs="宋体"/>
          <w:color w:val="auto"/>
          <w:szCs w:val="21"/>
          <w:lang w:val="en-US" w:eastAsia="zh-CN"/>
        </w:rPr>
      </w:pPr>
      <w:r>
        <w:rPr>
          <w:rFonts w:hint="default" w:ascii="宋体" w:hAnsi="宋体" w:eastAsia="宋体" w:cs="宋体"/>
          <w:color w:val="auto"/>
          <w:szCs w:val="21"/>
          <w:lang w:val="en-US" w:eastAsia="zh-CN"/>
        </w:rPr>
        <w:t xml:space="preserve">                            </w:t>
      </w:r>
      <w:r>
        <w:rPr>
          <w:rFonts w:hint="eastAsia" w:ascii="宋体" w:hAnsi="宋体" w:eastAsia="宋体" w:cs="宋体"/>
          <w:color w:val="auto"/>
          <w:szCs w:val="21"/>
          <w:lang w:val="en-US" w:eastAsia="zh-CN"/>
        </w:rPr>
        <w:t xml:space="preserve">  </w:t>
      </w:r>
      <w:r>
        <w:rPr>
          <w:rFonts w:hint="eastAsia" w:ascii="宋体" w:hAnsi="宋体" w:cs="宋体"/>
          <w:color w:val="auto"/>
          <w:szCs w:val="21"/>
          <w:lang w:val="en-US" w:eastAsia="zh-CN"/>
        </w:rPr>
        <w:t xml:space="preserve">2025年9月12日          </w:t>
      </w:r>
    </w:p>
    <w:p w14:paraId="40E57565">
      <w:pPr>
        <w:jc w:val="center"/>
        <w:rPr>
          <w:rFonts w:hint="default" w:eastAsia="宋体"/>
          <w:color w:val="auto"/>
          <w:highlight w:val="none"/>
          <w:lang w:val="en-US" w:eastAsia="zh-CN"/>
        </w:rPr>
      </w:pPr>
    </w:p>
    <w:p w14:paraId="4BC6F751">
      <w:pPr>
        <w:pStyle w:val="2"/>
        <w:bidi w:val="0"/>
        <w:rPr>
          <w:rFonts w:hint="eastAsia" w:ascii="宋体" w:hAnsi="宋体" w:eastAsia="宋体" w:cs="宋体"/>
        </w:rPr>
      </w:pPr>
      <w:bookmarkStart w:id="5" w:name="_Toc4281"/>
      <w:r>
        <w:rPr>
          <w:rFonts w:hint="eastAsia" w:ascii="宋体" w:hAnsi="宋体" w:eastAsia="宋体" w:cs="宋体"/>
          <w:lang w:val="en-US" w:eastAsia="zh-CN"/>
        </w:rPr>
        <w:t>第二章  供应</w:t>
      </w:r>
      <w:r>
        <w:rPr>
          <w:rFonts w:hint="eastAsia" w:ascii="宋体" w:hAnsi="宋体" w:eastAsia="宋体" w:cs="宋体"/>
        </w:rPr>
        <w:t>商须知</w:t>
      </w:r>
      <w:bookmarkEnd w:id="5"/>
    </w:p>
    <w:p w14:paraId="36130871">
      <w:pPr>
        <w:jc w:val="center"/>
        <w:rPr>
          <w:rFonts w:hint="eastAsia" w:ascii="宋体" w:hAnsi="宋体" w:eastAsia="宋体" w:cs="宋体"/>
          <w:b/>
          <w:bCs/>
          <w:color w:val="auto"/>
          <w:szCs w:val="21"/>
        </w:rPr>
      </w:pPr>
      <w:r>
        <w:rPr>
          <w:rFonts w:hint="eastAsia" w:ascii="宋体" w:hAnsi="宋体" w:eastAsia="宋体" w:cs="宋体"/>
          <w:b/>
          <w:bCs/>
          <w:color w:val="auto"/>
          <w:szCs w:val="21"/>
        </w:rPr>
        <w:t>A  说   明</w:t>
      </w:r>
    </w:p>
    <w:p w14:paraId="7E6E83F4">
      <w:pPr>
        <w:spacing w:line="360" w:lineRule="auto"/>
        <w:ind w:left="-210" w:leftChars="-100"/>
        <w:jc w:val="both"/>
        <w:rPr>
          <w:rFonts w:hint="eastAsia" w:ascii="宋体" w:hAnsi="宋体" w:eastAsia="宋体" w:cs="宋体"/>
        </w:rPr>
      </w:pPr>
      <w:r>
        <w:rPr>
          <w:rFonts w:hint="eastAsia" w:ascii="宋体" w:hAnsi="宋体" w:eastAsia="宋体" w:cs="宋体"/>
          <w:b/>
          <w:bCs/>
          <w:color w:val="auto"/>
          <w:szCs w:val="21"/>
          <w:lang w:val="en-US" w:eastAsia="zh-CN"/>
        </w:rPr>
        <w:t xml:space="preserve"> </w:t>
      </w:r>
      <w:r>
        <w:rPr>
          <w:rFonts w:hint="eastAsia" w:ascii="宋体" w:hAnsi="宋体" w:eastAsia="宋体" w:cs="宋体"/>
        </w:rPr>
        <w:t>1.合格供应商的范围：</w:t>
      </w:r>
    </w:p>
    <w:p w14:paraId="1FDDB10E">
      <w:pPr>
        <w:spacing w:line="360" w:lineRule="auto"/>
        <w:ind w:left="-210" w:leftChars="-100"/>
        <w:jc w:val="both"/>
        <w:rPr>
          <w:rFonts w:hint="eastAsia" w:ascii="宋体" w:hAnsi="宋体" w:eastAsia="宋体" w:cs="宋体"/>
          <w:color w:val="auto"/>
          <w:szCs w:val="21"/>
          <w:lang w:eastAsia="zh-CN"/>
        </w:rPr>
      </w:pPr>
      <w:r>
        <w:rPr>
          <w:rFonts w:hint="eastAsia" w:ascii="宋体" w:hAnsi="宋体" w:eastAsia="宋体" w:cs="宋体"/>
          <w:szCs w:val="21"/>
        </w:rPr>
        <w:t>1.1法人包括企业法人、机关法人、事业单位法人和社会团体法人；</w:t>
      </w:r>
      <w:r>
        <w:rPr>
          <w:rFonts w:hint="eastAsia" w:ascii="宋体" w:hAnsi="宋体" w:eastAsia="宋体" w:cs="宋体"/>
          <w:color w:val="auto"/>
          <w:szCs w:val="21"/>
        </w:rPr>
        <w:t>供应商是企业，要提供在工商部门注册的有效“企业法人营业执照”或“营业执照”；如供应商是事业单位，要提供有效的“事业单位法人证书”</w:t>
      </w:r>
      <w:r>
        <w:rPr>
          <w:rFonts w:hint="eastAsia" w:ascii="宋体" w:hAnsi="宋体" w:cs="宋体"/>
          <w:color w:val="auto"/>
          <w:szCs w:val="21"/>
          <w:lang w:eastAsia="zh-CN"/>
        </w:rPr>
        <w:t>，</w:t>
      </w:r>
      <w:r>
        <w:rPr>
          <w:rFonts w:hint="eastAsia" w:ascii="宋体" w:hAnsi="宋体" w:eastAsia="宋体" w:cs="宋体"/>
          <w:color w:val="auto"/>
          <w:szCs w:val="21"/>
        </w:rPr>
        <w:t>如供应商是</w:t>
      </w:r>
      <w:r>
        <w:rPr>
          <w:rFonts w:hint="eastAsia" w:ascii="宋体" w:hAnsi="宋体" w:cs="宋体"/>
          <w:color w:val="auto"/>
          <w:szCs w:val="21"/>
          <w:lang w:val="en-US" w:eastAsia="zh-CN"/>
        </w:rPr>
        <w:t>社会团体法人</w:t>
      </w:r>
      <w:r>
        <w:rPr>
          <w:rFonts w:hint="eastAsia" w:ascii="宋体" w:hAnsi="宋体" w:eastAsia="宋体" w:cs="宋体"/>
          <w:color w:val="auto"/>
          <w:szCs w:val="21"/>
        </w:rPr>
        <w:t>，要提供有效的</w:t>
      </w:r>
      <w:r>
        <w:rPr>
          <w:rFonts w:hint="eastAsia" w:ascii="宋体" w:hAnsi="宋体" w:cs="宋体"/>
          <w:color w:val="auto"/>
          <w:szCs w:val="21"/>
          <w:lang w:eastAsia="zh-CN"/>
        </w:rPr>
        <w:t>“社会团体法人登记证书”。</w:t>
      </w:r>
    </w:p>
    <w:p w14:paraId="41B18DF8">
      <w:pPr>
        <w:spacing w:line="360" w:lineRule="auto"/>
        <w:ind w:left="-210" w:leftChars="-100"/>
        <w:jc w:val="both"/>
        <w:rPr>
          <w:rFonts w:hint="eastAsia" w:ascii="宋体" w:hAnsi="宋体" w:eastAsia="宋体" w:cs="宋体"/>
          <w:szCs w:val="21"/>
        </w:rPr>
      </w:pPr>
      <w:r>
        <w:rPr>
          <w:rFonts w:hint="eastAsia" w:ascii="宋体" w:hAnsi="宋体" w:eastAsia="宋体" w:cs="宋体"/>
          <w:szCs w:val="21"/>
        </w:rPr>
        <w:t>1.</w:t>
      </w:r>
      <w:r>
        <w:rPr>
          <w:rFonts w:hint="eastAsia" w:ascii="宋体" w:hAnsi="宋体" w:eastAsia="宋体" w:cs="宋体"/>
          <w:szCs w:val="21"/>
          <w:lang w:val="en-US" w:eastAsia="zh-CN"/>
        </w:rPr>
        <w:t>2</w:t>
      </w:r>
      <w:r>
        <w:rPr>
          <w:rFonts w:hint="eastAsia" w:ascii="宋体" w:hAnsi="宋体" w:eastAsia="宋体" w:cs="宋体"/>
          <w:szCs w:val="21"/>
        </w:rPr>
        <w:t>本项目不接受联合体</w:t>
      </w:r>
      <w:r>
        <w:rPr>
          <w:rFonts w:hint="eastAsia" w:ascii="宋体" w:hAnsi="宋体" w:eastAsia="宋体" w:cs="宋体"/>
          <w:szCs w:val="21"/>
          <w:lang w:val="en-US" w:eastAsia="zh-CN"/>
        </w:rPr>
        <w:t>参与</w:t>
      </w:r>
      <w:r>
        <w:rPr>
          <w:rFonts w:hint="eastAsia" w:ascii="宋体" w:hAnsi="宋体" w:cs="宋体"/>
          <w:szCs w:val="21"/>
          <w:lang w:val="en-US" w:eastAsia="zh-CN"/>
        </w:rPr>
        <w:t>谈判</w:t>
      </w:r>
      <w:r>
        <w:rPr>
          <w:rFonts w:hint="eastAsia" w:ascii="宋体" w:hAnsi="宋体" w:eastAsia="宋体" w:cs="宋体"/>
          <w:szCs w:val="21"/>
        </w:rPr>
        <w:t>。</w:t>
      </w:r>
    </w:p>
    <w:p w14:paraId="22F76A28">
      <w:pPr>
        <w:spacing w:line="360" w:lineRule="auto"/>
        <w:ind w:left="-210" w:leftChars="-100"/>
        <w:jc w:val="both"/>
        <w:rPr>
          <w:rFonts w:hint="eastAsia" w:ascii="宋体" w:hAnsi="宋体" w:eastAsia="宋体" w:cs="宋体"/>
          <w:szCs w:val="21"/>
        </w:rPr>
      </w:pPr>
      <w:r>
        <w:rPr>
          <w:rFonts w:hint="eastAsia" w:ascii="宋体" w:hAnsi="宋体" w:eastAsia="宋体" w:cs="宋体"/>
          <w:szCs w:val="21"/>
        </w:rPr>
        <w:t>1.</w:t>
      </w:r>
      <w:r>
        <w:rPr>
          <w:rFonts w:hint="eastAsia" w:ascii="宋体" w:hAnsi="宋体" w:eastAsia="宋体" w:cs="宋体"/>
          <w:szCs w:val="21"/>
          <w:lang w:val="en-US" w:eastAsia="zh-CN"/>
        </w:rPr>
        <w:t>3</w:t>
      </w:r>
      <w:r>
        <w:rPr>
          <w:rFonts w:hint="eastAsia" w:ascii="宋体" w:hAnsi="宋体" w:eastAsia="宋体" w:cs="宋体"/>
          <w:szCs w:val="21"/>
        </w:rPr>
        <w:t>未在</w:t>
      </w:r>
      <w:r>
        <w:rPr>
          <w:rFonts w:hint="eastAsia" w:ascii="宋体" w:hAnsi="宋体" w:eastAsia="宋体" w:cs="宋体"/>
          <w:szCs w:val="21"/>
          <w:lang w:eastAsia="zh-CN"/>
        </w:rPr>
        <w:t>主管部门</w:t>
      </w:r>
      <w:r>
        <w:rPr>
          <w:rFonts w:hint="eastAsia" w:ascii="宋体" w:hAnsi="宋体" w:eastAsia="宋体" w:cs="宋体"/>
          <w:szCs w:val="21"/>
        </w:rPr>
        <w:t>列入禁止参加</w:t>
      </w:r>
      <w:r>
        <w:rPr>
          <w:rFonts w:hint="eastAsia" w:ascii="宋体" w:hAnsi="宋体" w:eastAsia="宋体" w:cs="宋体"/>
          <w:szCs w:val="21"/>
          <w:lang w:val="en-US" w:eastAsia="zh-CN"/>
        </w:rPr>
        <w:t>招标</w:t>
      </w:r>
      <w:r>
        <w:rPr>
          <w:rFonts w:hint="eastAsia" w:ascii="宋体" w:hAnsi="宋体" w:eastAsia="宋体" w:cs="宋体"/>
          <w:szCs w:val="21"/>
        </w:rPr>
        <w:t>采购活动期间。</w:t>
      </w:r>
    </w:p>
    <w:p w14:paraId="0F92AC32">
      <w:pPr>
        <w:spacing w:line="360" w:lineRule="auto"/>
        <w:ind w:left="-210" w:leftChars="-100"/>
        <w:jc w:val="both"/>
        <w:rPr>
          <w:rFonts w:hint="eastAsia" w:ascii="宋体" w:hAnsi="宋体" w:eastAsia="宋体" w:cs="宋体"/>
          <w:szCs w:val="21"/>
        </w:rPr>
      </w:pPr>
      <w:r>
        <w:rPr>
          <w:rFonts w:hint="eastAsia" w:ascii="宋体" w:hAnsi="宋体" w:eastAsia="宋体" w:cs="宋体"/>
          <w:szCs w:val="21"/>
        </w:rPr>
        <w:t>1.</w:t>
      </w:r>
      <w:r>
        <w:rPr>
          <w:rFonts w:hint="eastAsia" w:ascii="宋体" w:hAnsi="宋体" w:eastAsia="宋体" w:cs="宋体"/>
          <w:szCs w:val="21"/>
          <w:lang w:val="en-US" w:eastAsia="zh-CN"/>
        </w:rPr>
        <w:t>4</w:t>
      </w:r>
      <w:r>
        <w:rPr>
          <w:rFonts w:hint="eastAsia" w:ascii="宋体" w:hAnsi="宋体" w:eastAsia="宋体" w:cs="宋体"/>
          <w:szCs w:val="21"/>
        </w:rPr>
        <w:t>供应商应当符合</w:t>
      </w:r>
      <w:r>
        <w:rPr>
          <w:rFonts w:hint="eastAsia" w:ascii="宋体" w:hAnsi="宋体" w:eastAsia="宋体" w:cs="宋体"/>
          <w:szCs w:val="21"/>
          <w:lang w:val="en-US" w:eastAsia="zh-CN"/>
        </w:rPr>
        <w:t>采购文件规定的资格要求</w:t>
      </w:r>
      <w:r>
        <w:rPr>
          <w:rFonts w:hint="eastAsia" w:ascii="宋体" w:hAnsi="宋体" w:eastAsia="宋体" w:cs="宋体"/>
          <w:szCs w:val="21"/>
        </w:rPr>
        <w:t>。</w:t>
      </w:r>
    </w:p>
    <w:p w14:paraId="1DBF87B3">
      <w:pPr>
        <w:spacing w:line="360" w:lineRule="auto"/>
        <w:ind w:left="-210" w:leftChars="-100"/>
        <w:jc w:val="both"/>
        <w:rPr>
          <w:rFonts w:hint="eastAsia" w:ascii="宋体" w:hAnsi="宋体" w:eastAsia="宋体" w:cs="宋体"/>
          <w:szCs w:val="21"/>
        </w:rPr>
      </w:pPr>
      <w:r>
        <w:rPr>
          <w:rFonts w:hint="eastAsia" w:ascii="宋体" w:hAnsi="宋体" w:eastAsia="宋体" w:cs="宋体"/>
          <w:szCs w:val="21"/>
        </w:rPr>
        <w:t>1.</w:t>
      </w:r>
      <w:r>
        <w:rPr>
          <w:rFonts w:hint="eastAsia" w:ascii="宋体" w:hAnsi="宋体" w:eastAsia="宋体" w:cs="宋体"/>
          <w:szCs w:val="21"/>
          <w:lang w:val="en-US" w:eastAsia="zh-CN"/>
        </w:rPr>
        <w:t>5</w:t>
      </w:r>
      <w:r>
        <w:rPr>
          <w:rFonts w:hint="eastAsia" w:ascii="宋体" w:hAnsi="宋体" w:eastAsia="宋体" w:cs="宋体"/>
          <w:szCs w:val="21"/>
        </w:rPr>
        <w:t>单位负责人为同一人或者存在直接控股、管理关系的不同供应商，不得参加同一合同项下的</w:t>
      </w:r>
      <w:r>
        <w:rPr>
          <w:rFonts w:hint="eastAsia" w:ascii="宋体" w:hAnsi="宋体" w:cs="宋体"/>
          <w:szCs w:val="21"/>
          <w:lang w:val="en-US" w:eastAsia="zh-CN"/>
        </w:rPr>
        <w:t>政府采购活动</w:t>
      </w:r>
      <w:r>
        <w:rPr>
          <w:rFonts w:hint="eastAsia" w:ascii="宋体" w:hAnsi="宋体" w:eastAsia="宋体" w:cs="宋体"/>
          <w:szCs w:val="21"/>
        </w:rPr>
        <w:t>。</w:t>
      </w:r>
    </w:p>
    <w:p w14:paraId="331BD80F">
      <w:pPr>
        <w:spacing w:line="360" w:lineRule="auto"/>
        <w:ind w:left="-210" w:leftChars="-100"/>
        <w:jc w:val="both"/>
        <w:rPr>
          <w:rFonts w:hint="eastAsia" w:ascii="宋体" w:hAnsi="宋体" w:eastAsia="宋体" w:cs="宋体"/>
          <w:szCs w:val="21"/>
        </w:rPr>
      </w:pPr>
      <w:r>
        <w:rPr>
          <w:rFonts w:hint="eastAsia" w:ascii="宋体" w:hAnsi="宋体" w:eastAsia="宋体" w:cs="宋体"/>
          <w:szCs w:val="21"/>
        </w:rPr>
        <w:t>1.</w:t>
      </w:r>
      <w:r>
        <w:rPr>
          <w:rFonts w:hint="eastAsia" w:ascii="宋体" w:hAnsi="宋体" w:eastAsia="宋体" w:cs="宋体"/>
          <w:szCs w:val="21"/>
          <w:lang w:val="en-US" w:eastAsia="zh-CN"/>
        </w:rPr>
        <w:t>6</w:t>
      </w:r>
      <w:r>
        <w:rPr>
          <w:rFonts w:hint="eastAsia" w:ascii="宋体" w:hAnsi="宋体" w:eastAsia="宋体" w:cs="宋体"/>
          <w:szCs w:val="21"/>
        </w:rPr>
        <w:t>供应商应遵守有关的中国法律和规章条例。</w:t>
      </w:r>
    </w:p>
    <w:p w14:paraId="5E86156B">
      <w:pPr>
        <w:spacing w:line="360" w:lineRule="auto"/>
        <w:ind w:left="-210" w:leftChars="-100"/>
        <w:jc w:val="both"/>
        <w:rPr>
          <w:rFonts w:hint="eastAsia" w:ascii="宋体" w:hAnsi="宋体" w:eastAsia="宋体" w:cs="宋体"/>
          <w:szCs w:val="21"/>
        </w:rPr>
      </w:pPr>
      <w:r>
        <w:rPr>
          <w:rFonts w:hint="eastAsia" w:ascii="宋体" w:hAnsi="宋体" w:eastAsia="宋体" w:cs="宋体"/>
          <w:szCs w:val="21"/>
        </w:rPr>
        <w:t>2．定义：</w:t>
      </w:r>
    </w:p>
    <w:p w14:paraId="6097DAF8">
      <w:pPr>
        <w:spacing w:line="360" w:lineRule="auto"/>
        <w:ind w:left="-210" w:leftChars="-100"/>
        <w:jc w:val="both"/>
        <w:rPr>
          <w:rFonts w:hint="eastAsia" w:ascii="宋体" w:hAnsi="宋体" w:eastAsia="宋体" w:cs="宋体"/>
          <w:szCs w:val="21"/>
        </w:rPr>
      </w:pPr>
      <w:r>
        <w:rPr>
          <w:rFonts w:hint="eastAsia" w:ascii="宋体" w:hAnsi="宋体" w:eastAsia="宋体" w:cs="宋体"/>
          <w:szCs w:val="21"/>
        </w:rPr>
        <w:t>2.1采购代理机构：本项目</w:t>
      </w:r>
      <w:r>
        <w:rPr>
          <w:rFonts w:hint="eastAsia" w:ascii="宋体" w:hAnsi="宋体" w:cs="宋体"/>
          <w:szCs w:val="21"/>
          <w:lang w:val="en-US" w:eastAsia="zh-CN"/>
        </w:rPr>
        <w:t>无代理机构</w:t>
      </w:r>
      <w:r>
        <w:rPr>
          <w:rFonts w:hint="eastAsia" w:ascii="宋体" w:hAnsi="宋体" w:eastAsia="宋体" w:cs="宋体"/>
          <w:szCs w:val="21"/>
        </w:rPr>
        <w:t>，</w:t>
      </w:r>
    </w:p>
    <w:p w14:paraId="5F929C85">
      <w:pPr>
        <w:spacing w:line="360" w:lineRule="auto"/>
        <w:ind w:left="-210" w:leftChars="-100"/>
        <w:jc w:val="both"/>
        <w:rPr>
          <w:rFonts w:hint="eastAsia" w:ascii="宋体" w:hAnsi="宋体" w:eastAsia="宋体" w:cs="宋体"/>
          <w:color w:val="000000"/>
          <w:szCs w:val="21"/>
        </w:rPr>
      </w:pPr>
      <w:r>
        <w:rPr>
          <w:rFonts w:hint="eastAsia" w:ascii="宋体" w:hAnsi="宋体" w:eastAsia="宋体" w:cs="宋体"/>
          <w:color w:val="000000"/>
          <w:szCs w:val="21"/>
        </w:rPr>
        <w:t>2.2采购人：本项目是指</w:t>
      </w:r>
      <w:r>
        <w:rPr>
          <w:rFonts w:hint="eastAsia" w:ascii="宋体" w:hAnsi="宋体" w:eastAsia="宋体" w:cs="宋体"/>
          <w:color w:val="000000"/>
          <w:szCs w:val="21"/>
          <w:lang w:val="en-US" w:eastAsia="zh-CN"/>
        </w:rPr>
        <w:t>贵州钟山野马寨热电有限责任公司</w:t>
      </w:r>
      <w:r>
        <w:rPr>
          <w:rFonts w:hint="eastAsia" w:ascii="宋体" w:hAnsi="宋体" w:eastAsia="宋体" w:cs="宋体"/>
          <w:color w:val="000000"/>
          <w:szCs w:val="21"/>
        </w:rPr>
        <w:t xml:space="preserve">，是采购活动当事人之一，作为合同采购方 </w:t>
      </w:r>
      <w:r>
        <w:rPr>
          <w:rFonts w:hint="eastAsia" w:ascii="宋体" w:hAnsi="宋体" w:eastAsia="宋体" w:cs="宋体"/>
          <w:color w:val="000000"/>
          <w:szCs w:val="21"/>
          <w:lang w:eastAsia="zh-CN"/>
        </w:rPr>
        <w:t>（</w:t>
      </w:r>
      <w:r>
        <w:rPr>
          <w:rFonts w:hint="eastAsia" w:ascii="宋体" w:hAnsi="宋体" w:eastAsia="宋体" w:cs="宋体"/>
          <w:color w:val="000000"/>
          <w:szCs w:val="21"/>
        </w:rPr>
        <w:t>用户</w:t>
      </w:r>
      <w:r>
        <w:rPr>
          <w:rFonts w:hint="eastAsia" w:ascii="宋体" w:hAnsi="宋体" w:eastAsia="宋体" w:cs="宋体"/>
          <w:color w:val="000000"/>
          <w:szCs w:val="21"/>
          <w:lang w:eastAsia="zh-CN"/>
        </w:rPr>
        <w:t>）</w:t>
      </w:r>
      <w:r>
        <w:rPr>
          <w:rFonts w:hint="eastAsia" w:ascii="宋体" w:hAnsi="宋体" w:eastAsia="宋体" w:cs="宋体"/>
          <w:color w:val="000000"/>
          <w:szCs w:val="21"/>
        </w:rPr>
        <w:t xml:space="preserve"> 的主体承担履行合同、验收与评价等义务。</w:t>
      </w:r>
    </w:p>
    <w:p w14:paraId="7FEBDB7F">
      <w:pPr>
        <w:spacing w:line="360" w:lineRule="auto"/>
        <w:ind w:left="-210" w:leftChars="-100"/>
        <w:jc w:val="both"/>
        <w:rPr>
          <w:rFonts w:hint="eastAsia" w:ascii="宋体" w:hAnsi="宋体" w:eastAsia="宋体" w:cs="宋体"/>
          <w:color w:val="000000"/>
          <w:szCs w:val="21"/>
        </w:rPr>
      </w:pPr>
      <w:r>
        <w:rPr>
          <w:rFonts w:hint="eastAsia" w:ascii="宋体" w:hAnsi="宋体" w:eastAsia="宋体" w:cs="宋体"/>
          <w:color w:val="000000"/>
          <w:szCs w:val="21"/>
        </w:rPr>
        <w:t>2.3</w:t>
      </w:r>
      <w:r>
        <w:rPr>
          <w:rFonts w:hint="eastAsia" w:ascii="宋体" w:hAnsi="宋体" w:eastAsia="宋体" w:cs="宋体"/>
          <w:color w:val="000000"/>
          <w:szCs w:val="21"/>
          <w:lang w:eastAsia="zh-CN"/>
        </w:rPr>
        <w:t>供应商</w:t>
      </w:r>
      <w:r>
        <w:rPr>
          <w:rFonts w:hint="eastAsia" w:ascii="宋体" w:hAnsi="宋体" w:eastAsia="宋体" w:cs="宋体"/>
          <w:color w:val="000000"/>
          <w:szCs w:val="21"/>
        </w:rPr>
        <w:t>：</w:t>
      </w:r>
    </w:p>
    <w:p w14:paraId="121489AE">
      <w:pPr>
        <w:spacing w:line="360" w:lineRule="auto"/>
        <w:ind w:left="-210" w:leftChars="-100"/>
        <w:jc w:val="both"/>
        <w:rPr>
          <w:rFonts w:hint="eastAsia" w:ascii="宋体" w:hAnsi="宋体" w:eastAsia="宋体" w:cs="宋体"/>
          <w:color w:val="000000"/>
          <w:szCs w:val="21"/>
        </w:rPr>
      </w:pPr>
      <w:r>
        <w:rPr>
          <w:rFonts w:hint="eastAsia" w:ascii="宋体" w:hAnsi="宋体" w:eastAsia="宋体" w:cs="宋体"/>
          <w:color w:val="000000"/>
          <w:szCs w:val="21"/>
          <w:lang w:val="en-US" w:eastAsia="zh-CN"/>
        </w:rPr>
        <w:t>2.3.1</w:t>
      </w:r>
      <w:r>
        <w:rPr>
          <w:rStyle w:val="89"/>
          <w:rFonts w:hint="eastAsia" w:ascii="宋体" w:hAnsi="宋体" w:eastAsia="宋体" w:cs="宋体"/>
          <w:color w:val="000000"/>
          <w:sz w:val="21"/>
          <w:szCs w:val="21"/>
          <w:lang w:val="en-US" w:eastAsia="zh-CN"/>
        </w:rPr>
        <w:t xml:space="preserve"> 是指</w:t>
      </w:r>
      <w:r>
        <w:rPr>
          <w:rFonts w:hint="eastAsia" w:ascii="宋体" w:hAnsi="宋体" w:eastAsia="宋体" w:cs="宋体"/>
          <w:color w:val="000000"/>
          <w:szCs w:val="21"/>
          <w:lang w:eastAsia="zh-CN"/>
        </w:rPr>
        <w:t>完成本项目登记（报名）</w:t>
      </w:r>
      <w:r>
        <w:rPr>
          <w:rFonts w:hint="eastAsia" w:ascii="宋体" w:hAnsi="宋体" w:eastAsia="宋体" w:cs="宋体"/>
          <w:color w:val="000000"/>
          <w:szCs w:val="21"/>
        </w:rPr>
        <w:t>并提交</w:t>
      </w:r>
      <w:r>
        <w:rPr>
          <w:rFonts w:hint="eastAsia" w:ascii="宋体" w:hAnsi="宋体" w:eastAsia="宋体" w:cs="宋体"/>
          <w:color w:val="000000"/>
          <w:szCs w:val="21"/>
          <w:lang w:eastAsia="zh-CN"/>
        </w:rPr>
        <w:t>响应文件</w:t>
      </w:r>
      <w:r>
        <w:rPr>
          <w:rFonts w:hint="eastAsia" w:ascii="宋体" w:hAnsi="宋体" w:eastAsia="宋体" w:cs="宋体"/>
          <w:color w:val="000000"/>
          <w:szCs w:val="21"/>
        </w:rPr>
        <w:t>的</w:t>
      </w:r>
      <w:r>
        <w:rPr>
          <w:rFonts w:hint="eastAsia" w:ascii="宋体" w:hAnsi="宋体" w:eastAsia="宋体" w:cs="宋体"/>
          <w:color w:val="000000"/>
          <w:szCs w:val="21"/>
          <w:lang w:eastAsia="zh-CN"/>
        </w:rPr>
        <w:t>供应商</w:t>
      </w:r>
      <w:r>
        <w:rPr>
          <w:rFonts w:hint="eastAsia" w:ascii="宋体" w:hAnsi="宋体" w:eastAsia="宋体" w:cs="宋体"/>
          <w:color w:val="000000"/>
          <w:szCs w:val="21"/>
        </w:rPr>
        <w:t>。</w:t>
      </w:r>
    </w:p>
    <w:p w14:paraId="7EDC6503">
      <w:pPr>
        <w:spacing w:line="360" w:lineRule="auto"/>
        <w:ind w:left="-210" w:leftChars="-100"/>
        <w:jc w:val="both"/>
        <w:rPr>
          <w:rFonts w:hint="eastAsia" w:ascii="宋体" w:hAnsi="宋体" w:eastAsia="宋体" w:cs="宋体"/>
          <w:color w:val="000000"/>
          <w:szCs w:val="21"/>
        </w:rPr>
      </w:pPr>
      <w:r>
        <w:rPr>
          <w:rFonts w:hint="eastAsia" w:ascii="宋体" w:hAnsi="宋体" w:eastAsia="宋体" w:cs="宋体"/>
          <w:color w:val="000000"/>
          <w:szCs w:val="21"/>
        </w:rPr>
        <w:t>2.4</w:t>
      </w:r>
      <w:r>
        <w:rPr>
          <w:rFonts w:hint="eastAsia" w:ascii="宋体" w:hAnsi="宋体" w:cs="宋体"/>
          <w:color w:val="000000"/>
          <w:szCs w:val="21"/>
          <w:lang w:eastAsia="zh-CN"/>
        </w:rPr>
        <w:t>竞争性谈判</w:t>
      </w:r>
      <w:r>
        <w:rPr>
          <w:rFonts w:hint="eastAsia" w:ascii="宋体" w:hAnsi="宋体" w:eastAsia="宋体" w:cs="宋体"/>
          <w:color w:val="000000"/>
          <w:szCs w:val="21"/>
          <w:lang w:eastAsia="zh-CN"/>
        </w:rPr>
        <w:t>小组</w:t>
      </w:r>
      <w:r>
        <w:rPr>
          <w:rFonts w:hint="eastAsia" w:ascii="宋体" w:hAnsi="宋体" w:eastAsia="宋体" w:cs="宋体"/>
          <w:color w:val="000000"/>
          <w:szCs w:val="21"/>
        </w:rPr>
        <w:t>：是指</w:t>
      </w:r>
      <w:r>
        <w:rPr>
          <w:rFonts w:hint="eastAsia" w:ascii="宋体" w:hAnsi="宋体" w:eastAsia="宋体" w:cs="宋体"/>
          <w:color w:val="000000"/>
          <w:szCs w:val="21"/>
          <w:lang w:val="en-US" w:eastAsia="zh-CN"/>
        </w:rPr>
        <w:t>参照《国有企业采购操作规范》、《中华人民共和国政府采购法》《</w:t>
      </w:r>
      <w:r>
        <w:rPr>
          <w:rFonts w:hint="eastAsia" w:ascii="宋体" w:hAnsi="宋体" w:cs="宋体"/>
          <w:color w:val="000000"/>
          <w:szCs w:val="21"/>
          <w:lang w:val="en-US" w:eastAsia="zh-CN"/>
        </w:rPr>
        <w:t>竞争性谈判</w:t>
      </w:r>
      <w:r>
        <w:rPr>
          <w:rFonts w:hint="eastAsia" w:ascii="宋体" w:hAnsi="宋体" w:eastAsia="宋体" w:cs="宋体"/>
          <w:color w:val="000000"/>
          <w:szCs w:val="21"/>
          <w:lang w:val="en-US" w:eastAsia="zh-CN"/>
        </w:rPr>
        <w:t>采购方式管理暂行办法》</w:t>
      </w:r>
      <w:r>
        <w:rPr>
          <w:rFonts w:hint="eastAsia" w:ascii="宋体" w:hAnsi="宋体" w:eastAsia="宋体" w:cs="宋体"/>
          <w:color w:val="000000"/>
          <w:szCs w:val="21"/>
        </w:rPr>
        <w:t>等法律法规规定，由采购人代表和有关专家组成以确定</w:t>
      </w:r>
      <w:r>
        <w:rPr>
          <w:rFonts w:hint="eastAsia" w:ascii="宋体" w:hAnsi="宋体" w:eastAsia="宋体" w:cs="宋体"/>
          <w:color w:val="000000"/>
          <w:szCs w:val="21"/>
          <w:lang w:eastAsia="zh-CN"/>
        </w:rPr>
        <w:t>成交供应商</w:t>
      </w:r>
      <w:r>
        <w:rPr>
          <w:rFonts w:hint="eastAsia" w:ascii="宋体" w:hAnsi="宋体" w:eastAsia="宋体" w:cs="宋体"/>
          <w:color w:val="000000"/>
          <w:szCs w:val="21"/>
        </w:rPr>
        <w:t>或者推荐</w:t>
      </w:r>
      <w:r>
        <w:rPr>
          <w:rFonts w:hint="eastAsia" w:ascii="宋体" w:hAnsi="宋体" w:eastAsia="宋体" w:cs="宋体"/>
          <w:color w:val="000000"/>
          <w:szCs w:val="21"/>
          <w:lang w:eastAsia="zh-CN"/>
        </w:rPr>
        <w:t>成交候选供应商</w:t>
      </w:r>
      <w:r>
        <w:rPr>
          <w:rFonts w:hint="eastAsia" w:ascii="宋体" w:hAnsi="宋体" w:eastAsia="宋体" w:cs="宋体"/>
          <w:color w:val="000000"/>
          <w:szCs w:val="21"/>
        </w:rPr>
        <w:t>的临时组织。</w:t>
      </w:r>
    </w:p>
    <w:p w14:paraId="78DDB973">
      <w:pPr>
        <w:spacing w:line="360" w:lineRule="auto"/>
        <w:ind w:left="-210" w:leftChars="-100"/>
        <w:jc w:val="both"/>
        <w:rPr>
          <w:rFonts w:hint="eastAsia" w:ascii="宋体" w:hAnsi="宋体" w:eastAsia="宋体" w:cs="宋体"/>
          <w:szCs w:val="21"/>
        </w:rPr>
      </w:pPr>
      <w:r>
        <w:rPr>
          <w:rFonts w:hint="eastAsia" w:ascii="宋体" w:hAnsi="宋体" w:eastAsia="宋体" w:cs="宋体"/>
          <w:color w:val="000000"/>
          <w:szCs w:val="21"/>
        </w:rPr>
        <w:t>2.5</w:t>
      </w:r>
      <w:r>
        <w:rPr>
          <w:rFonts w:hint="eastAsia" w:ascii="宋体" w:hAnsi="宋体" w:eastAsia="宋体" w:cs="宋体"/>
          <w:color w:val="000000"/>
          <w:szCs w:val="21"/>
          <w:lang w:eastAsia="zh-CN"/>
        </w:rPr>
        <w:t>成交供应商</w:t>
      </w:r>
      <w:r>
        <w:rPr>
          <w:rFonts w:hint="eastAsia" w:ascii="宋体" w:hAnsi="宋体" w:eastAsia="宋体" w:cs="宋体"/>
          <w:color w:val="000000"/>
          <w:szCs w:val="21"/>
        </w:rPr>
        <w:t>：是指经</w:t>
      </w:r>
      <w:r>
        <w:rPr>
          <w:rFonts w:hint="eastAsia" w:ascii="宋体" w:hAnsi="宋体" w:cs="宋体"/>
          <w:color w:val="000000"/>
          <w:szCs w:val="21"/>
          <w:lang w:eastAsia="zh-CN"/>
        </w:rPr>
        <w:t>竞争性谈判</w:t>
      </w:r>
      <w:r>
        <w:rPr>
          <w:rFonts w:hint="eastAsia" w:ascii="宋体" w:hAnsi="宋体" w:eastAsia="宋体" w:cs="宋体"/>
          <w:color w:val="000000"/>
          <w:szCs w:val="21"/>
          <w:lang w:eastAsia="zh-CN"/>
        </w:rPr>
        <w:t>小组</w:t>
      </w:r>
      <w:r>
        <w:rPr>
          <w:rFonts w:hint="eastAsia" w:ascii="宋体" w:hAnsi="宋体" w:eastAsia="宋体" w:cs="宋体"/>
          <w:color w:val="000000"/>
          <w:szCs w:val="21"/>
        </w:rPr>
        <w:t>评审</w:t>
      </w:r>
      <w:r>
        <w:rPr>
          <w:rFonts w:hint="eastAsia" w:ascii="宋体" w:hAnsi="宋体" w:eastAsia="宋体" w:cs="宋体"/>
          <w:color w:val="000000"/>
          <w:szCs w:val="21"/>
          <w:lang w:eastAsia="zh-CN"/>
        </w:rPr>
        <w:t>确定对</w:t>
      </w:r>
      <w:r>
        <w:rPr>
          <w:rFonts w:hint="eastAsia" w:ascii="宋体" w:hAnsi="宋体" w:cs="宋体"/>
          <w:color w:val="000000"/>
          <w:szCs w:val="21"/>
          <w:lang w:eastAsia="zh-CN"/>
        </w:rPr>
        <w:t>竞争性谈判</w:t>
      </w:r>
      <w:r>
        <w:rPr>
          <w:rFonts w:hint="eastAsia" w:ascii="宋体" w:hAnsi="宋体" w:eastAsia="宋体" w:cs="宋体"/>
          <w:szCs w:val="21"/>
          <w:lang w:eastAsia="zh-CN"/>
        </w:rPr>
        <w:t>文件作出</w:t>
      </w:r>
      <w:r>
        <w:rPr>
          <w:rFonts w:hint="eastAsia" w:ascii="宋体" w:hAnsi="宋体" w:eastAsia="宋体" w:cs="宋体"/>
          <w:szCs w:val="21"/>
        </w:rPr>
        <w:t>实质性响应，经采购人按照规定在</w:t>
      </w:r>
      <w:r>
        <w:rPr>
          <w:rFonts w:hint="eastAsia" w:ascii="宋体" w:hAnsi="宋体" w:cs="宋体"/>
          <w:szCs w:val="21"/>
          <w:lang w:eastAsia="zh-CN"/>
        </w:rPr>
        <w:t>竞争性谈判</w:t>
      </w:r>
      <w:r>
        <w:rPr>
          <w:rFonts w:hint="eastAsia" w:ascii="宋体" w:hAnsi="宋体" w:eastAsia="宋体" w:cs="宋体"/>
          <w:szCs w:val="21"/>
          <w:lang w:eastAsia="zh-CN"/>
        </w:rPr>
        <w:t>小组</w:t>
      </w:r>
      <w:r>
        <w:rPr>
          <w:rFonts w:hint="eastAsia" w:ascii="宋体" w:hAnsi="宋体" w:eastAsia="宋体" w:cs="宋体"/>
          <w:szCs w:val="21"/>
        </w:rPr>
        <w:t>推荐的</w:t>
      </w:r>
      <w:r>
        <w:rPr>
          <w:rFonts w:hint="eastAsia" w:ascii="宋体" w:hAnsi="宋体" w:eastAsia="宋体" w:cs="宋体"/>
          <w:szCs w:val="21"/>
          <w:lang w:eastAsia="zh-CN"/>
        </w:rPr>
        <w:t>成交候选供应商</w:t>
      </w:r>
      <w:r>
        <w:rPr>
          <w:rFonts w:hint="eastAsia" w:ascii="宋体" w:hAnsi="宋体" w:eastAsia="宋体" w:cs="宋体"/>
          <w:szCs w:val="21"/>
        </w:rPr>
        <w:t>中确定的或</w:t>
      </w:r>
      <w:r>
        <w:rPr>
          <w:rFonts w:hint="eastAsia" w:ascii="宋体" w:hAnsi="宋体" w:cs="宋体"/>
          <w:szCs w:val="21"/>
          <w:lang w:eastAsia="zh-CN"/>
        </w:rPr>
        <w:t>竞争性谈判</w:t>
      </w:r>
      <w:r>
        <w:rPr>
          <w:rFonts w:hint="eastAsia" w:ascii="宋体" w:hAnsi="宋体" w:eastAsia="宋体" w:cs="宋体"/>
          <w:szCs w:val="21"/>
          <w:lang w:eastAsia="zh-CN"/>
        </w:rPr>
        <w:t>小组</w:t>
      </w:r>
      <w:r>
        <w:rPr>
          <w:rFonts w:hint="eastAsia" w:ascii="宋体" w:hAnsi="宋体" w:eastAsia="宋体" w:cs="宋体"/>
          <w:szCs w:val="21"/>
        </w:rPr>
        <w:t>受采购人委托直接确认的</w:t>
      </w:r>
      <w:r>
        <w:rPr>
          <w:rFonts w:hint="eastAsia" w:ascii="宋体" w:hAnsi="宋体" w:eastAsia="宋体" w:cs="宋体"/>
          <w:szCs w:val="21"/>
          <w:lang w:eastAsia="zh-CN"/>
        </w:rPr>
        <w:t>供应商</w:t>
      </w:r>
      <w:r>
        <w:rPr>
          <w:rFonts w:hint="eastAsia" w:ascii="宋体" w:hAnsi="宋体" w:eastAsia="宋体" w:cs="宋体"/>
          <w:szCs w:val="21"/>
        </w:rPr>
        <w:t>。</w:t>
      </w:r>
    </w:p>
    <w:p w14:paraId="74673FCC">
      <w:pPr>
        <w:spacing w:line="360" w:lineRule="auto"/>
        <w:ind w:left="-210" w:leftChars="-100"/>
        <w:jc w:val="both"/>
        <w:rPr>
          <w:rFonts w:hint="eastAsia" w:ascii="宋体" w:hAnsi="宋体" w:eastAsia="宋体" w:cs="宋体"/>
          <w:szCs w:val="21"/>
        </w:rPr>
      </w:pPr>
      <w:r>
        <w:rPr>
          <w:rFonts w:hint="eastAsia" w:ascii="宋体" w:hAnsi="宋体" w:eastAsia="宋体" w:cs="宋体"/>
          <w:szCs w:val="21"/>
        </w:rPr>
        <w:t>2.6</w:t>
      </w:r>
      <w:r>
        <w:rPr>
          <w:rFonts w:hint="eastAsia" w:ascii="宋体" w:hAnsi="宋体" w:cs="宋体"/>
          <w:szCs w:val="21"/>
          <w:lang w:eastAsia="zh-CN"/>
        </w:rPr>
        <w:t>竞争性谈判</w:t>
      </w:r>
      <w:r>
        <w:rPr>
          <w:rFonts w:hint="eastAsia" w:ascii="宋体" w:hAnsi="宋体" w:eastAsia="宋体" w:cs="宋体"/>
          <w:szCs w:val="21"/>
          <w:lang w:eastAsia="zh-CN"/>
        </w:rPr>
        <w:t>文件</w:t>
      </w:r>
      <w:r>
        <w:rPr>
          <w:rFonts w:hint="eastAsia" w:ascii="宋体" w:hAnsi="宋体" w:eastAsia="宋体" w:cs="宋体"/>
          <w:szCs w:val="21"/>
        </w:rPr>
        <w:t>：是指包括</w:t>
      </w:r>
      <w:r>
        <w:rPr>
          <w:rFonts w:hint="eastAsia" w:ascii="宋体" w:hAnsi="宋体" w:eastAsia="宋体" w:cs="宋体"/>
          <w:szCs w:val="21"/>
          <w:lang w:eastAsia="zh-CN"/>
        </w:rPr>
        <w:t>采购公告</w:t>
      </w:r>
      <w:r>
        <w:rPr>
          <w:rFonts w:hint="eastAsia" w:ascii="宋体" w:hAnsi="宋体" w:eastAsia="宋体" w:cs="宋体"/>
          <w:szCs w:val="21"/>
        </w:rPr>
        <w:t>和</w:t>
      </w:r>
      <w:r>
        <w:rPr>
          <w:rFonts w:hint="eastAsia" w:ascii="宋体" w:hAnsi="宋体" w:cs="宋体"/>
          <w:szCs w:val="21"/>
          <w:lang w:eastAsia="zh-CN"/>
        </w:rPr>
        <w:t>竞争性谈判</w:t>
      </w:r>
      <w:r>
        <w:rPr>
          <w:rFonts w:hint="eastAsia" w:ascii="宋体" w:hAnsi="宋体" w:eastAsia="宋体" w:cs="宋体"/>
          <w:szCs w:val="21"/>
          <w:lang w:eastAsia="zh-CN"/>
        </w:rPr>
        <w:t>文件</w:t>
      </w:r>
      <w:r>
        <w:rPr>
          <w:rFonts w:hint="eastAsia" w:ascii="宋体" w:hAnsi="宋体" w:eastAsia="宋体" w:cs="宋体"/>
          <w:szCs w:val="21"/>
        </w:rPr>
        <w:t>及其补充、变更和澄清等一系列文件。</w:t>
      </w:r>
    </w:p>
    <w:p w14:paraId="23360CFD">
      <w:pPr>
        <w:spacing w:line="360" w:lineRule="auto"/>
        <w:ind w:left="-210" w:leftChars="-100"/>
        <w:jc w:val="both"/>
        <w:rPr>
          <w:rFonts w:hint="eastAsia" w:ascii="宋体" w:hAnsi="宋体" w:eastAsia="宋体" w:cs="宋体"/>
          <w:b w:val="0"/>
          <w:bCs w:val="0"/>
          <w:szCs w:val="21"/>
        </w:rPr>
      </w:pPr>
      <w:r>
        <w:rPr>
          <w:rFonts w:hint="eastAsia" w:ascii="宋体" w:hAnsi="宋体" w:eastAsia="宋体" w:cs="宋体"/>
          <w:szCs w:val="21"/>
        </w:rPr>
        <w:t>2.7</w:t>
      </w:r>
      <w:r>
        <w:rPr>
          <w:rFonts w:hint="eastAsia" w:ascii="宋体" w:hAnsi="宋体" w:eastAsia="宋体" w:cs="宋体"/>
          <w:szCs w:val="21"/>
          <w:lang w:eastAsia="zh-CN"/>
        </w:rPr>
        <w:t>响应文件</w:t>
      </w:r>
      <w:r>
        <w:rPr>
          <w:rFonts w:hint="eastAsia" w:ascii="宋体" w:hAnsi="宋体" w:eastAsia="宋体" w:cs="宋体"/>
          <w:szCs w:val="21"/>
        </w:rPr>
        <w:t>：是指</w:t>
      </w:r>
      <w:r>
        <w:rPr>
          <w:rFonts w:hint="eastAsia" w:ascii="宋体" w:hAnsi="宋体" w:eastAsia="宋体" w:cs="宋体"/>
          <w:szCs w:val="21"/>
          <w:lang w:val="en-US" w:eastAsia="zh-CN"/>
        </w:rPr>
        <w:t>供应商按照</w:t>
      </w:r>
      <w:r>
        <w:rPr>
          <w:rFonts w:hint="eastAsia" w:ascii="宋体" w:hAnsi="宋体" w:cs="宋体"/>
          <w:szCs w:val="21"/>
          <w:lang w:val="en-US" w:eastAsia="zh-CN"/>
        </w:rPr>
        <w:t>竞争性谈判</w:t>
      </w:r>
      <w:r>
        <w:rPr>
          <w:rFonts w:hint="eastAsia" w:ascii="宋体" w:hAnsi="宋体" w:eastAsia="宋体" w:cs="宋体"/>
          <w:szCs w:val="21"/>
          <w:lang w:val="en-US" w:eastAsia="zh-CN"/>
        </w:rPr>
        <w:t>文件制作的</w:t>
      </w:r>
      <w:r>
        <w:rPr>
          <w:rFonts w:hint="eastAsia" w:ascii="宋体" w:hAnsi="宋体" w:eastAsia="宋体" w:cs="宋体"/>
          <w:b w:val="0"/>
          <w:bCs w:val="0"/>
          <w:szCs w:val="21"/>
          <w:lang w:eastAsia="zh-CN"/>
        </w:rPr>
        <w:t>响应文件</w:t>
      </w:r>
      <w:r>
        <w:rPr>
          <w:rFonts w:hint="eastAsia" w:ascii="宋体" w:hAnsi="宋体" w:eastAsia="宋体" w:cs="宋体"/>
          <w:b w:val="0"/>
          <w:bCs w:val="0"/>
          <w:szCs w:val="21"/>
        </w:rPr>
        <w:t>。</w:t>
      </w:r>
    </w:p>
    <w:p w14:paraId="44DE429B">
      <w:pPr>
        <w:spacing w:line="360" w:lineRule="auto"/>
        <w:ind w:left="-210" w:leftChars="-100"/>
        <w:jc w:val="both"/>
        <w:rPr>
          <w:rFonts w:hint="eastAsia" w:ascii="宋体" w:hAnsi="宋体" w:eastAsia="宋体" w:cs="宋体"/>
          <w:szCs w:val="21"/>
        </w:rPr>
      </w:pPr>
      <w:r>
        <w:rPr>
          <w:rFonts w:hint="eastAsia" w:ascii="宋体" w:hAnsi="宋体" w:eastAsia="宋体" w:cs="宋体"/>
          <w:b w:val="0"/>
          <w:bCs w:val="0"/>
          <w:szCs w:val="21"/>
          <w:lang w:val="en-US" w:eastAsia="zh-CN"/>
        </w:rPr>
        <w:t>3.参照</w:t>
      </w:r>
      <w:r>
        <w:rPr>
          <w:rFonts w:hint="eastAsia" w:ascii="宋体" w:hAnsi="宋体" w:eastAsia="宋体" w:cs="宋体"/>
          <w:b w:val="0"/>
          <w:bCs w:val="0"/>
          <w:szCs w:val="21"/>
        </w:rPr>
        <w:t>法律：采购人及</w:t>
      </w:r>
      <w:r>
        <w:rPr>
          <w:rFonts w:hint="eastAsia" w:ascii="宋体" w:hAnsi="宋体" w:eastAsia="宋体" w:cs="宋体"/>
          <w:b w:val="0"/>
          <w:bCs w:val="0"/>
          <w:szCs w:val="21"/>
          <w:lang w:eastAsia="zh-CN"/>
        </w:rPr>
        <w:t>供应商</w:t>
      </w:r>
      <w:r>
        <w:rPr>
          <w:rFonts w:hint="eastAsia" w:ascii="宋体" w:hAnsi="宋体" w:eastAsia="宋体" w:cs="宋体"/>
          <w:b w:val="0"/>
          <w:bCs w:val="0"/>
          <w:szCs w:val="21"/>
        </w:rPr>
        <w:t>进行的本次采购活动</w:t>
      </w:r>
      <w:r>
        <w:rPr>
          <w:rFonts w:hint="eastAsia" w:ascii="宋体" w:hAnsi="宋体" w:eastAsia="宋体" w:cs="宋体"/>
          <w:b w:val="0"/>
          <w:bCs w:val="0"/>
          <w:szCs w:val="21"/>
          <w:lang w:val="en-US" w:eastAsia="zh-CN"/>
        </w:rPr>
        <w:t>参照《国有企业采购操作规范》、</w:t>
      </w:r>
      <w:r>
        <w:rPr>
          <w:rFonts w:hint="eastAsia" w:ascii="宋体" w:hAnsi="宋体" w:eastAsia="宋体" w:cs="宋体"/>
          <w:b w:val="0"/>
          <w:bCs w:val="0"/>
          <w:szCs w:val="21"/>
        </w:rPr>
        <w:t>《中华</w:t>
      </w:r>
      <w:r>
        <w:rPr>
          <w:rFonts w:hint="eastAsia" w:ascii="宋体" w:hAnsi="宋体" w:eastAsia="宋体" w:cs="宋体"/>
          <w:szCs w:val="21"/>
        </w:rPr>
        <w:t>人民共和国政府采购法</w:t>
      </w:r>
      <w:r>
        <w:rPr>
          <w:rFonts w:hint="eastAsia" w:ascii="宋体" w:hAnsi="宋体" w:eastAsia="宋体" w:cs="宋体"/>
          <w:szCs w:val="21"/>
          <w:lang w:eastAsia="zh-CN"/>
        </w:rPr>
        <w:t>》《</w:t>
      </w:r>
      <w:r>
        <w:rPr>
          <w:rFonts w:hint="eastAsia" w:ascii="宋体" w:hAnsi="宋体" w:cs="宋体"/>
          <w:szCs w:val="21"/>
          <w:lang w:eastAsia="zh-CN"/>
        </w:rPr>
        <w:t>竞争性谈判</w:t>
      </w:r>
      <w:r>
        <w:rPr>
          <w:rFonts w:hint="eastAsia" w:ascii="宋体" w:hAnsi="宋体" w:eastAsia="宋体" w:cs="宋体"/>
          <w:szCs w:val="21"/>
          <w:lang w:eastAsia="zh-CN"/>
        </w:rPr>
        <w:t>采购方式管理暂行办法</w:t>
      </w:r>
      <w:r>
        <w:rPr>
          <w:rFonts w:hint="eastAsia" w:ascii="宋体" w:hAnsi="宋体" w:eastAsia="宋体" w:cs="宋体"/>
          <w:szCs w:val="21"/>
        </w:rPr>
        <w:t>》</w:t>
      </w:r>
      <w:r>
        <w:rPr>
          <w:rFonts w:hint="eastAsia" w:ascii="宋体" w:hAnsi="宋体" w:eastAsia="宋体" w:cs="宋体"/>
          <w:szCs w:val="21"/>
          <w:lang w:val="en-US" w:eastAsia="zh-CN"/>
        </w:rPr>
        <w:t>等</w:t>
      </w:r>
      <w:r>
        <w:rPr>
          <w:rFonts w:hint="eastAsia" w:ascii="宋体" w:hAnsi="宋体" w:eastAsia="宋体" w:cs="宋体"/>
          <w:szCs w:val="21"/>
        </w:rPr>
        <w:t>及其配套的法规、规章、政策采购。</w:t>
      </w:r>
    </w:p>
    <w:p w14:paraId="3C835D50">
      <w:pPr>
        <w:pStyle w:val="49"/>
        <w:jc w:val="both"/>
        <w:rPr>
          <w:rFonts w:hint="eastAsia" w:ascii="宋体" w:hAnsi="宋体" w:eastAsia="宋体" w:cs="宋体"/>
        </w:rPr>
      </w:pPr>
    </w:p>
    <w:p w14:paraId="4FBB999E">
      <w:pPr>
        <w:keepNext w:val="0"/>
        <w:keepLines w:val="0"/>
        <w:pageBreakBefore w:val="0"/>
        <w:kinsoku/>
        <w:wordWrap/>
        <w:overflowPunct/>
        <w:topLinePunct w:val="0"/>
        <w:autoSpaceDE/>
        <w:autoSpaceDN/>
        <w:bidi w:val="0"/>
        <w:spacing w:line="432" w:lineRule="auto"/>
        <w:ind w:left="-210" w:leftChars="-100"/>
        <w:jc w:val="center"/>
        <w:textAlignment w:val="auto"/>
        <w:rPr>
          <w:rFonts w:hint="eastAsia" w:ascii="宋体" w:hAnsi="宋体" w:eastAsia="宋体" w:cs="宋体"/>
          <w:color w:val="auto"/>
        </w:rPr>
      </w:pPr>
      <w:r>
        <w:rPr>
          <w:rFonts w:hint="eastAsia" w:ascii="宋体" w:hAnsi="宋体" w:eastAsia="宋体" w:cs="宋体"/>
          <w:b/>
          <w:bCs/>
          <w:color w:val="auto"/>
          <w:szCs w:val="21"/>
        </w:rPr>
        <w:t xml:space="preserve">B  </w:t>
      </w:r>
      <w:r>
        <w:rPr>
          <w:rFonts w:hint="eastAsia" w:ascii="宋体" w:hAnsi="宋体" w:cs="宋体"/>
          <w:b/>
          <w:bCs/>
          <w:color w:val="auto"/>
          <w:szCs w:val="21"/>
          <w:lang w:eastAsia="zh-CN"/>
        </w:rPr>
        <w:t>竞争性谈判</w:t>
      </w:r>
      <w:r>
        <w:rPr>
          <w:rFonts w:hint="eastAsia" w:ascii="宋体" w:hAnsi="宋体" w:eastAsia="宋体" w:cs="宋体"/>
          <w:b/>
          <w:bCs/>
          <w:color w:val="auto"/>
          <w:szCs w:val="21"/>
        </w:rPr>
        <w:t>文件</w:t>
      </w:r>
    </w:p>
    <w:p w14:paraId="1693CA8B">
      <w:pPr>
        <w:keepNext w:val="0"/>
        <w:keepLines w:val="0"/>
        <w:pageBreakBefore w:val="0"/>
        <w:kinsoku/>
        <w:wordWrap/>
        <w:overflowPunct/>
        <w:topLinePunct w:val="0"/>
        <w:autoSpaceDE/>
        <w:autoSpaceDN/>
        <w:bidi w:val="0"/>
        <w:spacing w:line="432" w:lineRule="auto"/>
        <w:jc w:val="both"/>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4.</w:t>
      </w:r>
      <w:r>
        <w:rPr>
          <w:rFonts w:hint="eastAsia" w:ascii="宋体" w:hAnsi="宋体" w:cs="宋体"/>
          <w:color w:val="auto"/>
          <w:szCs w:val="21"/>
          <w:lang w:eastAsia="zh-CN"/>
        </w:rPr>
        <w:t>竞争性谈判</w:t>
      </w:r>
      <w:r>
        <w:rPr>
          <w:rFonts w:hint="eastAsia" w:ascii="宋体" w:hAnsi="宋体" w:eastAsia="宋体" w:cs="宋体"/>
          <w:color w:val="auto"/>
          <w:szCs w:val="21"/>
        </w:rPr>
        <w:t>文件用以阐明所需</w:t>
      </w:r>
      <w:r>
        <w:rPr>
          <w:rFonts w:hint="eastAsia" w:ascii="宋体" w:hAnsi="宋体" w:eastAsia="宋体" w:cs="宋体"/>
          <w:color w:val="auto"/>
          <w:szCs w:val="21"/>
          <w:lang w:val="en-US" w:eastAsia="zh-CN"/>
        </w:rPr>
        <w:t>货物/服务/工程</w:t>
      </w:r>
      <w:r>
        <w:rPr>
          <w:rFonts w:hint="eastAsia" w:ascii="宋体" w:hAnsi="宋体" w:cs="宋体"/>
          <w:color w:val="auto"/>
          <w:szCs w:val="21"/>
          <w:lang w:eastAsia="zh-CN"/>
        </w:rPr>
        <w:t>谈判</w:t>
      </w:r>
      <w:r>
        <w:rPr>
          <w:rFonts w:hint="eastAsia" w:ascii="宋体" w:hAnsi="宋体" w:eastAsia="宋体" w:cs="宋体"/>
          <w:color w:val="auto"/>
          <w:szCs w:val="21"/>
        </w:rPr>
        <w:t>程序和合同条款。</w:t>
      </w:r>
      <w:r>
        <w:rPr>
          <w:rFonts w:hint="eastAsia" w:ascii="宋体" w:hAnsi="宋体" w:cs="宋体"/>
          <w:color w:val="auto"/>
          <w:szCs w:val="21"/>
          <w:lang w:eastAsia="zh-CN"/>
        </w:rPr>
        <w:t>竞争性谈判</w:t>
      </w:r>
      <w:r>
        <w:rPr>
          <w:rFonts w:hint="eastAsia" w:ascii="宋体" w:hAnsi="宋体" w:eastAsia="宋体" w:cs="宋体"/>
          <w:color w:val="auto"/>
          <w:szCs w:val="21"/>
        </w:rPr>
        <w:t>文件</w:t>
      </w:r>
      <w:r>
        <w:rPr>
          <w:rFonts w:hint="eastAsia" w:ascii="宋体" w:hAnsi="宋体" w:eastAsia="宋体" w:cs="宋体"/>
          <w:color w:val="auto"/>
          <w:szCs w:val="21"/>
          <w:lang w:val="en-US" w:eastAsia="zh-CN"/>
        </w:rPr>
        <w:t>组成详见</w:t>
      </w:r>
      <w:r>
        <w:rPr>
          <w:rFonts w:hint="eastAsia" w:ascii="宋体" w:hAnsi="宋体" w:cs="宋体"/>
          <w:color w:val="auto"/>
          <w:szCs w:val="21"/>
          <w:lang w:val="en-US" w:eastAsia="zh-CN"/>
        </w:rPr>
        <w:t>竞争性谈判</w:t>
      </w:r>
      <w:r>
        <w:rPr>
          <w:rFonts w:hint="eastAsia" w:ascii="宋体" w:hAnsi="宋体" w:eastAsia="宋体" w:cs="宋体"/>
          <w:color w:val="auto"/>
          <w:szCs w:val="21"/>
          <w:lang w:val="en-US" w:eastAsia="zh-CN"/>
        </w:rPr>
        <w:t>文件目录</w:t>
      </w:r>
      <w:r>
        <w:rPr>
          <w:rFonts w:hint="eastAsia" w:ascii="宋体" w:hAnsi="宋体" w:eastAsia="宋体" w:cs="宋体"/>
          <w:color w:val="auto"/>
          <w:szCs w:val="21"/>
        </w:rPr>
        <w:t>：内容，按</w:t>
      </w:r>
      <w:r>
        <w:rPr>
          <w:rFonts w:hint="eastAsia" w:ascii="宋体" w:hAnsi="宋体" w:cs="宋体"/>
          <w:color w:val="auto"/>
          <w:szCs w:val="21"/>
          <w:lang w:eastAsia="zh-CN"/>
        </w:rPr>
        <w:t>竞争性谈判</w:t>
      </w:r>
      <w:r>
        <w:rPr>
          <w:rFonts w:hint="eastAsia" w:ascii="宋体" w:hAnsi="宋体" w:eastAsia="宋体" w:cs="宋体"/>
          <w:color w:val="auto"/>
          <w:szCs w:val="21"/>
        </w:rPr>
        <w:t>文件要求提供响应文件，并保证所提供的全部资料的真实性，以使其</w:t>
      </w:r>
      <w:r>
        <w:rPr>
          <w:rFonts w:hint="eastAsia" w:ascii="宋体" w:hAnsi="宋体" w:cs="宋体"/>
          <w:color w:val="auto"/>
          <w:szCs w:val="21"/>
          <w:lang w:eastAsia="zh-CN"/>
        </w:rPr>
        <w:t>谈判</w:t>
      </w:r>
      <w:r>
        <w:rPr>
          <w:rFonts w:hint="eastAsia" w:ascii="宋体" w:hAnsi="宋体" w:eastAsia="宋体" w:cs="宋体"/>
          <w:color w:val="auto"/>
          <w:szCs w:val="21"/>
        </w:rPr>
        <w:t>对</w:t>
      </w:r>
      <w:r>
        <w:rPr>
          <w:rFonts w:hint="eastAsia" w:ascii="宋体" w:hAnsi="宋体" w:cs="宋体"/>
          <w:color w:val="auto"/>
          <w:szCs w:val="21"/>
          <w:lang w:eastAsia="zh-CN"/>
        </w:rPr>
        <w:t>竞争性谈判</w:t>
      </w:r>
      <w:r>
        <w:rPr>
          <w:rFonts w:hint="eastAsia" w:ascii="宋体" w:hAnsi="宋体" w:eastAsia="宋体" w:cs="宋体"/>
          <w:color w:val="auto"/>
          <w:szCs w:val="21"/>
        </w:rPr>
        <w:t>文件作出实质性响应，否则，其</w:t>
      </w:r>
      <w:r>
        <w:rPr>
          <w:rFonts w:hint="eastAsia" w:ascii="宋体" w:hAnsi="宋体" w:cs="宋体"/>
          <w:color w:val="auto"/>
          <w:szCs w:val="21"/>
          <w:lang w:eastAsia="zh-CN"/>
        </w:rPr>
        <w:t>谈判</w:t>
      </w:r>
      <w:r>
        <w:rPr>
          <w:rFonts w:hint="eastAsia" w:ascii="宋体" w:hAnsi="宋体" w:eastAsia="宋体" w:cs="宋体"/>
          <w:color w:val="auto"/>
          <w:szCs w:val="21"/>
        </w:rPr>
        <w:t>可能</w:t>
      </w:r>
      <w:r>
        <w:rPr>
          <w:rFonts w:hint="eastAsia" w:ascii="宋体" w:hAnsi="宋体" w:cs="宋体"/>
          <w:color w:val="auto"/>
          <w:szCs w:val="21"/>
          <w:lang w:eastAsia="zh-CN"/>
        </w:rPr>
        <w:t>被拒绝。</w:t>
      </w:r>
    </w:p>
    <w:p w14:paraId="227518E4">
      <w:pPr>
        <w:keepNext w:val="0"/>
        <w:keepLines w:val="0"/>
        <w:pageBreakBefore w:val="0"/>
        <w:kinsoku/>
        <w:wordWrap/>
        <w:overflowPunct/>
        <w:topLinePunct w:val="0"/>
        <w:autoSpaceDE/>
        <w:autoSpaceDN/>
        <w:bidi w:val="0"/>
        <w:spacing w:line="432" w:lineRule="auto"/>
        <w:jc w:val="both"/>
        <w:textAlignment w:val="auto"/>
        <w:rPr>
          <w:rFonts w:hint="eastAsia" w:ascii="宋体" w:hAnsi="宋体" w:eastAsia="宋体" w:cs="宋体"/>
          <w:color w:val="auto"/>
        </w:rPr>
      </w:pPr>
      <w:r>
        <w:rPr>
          <w:rFonts w:hint="eastAsia" w:ascii="宋体" w:hAnsi="宋体" w:eastAsia="宋体" w:cs="宋体"/>
          <w:color w:val="auto"/>
        </w:rPr>
        <w:t>5.</w:t>
      </w:r>
      <w:r>
        <w:rPr>
          <w:rFonts w:hint="eastAsia" w:ascii="宋体" w:hAnsi="宋体" w:eastAsia="宋体" w:cs="宋体"/>
          <w:color w:val="auto"/>
          <w:szCs w:val="21"/>
        </w:rPr>
        <w:t>供应商应仔细阅读</w:t>
      </w:r>
      <w:r>
        <w:rPr>
          <w:rFonts w:hint="eastAsia" w:ascii="宋体" w:hAnsi="宋体" w:cs="宋体"/>
          <w:color w:val="auto"/>
          <w:szCs w:val="21"/>
          <w:lang w:eastAsia="zh-CN"/>
        </w:rPr>
        <w:t>竞争性谈判</w:t>
      </w:r>
      <w:r>
        <w:rPr>
          <w:rFonts w:hint="eastAsia" w:ascii="宋体" w:hAnsi="宋体" w:eastAsia="宋体" w:cs="宋体"/>
          <w:color w:val="auto"/>
          <w:szCs w:val="21"/>
        </w:rPr>
        <w:t>文件的所有</w:t>
      </w:r>
      <w:r>
        <w:rPr>
          <w:rFonts w:hint="eastAsia" w:ascii="宋体" w:hAnsi="宋体" w:cs="宋体"/>
          <w:color w:val="auto"/>
          <w:szCs w:val="21"/>
          <w:lang w:val="en-US" w:eastAsia="zh-CN"/>
        </w:rPr>
        <w:t>条款</w:t>
      </w:r>
      <w:r>
        <w:rPr>
          <w:rFonts w:hint="eastAsia" w:ascii="宋体" w:hAnsi="宋体" w:eastAsia="宋体" w:cs="宋体"/>
          <w:color w:val="auto"/>
          <w:szCs w:val="21"/>
        </w:rPr>
        <w:t>。</w:t>
      </w:r>
    </w:p>
    <w:p w14:paraId="3343CFA6">
      <w:pPr>
        <w:keepNext w:val="0"/>
        <w:keepLines w:val="0"/>
        <w:pageBreakBefore w:val="0"/>
        <w:kinsoku/>
        <w:wordWrap/>
        <w:overflowPunct/>
        <w:topLinePunct w:val="0"/>
        <w:autoSpaceDE/>
        <w:autoSpaceDN/>
        <w:bidi w:val="0"/>
        <w:spacing w:line="432" w:lineRule="auto"/>
        <w:ind w:left="210" w:hanging="210" w:hangingChars="1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6.</w:t>
      </w:r>
      <w:r>
        <w:rPr>
          <w:rFonts w:hint="eastAsia" w:ascii="宋体" w:hAnsi="宋体" w:cs="宋体"/>
          <w:color w:val="auto"/>
          <w:highlight w:val="none"/>
          <w:lang w:eastAsia="zh-CN"/>
        </w:rPr>
        <w:t>竞争性谈判</w:t>
      </w:r>
      <w:r>
        <w:rPr>
          <w:rFonts w:hint="eastAsia" w:ascii="宋体" w:hAnsi="宋体" w:eastAsia="宋体" w:cs="宋体"/>
          <w:color w:val="auto"/>
          <w:highlight w:val="none"/>
        </w:rPr>
        <w:t>文件的澄清</w:t>
      </w:r>
      <w:r>
        <w:rPr>
          <w:rFonts w:hint="eastAsia" w:ascii="宋体" w:hAnsi="宋体" w:cs="宋体"/>
          <w:color w:val="auto"/>
          <w:highlight w:val="none"/>
          <w:lang w:val="en-US" w:eastAsia="zh-CN"/>
        </w:rPr>
        <w:t>和疑义</w:t>
      </w:r>
      <w:r>
        <w:rPr>
          <w:rFonts w:hint="eastAsia" w:ascii="宋体" w:hAnsi="宋体" w:eastAsia="宋体" w:cs="宋体"/>
          <w:color w:val="auto"/>
          <w:highlight w:val="none"/>
        </w:rPr>
        <w:t>：</w:t>
      </w:r>
    </w:p>
    <w:p w14:paraId="3A4D3C76">
      <w:pPr>
        <w:keepNext w:val="0"/>
        <w:keepLines w:val="0"/>
        <w:pageBreakBefore w:val="0"/>
        <w:kinsoku/>
        <w:wordWrap/>
        <w:overflowPunct/>
        <w:topLinePunct w:val="0"/>
        <w:autoSpaceDE/>
        <w:autoSpaceDN/>
        <w:bidi w:val="0"/>
        <w:spacing w:line="432" w:lineRule="auto"/>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6.1 提交首次响应文件截止之日前，采购人或者谈判小组可以对已发出的竞争性谈判文件进行必要的澄清或者修改，澄清或者修改的内容作为竞争性谈判文件的组成部分。澄清或者修改的内容可能影响响应文件编制的，采购人应当在提交首次响应文件截止时间至少1个工作日，以书面形式通知所有获取竞争性谈判文件的供应商；不足1个工作日的，采购人应当顺延提交首次响应文件截止时间。</w:t>
      </w:r>
    </w:p>
    <w:p w14:paraId="48E11331">
      <w:pPr>
        <w:keepNext w:val="0"/>
        <w:keepLines w:val="0"/>
        <w:pageBreakBefore w:val="0"/>
        <w:kinsoku/>
        <w:wordWrap/>
        <w:overflowPunct/>
        <w:topLinePunct w:val="0"/>
        <w:autoSpaceDE/>
        <w:autoSpaceDN/>
        <w:bidi w:val="0"/>
        <w:spacing w:line="432" w:lineRule="auto"/>
        <w:jc w:val="both"/>
        <w:textAlignment w:val="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6.2 供应商对</w:t>
      </w:r>
      <w:r>
        <w:rPr>
          <w:rFonts w:hint="eastAsia" w:ascii="宋体" w:hAnsi="宋体" w:cs="宋体"/>
          <w:color w:val="auto"/>
          <w:szCs w:val="21"/>
          <w:highlight w:val="none"/>
          <w:lang w:val="en-US" w:eastAsia="zh-CN"/>
        </w:rPr>
        <w:t>竞争性谈判</w:t>
      </w:r>
      <w:r>
        <w:rPr>
          <w:rFonts w:hint="eastAsia" w:ascii="宋体" w:hAnsi="宋体" w:eastAsia="宋体" w:cs="宋体"/>
          <w:color w:val="auto"/>
          <w:szCs w:val="21"/>
          <w:highlight w:val="none"/>
          <w:lang w:val="en-US" w:eastAsia="zh-CN"/>
        </w:rPr>
        <w:t>文件内容如有疑义</w:t>
      </w:r>
      <w:r>
        <w:rPr>
          <w:rFonts w:hint="eastAsia" w:ascii="宋体" w:hAnsi="宋体" w:cs="宋体"/>
          <w:color w:val="auto"/>
          <w:szCs w:val="21"/>
          <w:highlight w:val="none"/>
          <w:lang w:val="en-US" w:eastAsia="zh-CN"/>
        </w:rPr>
        <w:t>的，</w:t>
      </w:r>
      <w:r>
        <w:rPr>
          <w:rFonts w:hint="eastAsia" w:ascii="宋体" w:hAnsi="宋体" w:eastAsia="宋体" w:cs="宋体"/>
          <w:color w:val="auto"/>
          <w:szCs w:val="21"/>
          <w:highlight w:val="none"/>
          <w:lang w:val="en-US" w:eastAsia="zh-CN"/>
        </w:rPr>
        <w:t>应当在提交首次响应文件截止时间至少1个工作日，</w:t>
      </w:r>
      <w:r>
        <w:rPr>
          <w:rFonts w:hint="eastAsia" w:ascii="宋体" w:hAnsi="宋体" w:cs="宋体"/>
          <w:color w:val="auto"/>
          <w:szCs w:val="21"/>
          <w:highlight w:val="none"/>
          <w:lang w:val="en-US" w:eastAsia="zh-CN"/>
        </w:rPr>
        <w:t>对</w:t>
      </w:r>
      <w:r>
        <w:rPr>
          <w:rFonts w:hint="eastAsia" w:ascii="宋体" w:hAnsi="宋体" w:eastAsia="宋体" w:cs="宋体"/>
          <w:color w:val="auto"/>
          <w:szCs w:val="21"/>
          <w:highlight w:val="none"/>
          <w:lang w:val="en-US" w:eastAsia="zh-CN"/>
        </w:rPr>
        <w:t>疑义</w:t>
      </w:r>
      <w:r>
        <w:rPr>
          <w:rFonts w:hint="eastAsia" w:ascii="宋体" w:hAnsi="宋体" w:cs="宋体"/>
          <w:color w:val="auto"/>
          <w:szCs w:val="21"/>
          <w:highlight w:val="none"/>
          <w:lang w:val="en-US" w:eastAsia="zh-CN"/>
        </w:rPr>
        <w:t>的内容</w:t>
      </w:r>
      <w:r>
        <w:rPr>
          <w:rFonts w:hint="eastAsia" w:ascii="宋体" w:hAnsi="宋体" w:eastAsia="宋体" w:cs="宋体"/>
          <w:color w:val="auto"/>
          <w:szCs w:val="21"/>
          <w:highlight w:val="none"/>
          <w:lang w:val="en-US" w:eastAsia="zh-CN"/>
        </w:rPr>
        <w:t>以书面形式</w:t>
      </w:r>
      <w:r>
        <w:rPr>
          <w:rFonts w:hint="eastAsia" w:ascii="宋体" w:hAnsi="宋体" w:cs="宋体"/>
          <w:color w:val="auto"/>
          <w:szCs w:val="21"/>
          <w:highlight w:val="none"/>
          <w:lang w:val="en-US" w:eastAsia="zh-CN"/>
        </w:rPr>
        <w:t>（加盖供应商公章）交由采购人，</w:t>
      </w:r>
      <w:r>
        <w:rPr>
          <w:rFonts w:hint="eastAsia" w:ascii="宋体" w:hAnsi="宋体" w:eastAsia="宋体" w:cs="宋体"/>
          <w:color w:val="auto"/>
          <w:szCs w:val="21"/>
          <w:highlight w:val="none"/>
          <w:lang w:val="en-US" w:eastAsia="zh-CN"/>
        </w:rPr>
        <w:t>采购人</w:t>
      </w:r>
      <w:r>
        <w:rPr>
          <w:rFonts w:hint="eastAsia" w:ascii="宋体" w:hAnsi="宋体" w:cs="宋体"/>
          <w:color w:val="auto"/>
          <w:szCs w:val="21"/>
          <w:highlight w:val="none"/>
          <w:lang w:val="en-US" w:eastAsia="zh-CN"/>
        </w:rPr>
        <w:t>在收到</w:t>
      </w:r>
      <w:r>
        <w:rPr>
          <w:rFonts w:hint="eastAsia" w:ascii="宋体" w:hAnsi="宋体" w:eastAsia="宋体" w:cs="宋体"/>
          <w:color w:val="auto"/>
          <w:szCs w:val="21"/>
          <w:highlight w:val="none"/>
          <w:lang w:val="en-US" w:eastAsia="zh-CN"/>
        </w:rPr>
        <w:t>疑义1个工作日</w:t>
      </w:r>
      <w:r>
        <w:rPr>
          <w:rFonts w:hint="eastAsia" w:ascii="宋体" w:hAnsi="宋体" w:cs="宋体"/>
          <w:color w:val="auto"/>
          <w:szCs w:val="21"/>
          <w:highlight w:val="none"/>
          <w:lang w:val="en-US" w:eastAsia="zh-CN"/>
        </w:rPr>
        <w:t>内对供应商</w:t>
      </w:r>
      <w:r>
        <w:rPr>
          <w:rFonts w:hint="eastAsia" w:ascii="宋体" w:hAnsi="宋体" w:cs="宋体"/>
          <w:color w:val="auto"/>
          <w:highlight w:val="none"/>
          <w:lang w:val="en-US" w:eastAsia="zh-CN"/>
        </w:rPr>
        <w:t>疑义的内容进行回复，竞争性谈判文件如需澄清或者修改的原则按6.1条进行澄清或者修改。</w:t>
      </w:r>
    </w:p>
    <w:p w14:paraId="2901CC92">
      <w:pPr>
        <w:keepNext w:val="0"/>
        <w:keepLines w:val="0"/>
        <w:pageBreakBefore w:val="0"/>
        <w:kinsoku/>
        <w:wordWrap/>
        <w:overflowPunct/>
        <w:topLinePunct w:val="0"/>
        <w:autoSpaceDE/>
        <w:autoSpaceDN/>
        <w:bidi w:val="0"/>
        <w:spacing w:line="432" w:lineRule="auto"/>
        <w:ind w:left="210" w:hanging="210" w:hangingChars="100"/>
        <w:jc w:val="both"/>
        <w:textAlignment w:val="auto"/>
        <w:rPr>
          <w:rFonts w:hint="eastAsia" w:ascii="宋体" w:hAnsi="宋体" w:eastAsia="宋体" w:cs="宋体"/>
          <w:color w:val="auto"/>
          <w:szCs w:val="21"/>
        </w:rPr>
      </w:pPr>
      <w:r>
        <w:rPr>
          <w:rFonts w:hint="eastAsia" w:ascii="宋体" w:hAnsi="宋体" w:eastAsia="宋体" w:cs="宋体"/>
          <w:color w:val="auto"/>
          <w:szCs w:val="21"/>
        </w:rPr>
        <w:t>7.</w:t>
      </w:r>
      <w:r>
        <w:rPr>
          <w:rFonts w:hint="eastAsia" w:ascii="宋体" w:hAnsi="宋体" w:cs="宋体"/>
          <w:color w:val="auto"/>
          <w:szCs w:val="21"/>
          <w:lang w:eastAsia="zh-CN"/>
        </w:rPr>
        <w:t>竞争性谈判</w:t>
      </w:r>
      <w:r>
        <w:rPr>
          <w:rFonts w:hint="eastAsia" w:ascii="宋体" w:hAnsi="宋体" w:eastAsia="宋体" w:cs="宋体"/>
          <w:color w:val="auto"/>
          <w:szCs w:val="21"/>
        </w:rPr>
        <w:t>文件的修改：</w:t>
      </w:r>
    </w:p>
    <w:p w14:paraId="2944740D">
      <w:pPr>
        <w:keepNext w:val="0"/>
        <w:keepLines w:val="0"/>
        <w:pageBreakBefore w:val="0"/>
        <w:kinsoku/>
        <w:wordWrap/>
        <w:overflowPunct/>
        <w:topLinePunct w:val="0"/>
        <w:autoSpaceDE/>
        <w:autoSpaceDN/>
        <w:bidi w:val="0"/>
        <w:spacing w:line="432" w:lineRule="auto"/>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7.1 在</w:t>
      </w:r>
      <w:r>
        <w:rPr>
          <w:rFonts w:hint="eastAsia" w:ascii="宋体" w:hAnsi="宋体" w:eastAsia="宋体" w:cs="宋体"/>
          <w:color w:val="auto"/>
          <w:szCs w:val="21"/>
          <w:highlight w:val="none"/>
          <w:lang w:eastAsia="zh-CN"/>
        </w:rPr>
        <w:t>谈判</w:t>
      </w:r>
      <w:r>
        <w:rPr>
          <w:rFonts w:hint="eastAsia" w:ascii="宋体" w:hAnsi="宋体" w:eastAsia="宋体" w:cs="宋体"/>
          <w:color w:val="auto"/>
          <w:szCs w:val="21"/>
          <w:highlight w:val="none"/>
        </w:rPr>
        <w:t>截止时间前，采购人无论出于自己的考虑，还是出于对供应商提问的澄清，均可对</w:t>
      </w:r>
      <w:r>
        <w:rPr>
          <w:rFonts w:hint="eastAsia" w:ascii="宋体" w:hAnsi="宋体" w:eastAsia="宋体" w:cs="宋体"/>
          <w:color w:val="auto"/>
          <w:szCs w:val="21"/>
          <w:highlight w:val="none"/>
          <w:lang w:eastAsia="zh-CN"/>
        </w:rPr>
        <w:t>竞争性谈判</w:t>
      </w:r>
      <w:r>
        <w:rPr>
          <w:rFonts w:hint="eastAsia" w:ascii="宋体" w:hAnsi="宋体" w:eastAsia="宋体" w:cs="宋体"/>
          <w:color w:val="auto"/>
          <w:szCs w:val="21"/>
          <w:highlight w:val="none"/>
        </w:rPr>
        <w:t>文件用补充文件的方式进行修改。</w:t>
      </w:r>
    </w:p>
    <w:p w14:paraId="4411F5F7">
      <w:pPr>
        <w:keepNext w:val="0"/>
        <w:keepLines w:val="0"/>
        <w:pageBreakBefore w:val="0"/>
        <w:kinsoku/>
        <w:wordWrap/>
        <w:overflowPunct/>
        <w:topLinePunct w:val="0"/>
        <w:autoSpaceDE/>
        <w:autoSpaceDN/>
        <w:bidi w:val="0"/>
        <w:spacing w:line="432" w:lineRule="auto"/>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7.2 对</w:t>
      </w:r>
      <w:r>
        <w:rPr>
          <w:rFonts w:hint="eastAsia" w:ascii="宋体" w:hAnsi="宋体" w:eastAsia="宋体" w:cs="宋体"/>
          <w:color w:val="auto"/>
          <w:szCs w:val="21"/>
          <w:highlight w:val="none"/>
          <w:lang w:eastAsia="zh-CN"/>
        </w:rPr>
        <w:t>竞争性谈判</w:t>
      </w:r>
      <w:r>
        <w:rPr>
          <w:rFonts w:hint="eastAsia" w:ascii="宋体" w:hAnsi="宋体" w:eastAsia="宋体" w:cs="宋体"/>
          <w:color w:val="auto"/>
          <w:szCs w:val="21"/>
          <w:highlight w:val="none"/>
        </w:rPr>
        <w:t>文件的修改，将以书面的形式通知已购买</w:t>
      </w:r>
      <w:r>
        <w:rPr>
          <w:rFonts w:hint="eastAsia" w:ascii="宋体" w:hAnsi="宋体" w:eastAsia="宋体" w:cs="宋体"/>
          <w:color w:val="auto"/>
          <w:szCs w:val="21"/>
          <w:highlight w:val="none"/>
          <w:lang w:eastAsia="zh-CN"/>
        </w:rPr>
        <w:t>竞争性谈判</w:t>
      </w:r>
      <w:r>
        <w:rPr>
          <w:rFonts w:hint="eastAsia" w:ascii="宋体" w:hAnsi="宋体" w:eastAsia="宋体" w:cs="宋体"/>
          <w:color w:val="auto"/>
          <w:szCs w:val="21"/>
          <w:highlight w:val="none"/>
        </w:rPr>
        <w:t>文件的供应商。补充文件将作为</w:t>
      </w:r>
      <w:r>
        <w:rPr>
          <w:rFonts w:hint="eastAsia" w:ascii="宋体" w:hAnsi="宋体" w:eastAsia="宋体" w:cs="宋体"/>
          <w:color w:val="auto"/>
          <w:szCs w:val="21"/>
          <w:highlight w:val="none"/>
          <w:lang w:eastAsia="zh-CN"/>
        </w:rPr>
        <w:t>竞争性谈判</w:t>
      </w:r>
      <w:r>
        <w:rPr>
          <w:rFonts w:hint="eastAsia" w:ascii="宋体" w:hAnsi="宋体" w:eastAsia="宋体" w:cs="宋体"/>
          <w:color w:val="auto"/>
          <w:szCs w:val="21"/>
          <w:highlight w:val="none"/>
        </w:rPr>
        <w:t>文件的组成部分，对所有供应商有约束力。</w:t>
      </w:r>
    </w:p>
    <w:p w14:paraId="3C7433A3">
      <w:pPr>
        <w:keepNext w:val="0"/>
        <w:keepLines w:val="0"/>
        <w:pageBreakBefore w:val="0"/>
        <w:kinsoku/>
        <w:wordWrap/>
        <w:overflowPunct/>
        <w:topLinePunct w:val="0"/>
        <w:autoSpaceDE/>
        <w:autoSpaceDN/>
        <w:bidi w:val="0"/>
        <w:spacing w:line="432" w:lineRule="auto"/>
        <w:jc w:val="both"/>
        <w:textAlignment w:val="auto"/>
        <w:rPr>
          <w:rFonts w:hint="eastAsia" w:ascii="宋体" w:hAnsi="宋体" w:eastAsia="宋体" w:cs="宋体"/>
          <w:color w:val="auto"/>
          <w:szCs w:val="21"/>
          <w:highlight w:val="none"/>
        </w:rPr>
      </w:pPr>
    </w:p>
    <w:p w14:paraId="2C86F51A">
      <w:pPr>
        <w:keepNext w:val="0"/>
        <w:keepLines w:val="0"/>
        <w:pageBreakBefore w:val="0"/>
        <w:kinsoku/>
        <w:wordWrap/>
        <w:overflowPunct/>
        <w:topLinePunct w:val="0"/>
        <w:autoSpaceDE/>
        <w:autoSpaceDN/>
        <w:bidi w:val="0"/>
        <w:spacing w:line="432" w:lineRule="auto"/>
        <w:jc w:val="both"/>
        <w:textAlignment w:val="auto"/>
        <w:rPr>
          <w:rFonts w:hint="eastAsia" w:ascii="宋体" w:hAnsi="宋体" w:eastAsia="宋体" w:cs="宋体"/>
          <w:color w:val="auto"/>
          <w:szCs w:val="21"/>
          <w:highlight w:val="none"/>
        </w:rPr>
      </w:pPr>
    </w:p>
    <w:p w14:paraId="047D9FA4">
      <w:pPr>
        <w:keepNext w:val="0"/>
        <w:keepLines w:val="0"/>
        <w:pageBreakBefore w:val="0"/>
        <w:kinsoku/>
        <w:wordWrap/>
        <w:overflowPunct/>
        <w:topLinePunct w:val="0"/>
        <w:autoSpaceDE/>
        <w:autoSpaceDN/>
        <w:bidi w:val="0"/>
        <w:spacing w:line="432" w:lineRule="auto"/>
        <w:jc w:val="center"/>
        <w:textAlignment w:val="auto"/>
        <w:rPr>
          <w:rFonts w:hint="eastAsia" w:ascii="宋体" w:hAnsi="宋体" w:eastAsia="宋体" w:cs="宋体"/>
          <w:b/>
          <w:bCs/>
          <w:color w:val="auto"/>
          <w:szCs w:val="21"/>
        </w:rPr>
      </w:pPr>
      <w:r>
        <w:rPr>
          <w:rFonts w:hint="eastAsia" w:ascii="宋体" w:hAnsi="宋体" w:eastAsia="宋体" w:cs="宋体"/>
          <w:b/>
          <w:bCs/>
          <w:color w:val="auto"/>
          <w:szCs w:val="21"/>
        </w:rPr>
        <w:t>C  响应文件</w:t>
      </w:r>
      <w:r>
        <w:rPr>
          <w:rFonts w:hint="eastAsia" w:ascii="宋体" w:hAnsi="宋体" w:cs="宋体"/>
          <w:b/>
          <w:bCs/>
          <w:color w:val="auto"/>
          <w:szCs w:val="21"/>
          <w:lang w:val="en-US" w:eastAsia="zh-CN"/>
        </w:rPr>
        <w:t>编制和</w:t>
      </w:r>
      <w:r>
        <w:rPr>
          <w:rFonts w:hint="eastAsia" w:ascii="宋体" w:hAnsi="宋体" w:eastAsia="宋体" w:cs="宋体"/>
          <w:b/>
          <w:bCs/>
          <w:color w:val="auto"/>
          <w:szCs w:val="21"/>
        </w:rPr>
        <w:t>递交</w:t>
      </w:r>
    </w:p>
    <w:p w14:paraId="4157D5CB">
      <w:pPr>
        <w:spacing w:line="360" w:lineRule="auto"/>
        <w:jc w:val="both"/>
        <w:rPr>
          <w:rFonts w:hint="eastAsia" w:ascii="宋体" w:hAnsi="宋体" w:eastAsia="宋体" w:cs="宋体"/>
          <w:b w:val="0"/>
          <w:bCs/>
          <w:color w:val="auto"/>
          <w:szCs w:val="21"/>
        </w:rPr>
      </w:pPr>
      <w:r>
        <w:rPr>
          <w:rFonts w:hint="eastAsia" w:ascii="宋体" w:hAnsi="宋体" w:eastAsia="宋体" w:cs="宋体"/>
          <w:b w:val="0"/>
          <w:bCs/>
          <w:color w:val="auto"/>
          <w:szCs w:val="21"/>
          <w:lang w:val="en-US" w:eastAsia="zh-CN"/>
        </w:rPr>
        <w:t>8.</w:t>
      </w:r>
      <w:r>
        <w:rPr>
          <w:rFonts w:hint="eastAsia" w:ascii="宋体" w:hAnsi="宋体" w:eastAsia="宋体" w:cs="宋体"/>
          <w:b w:val="0"/>
          <w:bCs/>
          <w:color w:val="auto"/>
          <w:szCs w:val="21"/>
        </w:rPr>
        <w:t>响应文件编制要求及报价要求</w:t>
      </w:r>
    </w:p>
    <w:p w14:paraId="2276BD74">
      <w:pPr>
        <w:spacing w:line="360" w:lineRule="auto"/>
        <w:ind w:left="223" w:leftChars="6" w:hanging="210" w:hangingChars="100"/>
        <w:jc w:val="both"/>
        <w:rPr>
          <w:rFonts w:hint="eastAsia" w:ascii="宋体" w:hAnsi="宋体" w:eastAsia="宋体" w:cs="宋体"/>
          <w:b w:val="0"/>
          <w:bCs/>
          <w:color w:val="auto"/>
          <w:szCs w:val="21"/>
        </w:rPr>
      </w:pPr>
      <w:r>
        <w:rPr>
          <w:rFonts w:hint="eastAsia" w:ascii="宋体" w:hAnsi="宋体" w:eastAsia="宋体" w:cs="宋体"/>
          <w:b w:val="0"/>
          <w:bCs/>
          <w:color w:val="auto"/>
          <w:szCs w:val="21"/>
          <w:lang w:val="en-US" w:eastAsia="zh-CN"/>
        </w:rPr>
        <w:t>8.1</w:t>
      </w:r>
      <w:r>
        <w:rPr>
          <w:rFonts w:hint="eastAsia" w:ascii="宋体" w:hAnsi="宋体" w:cs="宋体"/>
          <w:b w:val="0"/>
          <w:bCs/>
          <w:color w:val="auto"/>
          <w:szCs w:val="21"/>
          <w:lang w:eastAsia="zh-CN"/>
        </w:rPr>
        <w:t>谈判</w:t>
      </w:r>
      <w:r>
        <w:rPr>
          <w:rFonts w:hint="eastAsia" w:ascii="宋体" w:hAnsi="宋体" w:eastAsia="宋体" w:cs="宋体"/>
          <w:b w:val="0"/>
          <w:bCs/>
          <w:color w:val="auto"/>
          <w:szCs w:val="21"/>
        </w:rPr>
        <w:t>语言及计量单位：</w:t>
      </w:r>
    </w:p>
    <w:p w14:paraId="69DE3344">
      <w:pPr>
        <w:spacing w:line="360" w:lineRule="auto"/>
        <w:ind w:left="223" w:leftChars="6" w:hanging="210" w:hangingChars="100"/>
        <w:jc w:val="both"/>
        <w:rPr>
          <w:rFonts w:hint="eastAsia" w:ascii="宋体" w:hAnsi="宋体" w:eastAsia="宋体" w:cs="宋体"/>
          <w:b w:val="0"/>
          <w:bCs/>
          <w:color w:val="auto"/>
          <w:szCs w:val="21"/>
        </w:rPr>
      </w:pPr>
      <w:r>
        <w:rPr>
          <w:rFonts w:hint="eastAsia" w:ascii="宋体" w:hAnsi="宋体" w:eastAsia="宋体" w:cs="宋体"/>
          <w:b w:val="0"/>
          <w:bCs/>
          <w:color w:val="auto"/>
          <w:szCs w:val="21"/>
          <w:lang w:val="en-US" w:eastAsia="zh-CN"/>
        </w:rPr>
        <w:t>8.</w:t>
      </w:r>
      <w:r>
        <w:rPr>
          <w:rFonts w:hint="eastAsia" w:ascii="宋体" w:hAnsi="宋体" w:eastAsia="宋体" w:cs="宋体"/>
          <w:b w:val="0"/>
          <w:bCs/>
          <w:color w:val="auto"/>
          <w:szCs w:val="21"/>
        </w:rPr>
        <w:t>1.1响应文件及</w:t>
      </w:r>
      <w:r>
        <w:rPr>
          <w:rFonts w:hint="eastAsia" w:ascii="宋体" w:hAnsi="宋体" w:cs="宋体"/>
          <w:b w:val="0"/>
          <w:bCs/>
          <w:color w:val="auto"/>
          <w:szCs w:val="21"/>
          <w:lang w:eastAsia="zh-CN"/>
        </w:rPr>
        <w:t>谈判</w:t>
      </w:r>
      <w:r>
        <w:rPr>
          <w:rFonts w:hint="eastAsia" w:ascii="宋体" w:hAnsi="宋体" w:eastAsia="宋体" w:cs="宋体"/>
          <w:b w:val="0"/>
          <w:bCs/>
          <w:color w:val="auto"/>
          <w:szCs w:val="21"/>
        </w:rPr>
        <w:t>和采购人就</w:t>
      </w:r>
      <w:r>
        <w:rPr>
          <w:rFonts w:hint="eastAsia" w:ascii="宋体" w:hAnsi="宋体" w:cs="宋体"/>
          <w:b w:val="0"/>
          <w:bCs/>
          <w:color w:val="auto"/>
          <w:szCs w:val="21"/>
          <w:lang w:eastAsia="zh-CN"/>
        </w:rPr>
        <w:t>谈判</w:t>
      </w:r>
      <w:r>
        <w:rPr>
          <w:rFonts w:hint="eastAsia" w:ascii="宋体" w:hAnsi="宋体" w:eastAsia="宋体" w:cs="宋体"/>
          <w:b w:val="0"/>
          <w:bCs/>
          <w:color w:val="auto"/>
          <w:szCs w:val="21"/>
        </w:rPr>
        <w:t>交换的文件和来往信件，应以中文书写。</w:t>
      </w:r>
    </w:p>
    <w:p w14:paraId="6195A70B">
      <w:pPr>
        <w:spacing w:line="360" w:lineRule="auto"/>
        <w:ind w:left="223" w:leftChars="6" w:hanging="210" w:hangingChars="100"/>
        <w:jc w:val="both"/>
        <w:rPr>
          <w:rFonts w:hint="eastAsia" w:ascii="宋体" w:hAnsi="宋体" w:eastAsia="宋体" w:cs="宋体"/>
          <w:b w:val="0"/>
          <w:bCs/>
          <w:color w:val="auto"/>
          <w:szCs w:val="21"/>
        </w:rPr>
      </w:pPr>
      <w:r>
        <w:rPr>
          <w:rFonts w:hint="eastAsia" w:ascii="宋体" w:hAnsi="宋体" w:eastAsia="宋体" w:cs="宋体"/>
          <w:b w:val="0"/>
          <w:bCs/>
          <w:color w:val="auto"/>
          <w:szCs w:val="21"/>
          <w:lang w:val="en-US" w:eastAsia="zh-CN"/>
        </w:rPr>
        <w:t>8.</w:t>
      </w:r>
      <w:r>
        <w:rPr>
          <w:rFonts w:hint="eastAsia" w:ascii="宋体" w:hAnsi="宋体" w:eastAsia="宋体" w:cs="宋体"/>
          <w:b w:val="0"/>
          <w:bCs/>
          <w:color w:val="auto"/>
          <w:szCs w:val="21"/>
        </w:rPr>
        <w:t>1.2除在</w:t>
      </w:r>
      <w:r>
        <w:rPr>
          <w:rFonts w:hint="eastAsia" w:ascii="宋体" w:hAnsi="宋体" w:cs="宋体"/>
          <w:b w:val="0"/>
          <w:bCs/>
          <w:color w:val="auto"/>
          <w:szCs w:val="21"/>
          <w:lang w:eastAsia="zh-CN"/>
        </w:rPr>
        <w:t>竞争性谈判</w:t>
      </w:r>
      <w:r>
        <w:rPr>
          <w:rFonts w:hint="eastAsia" w:ascii="宋体" w:hAnsi="宋体" w:eastAsia="宋体" w:cs="宋体"/>
          <w:b w:val="0"/>
          <w:bCs/>
          <w:color w:val="auto"/>
          <w:szCs w:val="21"/>
        </w:rPr>
        <w:t>文件的技术规格中另有规定外，计量单位应使用中华人民共和国法定</w:t>
      </w:r>
    </w:p>
    <w:p w14:paraId="245A8363">
      <w:pPr>
        <w:spacing w:line="360" w:lineRule="auto"/>
        <w:ind w:left="223" w:leftChars="6" w:hanging="210" w:hangingChars="100"/>
        <w:jc w:val="both"/>
        <w:rPr>
          <w:rFonts w:hint="eastAsia" w:ascii="宋体" w:hAnsi="宋体" w:eastAsia="宋体" w:cs="宋体"/>
          <w:b w:val="0"/>
          <w:bCs/>
          <w:color w:val="auto"/>
          <w:szCs w:val="21"/>
        </w:rPr>
      </w:pPr>
      <w:r>
        <w:rPr>
          <w:rFonts w:hint="eastAsia" w:ascii="宋体" w:hAnsi="宋体" w:eastAsia="宋体" w:cs="宋体"/>
          <w:b w:val="0"/>
          <w:bCs/>
          <w:color w:val="auto"/>
          <w:szCs w:val="21"/>
        </w:rPr>
        <w:t>计量单位。</w:t>
      </w:r>
    </w:p>
    <w:p w14:paraId="151DA103">
      <w:pPr>
        <w:pStyle w:val="33"/>
        <w:spacing w:after="0" w:line="360" w:lineRule="auto"/>
        <w:ind w:firstLine="0" w:firstLineChars="0"/>
        <w:jc w:val="both"/>
        <w:rPr>
          <w:rFonts w:hint="eastAsia" w:ascii="宋体" w:hAnsi="宋体" w:eastAsia="宋体" w:cs="宋体"/>
          <w:b w:val="0"/>
          <w:bCs/>
          <w:color w:val="auto"/>
          <w:szCs w:val="21"/>
        </w:rPr>
      </w:pPr>
      <w:r>
        <w:rPr>
          <w:rFonts w:hint="eastAsia" w:ascii="宋体" w:hAnsi="宋体" w:eastAsia="宋体" w:cs="宋体"/>
          <w:b w:val="0"/>
          <w:bCs/>
          <w:color w:val="auto"/>
          <w:szCs w:val="21"/>
          <w:lang w:val="en-US" w:eastAsia="zh-CN"/>
        </w:rPr>
        <w:t>8.2</w:t>
      </w:r>
      <w:r>
        <w:rPr>
          <w:rFonts w:hint="eastAsia" w:ascii="宋体" w:hAnsi="宋体" w:eastAsia="宋体" w:cs="宋体"/>
          <w:b w:val="0"/>
          <w:bCs/>
          <w:color w:val="auto"/>
          <w:szCs w:val="21"/>
        </w:rPr>
        <w:t>响应文件的编制</w:t>
      </w:r>
    </w:p>
    <w:p w14:paraId="2D46AAE6">
      <w:pPr>
        <w:pStyle w:val="33"/>
        <w:spacing w:after="0" w:line="360" w:lineRule="auto"/>
        <w:ind w:firstLine="0" w:firstLineChars="0"/>
        <w:jc w:val="both"/>
        <w:rPr>
          <w:rFonts w:hint="eastAsia" w:ascii="宋体" w:hAnsi="宋体" w:eastAsia="宋体" w:cs="宋体"/>
          <w:color w:val="auto"/>
          <w:szCs w:val="21"/>
        </w:rPr>
      </w:pPr>
      <w:r>
        <w:rPr>
          <w:rFonts w:hint="eastAsia" w:ascii="宋体" w:hAnsi="宋体" w:eastAsia="宋体" w:cs="宋体"/>
          <w:color w:val="auto"/>
          <w:szCs w:val="21"/>
          <w:lang w:val="en-US" w:eastAsia="zh-CN"/>
        </w:rPr>
        <w:t>8.</w:t>
      </w:r>
      <w:r>
        <w:rPr>
          <w:rFonts w:hint="eastAsia" w:ascii="宋体" w:hAnsi="宋体" w:eastAsia="宋体" w:cs="宋体"/>
          <w:color w:val="auto"/>
          <w:szCs w:val="21"/>
        </w:rPr>
        <w:t>2.1响应文件应采用本</w:t>
      </w:r>
      <w:r>
        <w:rPr>
          <w:rFonts w:hint="eastAsia" w:ascii="宋体" w:hAnsi="宋体" w:cs="宋体"/>
          <w:color w:val="auto"/>
          <w:szCs w:val="21"/>
          <w:lang w:eastAsia="zh-CN"/>
        </w:rPr>
        <w:t>竞争性谈判</w:t>
      </w:r>
      <w:r>
        <w:rPr>
          <w:rFonts w:hint="eastAsia" w:ascii="宋体" w:hAnsi="宋体" w:eastAsia="宋体" w:cs="宋体"/>
          <w:color w:val="auto"/>
          <w:szCs w:val="21"/>
        </w:rPr>
        <w:t>文件的“响应文件格式文本”。</w:t>
      </w:r>
    </w:p>
    <w:p w14:paraId="1D295E55">
      <w:pPr>
        <w:spacing w:line="360" w:lineRule="auto"/>
        <w:jc w:val="both"/>
        <w:rPr>
          <w:rFonts w:hint="eastAsia" w:ascii="宋体" w:hAnsi="宋体" w:eastAsia="宋体" w:cs="宋体"/>
          <w:color w:val="auto"/>
        </w:rPr>
      </w:pPr>
      <w:r>
        <w:rPr>
          <w:rFonts w:hint="eastAsia" w:ascii="宋体" w:hAnsi="宋体" w:eastAsia="宋体" w:cs="宋体"/>
          <w:color w:val="auto"/>
          <w:lang w:val="en-US" w:eastAsia="zh-CN"/>
        </w:rPr>
        <w:t>8.</w:t>
      </w:r>
      <w:r>
        <w:rPr>
          <w:rFonts w:hint="eastAsia" w:ascii="宋体" w:hAnsi="宋体" w:eastAsia="宋体" w:cs="宋体"/>
          <w:color w:val="auto"/>
        </w:rPr>
        <w:t>3. 响应报价要求：</w:t>
      </w:r>
    </w:p>
    <w:p w14:paraId="265716DF">
      <w:pPr>
        <w:spacing w:line="360" w:lineRule="auto"/>
        <w:jc w:val="both"/>
        <w:rPr>
          <w:rFonts w:hint="eastAsia" w:ascii="宋体" w:hAnsi="宋体" w:eastAsia="宋体" w:cs="宋体"/>
          <w:color w:val="auto"/>
          <w:lang w:eastAsia="zh-CN"/>
        </w:rPr>
      </w:pPr>
      <w:r>
        <w:rPr>
          <w:rFonts w:hint="eastAsia" w:ascii="宋体" w:hAnsi="宋体" w:eastAsia="宋体" w:cs="宋体"/>
          <w:color w:val="auto"/>
          <w:lang w:val="en-US" w:eastAsia="zh-CN"/>
        </w:rPr>
        <w:t>8.</w:t>
      </w:r>
      <w:r>
        <w:rPr>
          <w:rFonts w:hint="eastAsia" w:ascii="宋体" w:hAnsi="宋体" w:eastAsia="宋体" w:cs="宋体"/>
          <w:color w:val="auto"/>
        </w:rPr>
        <w:t>3.1供应商应按响应文件报价表格式，填写</w:t>
      </w:r>
      <w:r>
        <w:rPr>
          <w:rFonts w:hint="eastAsia" w:ascii="宋体" w:hAnsi="宋体" w:eastAsia="宋体" w:cs="宋体"/>
          <w:color w:val="auto"/>
          <w:lang w:eastAsia="zh-CN"/>
        </w:rPr>
        <w:t>服务</w:t>
      </w:r>
      <w:r>
        <w:rPr>
          <w:rFonts w:hint="eastAsia" w:ascii="宋体" w:hAnsi="宋体" w:eastAsia="宋体" w:cs="宋体"/>
          <w:color w:val="auto"/>
        </w:rPr>
        <w:t>的单价和总价。如果单价与总价有出入，以单价为准。如果大写金额与小写金额有出入，以大写金额为准</w:t>
      </w:r>
      <w:r>
        <w:rPr>
          <w:rFonts w:hint="eastAsia" w:ascii="宋体" w:hAnsi="宋体" w:eastAsia="宋体" w:cs="宋体"/>
          <w:color w:val="auto"/>
          <w:lang w:eastAsia="zh-CN"/>
        </w:rPr>
        <w:t>。</w:t>
      </w:r>
    </w:p>
    <w:p w14:paraId="2D4511EF">
      <w:pPr>
        <w:spacing w:line="360" w:lineRule="auto"/>
        <w:jc w:val="both"/>
        <w:rPr>
          <w:rFonts w:hint="eastAsia" w:ascii="宋体" w:hAnsi="宋体" w:eastAsia="宋体" w:cs="宋体"/>
          <w:color w:val="auto"/>
        </w:rPr>
      </w:pPr>
      <w:r>
        <w:rPr>
          <w:rFonts w:hint="eastAsia" w:ascii="宋体" w:hAnsi="宋体" w:eastAsia="宋体" w:cs="宋体"/>
          <w:color w:val="auto"/>
          <w:lang w:val="en-US" w:eastAsia="zh-CN"/>
        </w:rPr>
        <w:t>8.</w:t>
      </w:r>
      <w:r>
        <w:rPr>
          <w:rFonts w:hint="eastAsia" w:ascii="宋体" w:hAnsi="宋体" w:eastAsia="宋体" w:cs="宋体"/>
          <w:color w:val="auto"/>
        </w:rPr>
        <w:t>3.2供应商按上述3.1款要求填写报价供采购人评审，但不限制采购人以其他方式签订合同的</w:t>
      </w:r>
      <w:r>
        <w:rPr>
          <w:rFonts w:hint="eastAsia" w:ascii="宋体" w:hAnsi="宋体" w:cs="宋体"/>
          <w:color w:val="auto"/>
          <w:lang w:val="en-US" w:eastAsia="zh-CN"/>
        </w:rPr>
        <w:t>权利</w:t>
      </w:r>
      <w:r>
        <w:rPr>
          <w:rFonts w:hint="eastAsia" w:ascii="宋体" w:hAnsi="宋体" w:eastAsia="宋体" w:cs="宋体"/>
          <w:color w:val="auto"/>
        </w:rPr>
        <w:t>。</w:t>
      </w:r>
    </w:p>
    <w:p w14:paraId="53021ED9">
      <w:pPr>
        <w:spacing w:line="360" w:lineRule="auto"/>
        <w:jc w:val="both"/>
        <w:rPr>
          <w:rFonts w:hint="eastAsia" w:ascii="宋体" w:hAnsi="宋体" w:eastAsia="宋体" w:cs="宋体"/>
          <w:color w:val="auto"/>
        </w:rPr>
      </w:pPr>
      <w:r>
        <w:rPr>
          <w:rFonts w:hint="eastAsia" w:ascii="宋体" w:hAnsi="宋体" w:eastAsia="宋体" w:cs="宋体"/>
          <w:color w:val="auto"/>
          <w:lang w:val="en-US" w:eastAsia="zh-CN"/>
        </w:rPr>
        <w:t>8.</w:t>
      </w:r>
      <w:r>
        <w:rPr>
          <w:rFonts w:hint="eastAsia" w:ascii="宋体" w:hAnsi="宋体" w:eastAsia="宋体" w:cs="宋体"/>
          <w:color w:val="auto"/>
        </w:rPr>
        <w:t xml:space="preserve">4. </w:t>
      </w:r>
      <w:r>
        <w:rPr>
          <w:rFonts w:hint="eastAsia" w:ascii="宋体" w:hAnsi="宋体" w:cs="宋体"/>
          <w:color w:val="auto"/>
          <w:lang w:eastAsia="zh-CN"/>
        </w:rPr>
        <w:t>谈判</w:t>
      </w:r>
      <w:r>
        <w:rPr>
          <w:rFonts w:hint="eastAsia" w:ascii="宋体" w:hAnsi="宋体" w:eastAsia="宋体" w:cs="宋体"/>
          <w:color w:val="auto"/>
        </w:rPr>
        <w:t>货币：</w:t>
      </w:r>
    </w:p>
    <w:p w14:paraId="0FBE1792">
      <w:pPr>
        <w:spacing w:line="360" w:lineRule="auto"/>
        <w:jc w:val="both"/>
        <w:rPr>
          <w:rFonts w:hint="eastAsia" w:ascii="宋体" w:hAnsi="宋体" w:eastAsia="宋体" w:cs="宋体"/>
          <w:color w:val="auto"/>
        </w:rPr>
      </w:pPr>
      <w:r>
        <w:rPr>
          <w:rFonts w:hint="eastAsia" w:ascii="宋体" w:hAnsi="宋体" w:eastAsia="宋体" w:cs="宋体"/>
          <w:color w:val="auto"/>
          <w:lang w:val="en-US" w:eastAsia="zh-CN"/>
        </w:rPr>
        <w:t>8.</w:t>
      </w:r>
      <w:r>
        <w:rPr>
          <w:rFonts w:hint="eastAsia" w:ascii="宋体" w:hAnsi="宋体" w:eastAsia="宋体" w:cs="宋体"/>
          <w:color w:val="auto"/>
        </w:rPr>
        <w:t>4.1供应商一律用人民币填报。</w:t>
      </w:r>
    </w:p>
    <w:p w14:paraId="3DD4EF98">
      <w:pPr>
        <w:spacing w:line="360" w:lineRule="auto"/>
        <w:jc w:val="both"/>
        <w:rPr>
          <w:rFonts w:hint="eastAsia" w:ascii="宋体" w:hAnsi="宋体" w:eastAsia="宋体" w:cs="宋体"/>
          <w:color w:val="auto"/>
        </w:rPr>
      </w:pPr>
      <w:r>
        <w:rPr>
          <w:rFonts w:hint="eastAsia" w:ascii="宋体" w:hAnsi="宋体" w:eastAsia="宋体" w:cs="宋体"/>
          <w:color w:val="auto"/>
          <w:lang w:val="en-US" w:eastAsia="zh-CN"/>
        </w:rPr>
        <w:t>8.</w:t>
      </w:r>
      <w:r>
        <w:rPr>
          <w:rFonts w:hint="eastAsia" w:ascii="宋体" w:hAnsi="宋体" w:eastAsia="宋体" w:cs="宋体"/>
          <w:color w:val="auto"/>
        </w:rPr>
        <w:t>5.供应商资格证明的证明文件：</w:t>
      </w:r>
    </w:p>
    <w:p w14:paraId="7D5109B8">
      <w:pPr>
        <w:spacing w:line="360" w:lineRule="auto"/>
        <w:jc w:val="both"/>
        <w:rPr>
          <w:rFonts w:hint="eastAsia" w:ascii="宋体" w:hAnsi="宋体" w:eastAsia="宋体" w:cs="宋体"/>
          <w:color w:val="auto"/>
        </w:rPr>
      </w:pPr>
      <w:r>
        <w:rPr>
          <w:rFonts w:hint="eastAsia" w:ascii="宋体" w:hAnsi="宋体" w:eastAsia="宋体" w:cs="宋体"/>
          <w:color w:val="auto"/>
          <w:lang w:val="en-US" w:eastAsia="zh-CN"/>
        </w:rPr>
        <w:t>8.</w:t>
      </w:r>
      <w:r>
        <w:rPr>
          <w:rFonts w:hint="eastAsia" w:ascii="宋体" w:hAnsi="宋体" w:eastAsia="宋体" w:cs="宋体"/>
          <w:color w:val="auto"/>
        </w:rPr>
        <w:t>5.1供应商必须提交证明其有资格进行</w:t>
      </w:r>
      <w:r>
        <w:rPr>
          <w:rFonts w:hint="eastAsia" w:ascii="宋体" w:hAnsi="宋体" w:cs="宋体"/>
          <w:color w:val="auto"/>
          <w:lang w:eastAsia="zh-CN"/>
        </w:rPr>
        <w:t>谈判</w:t>
      </w:r>
      <w:r>
        <w:rPr>
          <w:rFonts w:hint="eastAsia" w:ascii="宋体" w:hAnsi="宋体" w:eastAsia="宋体" w:cs="宋体"/>
          <w:color w:val="auto"/>
        </w:rPr>
        <w:t>和有能力履行合同的文件，作为响应文件的部分。</w:t>
      </w:r>
    </w:p>
    <w:p w14:paraId="50B8F3BC">
      <w:pPr>
        <w:keepNext w:val="0"/>
        <w:keepLines w:val="0"/>
        <w:pageBreakBefore w:val="0"/>
        <w:widowControl w:val="0"/>
        <w:kinsoku/>
        <w:wordWrap/>
        <w:overflowPunct/>
        <w:topLinePunct w:val="0"/>
        <w:autoSpaceDE/>
        <w:autoSpaceDN/>
        <w:bidi w:val="0"/>
        <w:adjustRightInd/>
        <w:snapToGrid/>
        <w:spacing w:line="432" w:lineRule="auto"/>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8.6.</w:t>
      </w: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有效期：</w:t>
      </w:r>
    </w:p>
    <w:p w14:paraId="6611854F">
      <w:pPr>
        <w:keepNext w:val="0"/>
        <w:keepLines w:val="0"/>
        <w:pageBreakBefore w:val="0"/>
        <w:widowControl w:val="0"/>
        <w:kinsoku/>
        <w:wordWrap/>
        <w:overflowPunct/>
        <w:topLinePunct w:val="0"/>
        <w:autoSpaceDE/>
        <w:autoSpaceDN/>
        <w:bidi w:val="0"/>
        <w:adjustRightInd/>
        <w:snapToGrid/>
        <w:spacing w:line="432" w:lineRule="auto"/>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8.6.1</w:t>
      </w: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从</w:t>
      </w:r>
      <w:r>
        <w:rPr>
          <w:rFonts w:hint="eastAsia" w:ascii="宋体" w:hAnsi="宋体" w:cs="宋体"/>
          <w:color w:val="auto"/>
          <w:highlight w:val="none"/>
          <w:lang w:eastAsia="zh-CN"/>
        </w:rPr>
        <w:t>谈判</w:t>
      </w:r>
      <w:r>
        <w:rPr>
          <w:rFonts w:hint="eastAsia" w:ascii="宋体" w:hAnsi="宋体" w:eastAsia="宋体" w:cs="宋体"/>
          <w:color w:val="auto"/>
          <w:highlight w:val="none"/>
        </w:rPr>
        <w:t>之日起，</w:t>
      </w: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有效期为90天，特殊项目在</w:t>
      </w:r>
      <w:r>
        <w:rPr>
          <w:rFonts w:hint="eastAsia" w:ascii="宋体" w:hAnsi="宋体" w:cs="宋体"/>
          <w:color w:val="auto"/>
          <w:highlight w:val="none"/>
          <w:lang w:val="en-US" w:eastAsia="zh-CN"/>
        </w:rPr>
        <w:t>竞争性谈判</w:t>
      </w:r>
      <w:r>
        <w:rPr>
          <w:rFonts w:hint="eastAsia" w:ascii="宋体" w:hAnsi="宋体" w:eastAsia="宋体" w:cs="宋体"/>
          <w:color w:val="auto"/>
          <w:highlight w:val="none"/>
          <w:lang w:val="en-US" w:eastAsia="zh-CN"/>
        </w:rPr>
        <w:t>文件第五章</w:t>
      </w:r>
      <w:r>
        <w:rPr>
          <w:rFonts w:hint="eastAsia" w:ascii="宋体" w:hAnsi="宋体" w:eastAsia="宋体" w:cs="宋体"/>
          <w:color w:val="auto"/>
          <w:highlight w:val="none"/>
        </w:rPr>
        <w:t>另行规定。</w:t>
      </w:r>
    </w:p>
    <w:p w14:paraId="292742DC">
      <w:pPr>
        <w:keepNext w:val="0"/>
        <w:keepLines w:val="0"/>
        <w:pageBreakBefore w:val="0"/>
        <w:widowControl w:val="0"/>
        <w:kinsoku/>
        <w:wordWrap/>
        <w:overflowPunct/>
        <w:topLinePunct w:val="0"/>
        <w:autoSpaceDE/>
        <w:autoSpaceDN/>
        <w:bidi w:val="0"/>
        <w:adjustRightInd/>
        <w:snapToGrid/>
        <w:spacing w:line="432" w:lineRule="auto"/>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8.7</w:t>
      </w: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的签署及规定：</w:t>
      </w:r>
    </w:p>
    <w:p w14:paraId="6D1B6BAE">
      <w:pPr>
        <w:keepNext w:val="0"/>
        <w:keepLines w:val="0"/>
        <w:pageBreakBefore w:val="0"/>
        <w:widowControl w:val="0"/>
        <w:kinsoku/>
        <w:wordWrap/>
        <w:overflowPunct/>
        <w:topLinePunct w:val="0"/>
        <w:autoSpaceDE/>
        <w:autoSpaceDN/>
        <w:bidi w:val="0"/>
        <w:adjustRightInd/>
        <w:snapToGrid/>
        <w:spacing w:line="432" w:lineRule="auto"/>
        <w:jc w:val="both"/>
        <w:textAlignment w:val="auto"/>
        <w:outlineLvl w:val="9"/>
        <w:rPr>
          <w:rFonts w:hint="eastAsia" w:ascii="宋体" w:hAnsi="宋体" w:eastAsia="宋体" w:cs="宋体"/>
          <w:color w:val="auto"/>
          <w:highlight w:val="none"/>
        </w:rPr>
      </w:pPr>
      <w:r>
        <w:rPr>
          <w:rFonts w:hint="eastAsia" w:ascii="宋体" w:hAnsi="宋体" w:eastAsia="宋体" w:cs="宋体"/>
          <w:b/>
          <w:bCs/>
          <w:color w:val="auto"/>
          <w:highlight w:val="none"/>
          <w:lang w:val="en-US" w:eastAsia="zh-CN"/>
        </w:rPr>
        <w:t>8.7.1</w:t>
      </w:r>
      <w:r>
        <w:rPr>
          <w:rFonts w:hint="eastAsia" w:ascii="宋体" w:hAnsi="宋体" w:eastAsia="宋体" w:cs="宋体"/>
          <w:b/>
          <w:bCs/>
          <w:color w:val="auto"/>
          <w:highlight w:val="none"/>
          <w:lang w:eastAsia="zh-CN"/>
        </w:rPr>
        <w:t>响应文件</w:t>
      </w:r>
      <w:r>
        <w:rPr>
          <w:rFonts w:hint="eastAsia" w:ascii="宋体" w:hAnsi="宋体" w:eastAsia="宋体" w:cs="宋体"/>
          <w:b/>
          <w:bCs/>
          <w:color w:val="auto"/>
          <w:highlight w:val="none"/>
        </w:rPr>
        <w:t>正本一份、副本</w:t>
      </w:r>
      <w:r>
        <w:rPr>
          <w:rFonts w:hint="eastAsia" w:ascii="宋体" w:hAnsi="宋体" w:cs="宋体"/>
          <w:b/>
          <w:bCs/>
          <w:color w:val="auto"/>
          <w:highlight w:val="none"/>
          <w:lang w:val="en-US" w:eastAsia="zh-CN"/>
        </w:rPr>
        <w:t>一</w:t>
      </w:r>
      <w:r>
        <w:rPr>
          <w:rFonts w:hint="eastAsia" w:ascii="宋体" w:hAnsi="宋体" w:eastAsia="宋体" w:cs="宋体"/>
          <w:b/>
          <w:bCs/>
          <w:color w:val="auto"/>
          <w:highlight w:val="none"/>
        </w:rPr>
        <w:t>份，在每一份</w:t>
      </w:r>
      <w:r>
        <w:rPr>
          <w:rFonts w:hint="eastAsia" w:ascii="宋体" w:hAnsi="宋体" w:eastAsia="宋体" w:cs="宋体"/>
          <w:b/>
          <w:bCs/>
          <w:color w:val="auto"/>
          <w:highlight w:val="none"/>
          <w:lang w:eastAsia="zh-CN"/>
        </w:rPr>
        <w:t>响应文件</w:t>
      </w:r>
      <w:r>
        <w:rPr>
          <w:rFonts w:hint="eastAsia" w:ascii="宋体" w:hAnsi="宋体" w:eastAsia="宋体" w:cs="宋体"/>
          <w:b/>
          <w:bCs/>
          <w:color w:val="auto"/>
          <w:highlight w:val="none"/>
        </w:rPr>
        <w:t>上要明确注明“正本”或“副本”字样，一旦正本和副本有差异，以正本为准。</w:t>
      </w:r>
    </w:p>
    <w:p w14:paraId="4CBE5441">
      <w:pPr>
        <w:keepNext w:val="0"/>
        <w:keepLines w:val="0"/>
        <w:pageBreakBefore w:val="0"/>
        <w:widowControl w:val="0"/>
        <w:kinsoku/>
        <w:wordWrap/>
        <w:overflowPunct/>
        <w:topLinePunct w:val="0"/>
        <w:autoSpaceDE/>
        <w:autoSpaceDN/>
        <w:bidi w:val="0"/>
        <w:adjustRightInd/>
        <w:snapToGrid/>
        <w:spacing w:line="432" w:lineRule="auto"/>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2</w:t>
      </w: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正</w:t>
      </w:r>
      <w:r>
        <w:rPr>
          <w:rFonts w:hint="eastAsia" w:ascii="宋体" w:hAnsi="宋体" w:eastAsia="宋体" w:cs="宋体"/>
          <w:color w:val="auto"/>
          <w:highlight w:val="none"/>
          <w:lang w:eastAsia="zh-CN"/>
        </w:rPr>
        <w:t>本</w:t>
      </w:r>
      <w:r>
        <w:rPr>
          <w:rFonts w:hint="eastAsia" w:ascii="宋体" w:hAnsi="宋体" w:eastAsia="宋体" w:cs="宋体"/>
          <w:color w:val="auto"/>
          <w:highlight w:val="none"/>
          <w:lang w:val="en-US" w:eastAsia="zh-CN"/>
        </w:rPr>
        <w:t>和副本</w:t>
      </w:r>
      <w:r>
        <w:rPr>
          <w:rFonts w:hint="eastAsia" w:ascii="宋体" w:hAnsi="宋体" w:eastAsia="宋体" w:cs="宋体"/>
          <w:color w:val="auto"/>
          <w:highlight w:val="none"/>
        </w:rPr>
        <w:t>须按</w:t>
      </w:r>
      <w:r>
        <w:rPr>
          <w:rFonts w:hint="eastAsia" w:ascii="宋体" w:hAnsi="宋体" w:cs="宋体"/>
          <w:color w:val="auto"/>
          <w:highlight w:val="none"/>
          <w:lang w:val="en-US" w:eastAsia="zh-CN"/>
        </w:rPr>
        <w:t>竞争性谈判</w:t>
      </w:r>
      <w:r>
        <w:rPr>
          <w:rFonts w:hint="eastAsia" w:ascii="宋体" w:hAnsi="宋体" w:eastAsia="宋体" w:cs="宋体"/>
          <w:color w:val="auto"/>
          <w:highlight w:val="none"/>
          <w:lang w:val="en-US" w:eastAsia="zh-CN"/>
        </w:rPr>
        <w:t>文件</w:t>
      </w:r>
      <w:r>
        <w:rPr>
          <w:rFonts w:hint="eastAsia" w:ascii="宋体" w:hAnsi="宋体" w:cs="宋体"/>
          <w:color w:val="auto"/>
          <w:highlight w:val="none"/>
          <w:lang w:val="en-US" w:eastAsia="zh-CN"/>
        </w:rPr>
        <w:t>第八章</w:t>
      </w: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格式</w:t>
      </w:r>
      <w:r>
        <w:rPr>
          <w:rFonts w:hint="eastAsia" w:ascii="宋体" w:hAnsi="宋体" w:eastAsia="宋体" w:cs="宋体"/>
          <w:color w:val="auto"/>
          <w:highlight w:val="none"/>
          <w:lang w:val="en-US" w:eastAsia="zh-CN"/>
        </w:rPr>
        <w:t>要求编制及打印，并按照响应文件格式规定签章处由</w:t>
      </w:r>
      <w:r>
        <w:rPr>
          <w:rFonts w:hint="eastAsia" w:ascii="宋体" w:hAnsi="宋体" w:eastAsia="宋体" w:cs="宋体"/>
          <w:color w:val="auto"/>
          <w:highlight w:val="none"/>
        </w:rPr>
        <w:t>法定代表人签字</w:t>
      </w:r>
      <w:r>
        <w:rPr>
          <w:rFonts w:hint="eastAsia" w:ascii="宋体" w:hAnsi="宋体" w:eastAsia="宋体" w:cs="宋体"/>
          <w:color w:val="auto"/>
          <w:highlight w:val="none"/>
          <w:lang w:eastAsia="zh-CN"/>
        </w:rPr>
        <w:t>或盖章、</w:t>
      </w:r>
      <w:r>
        <w:rPr>
          <w:rFonts w:hint="eastAsia" w:ascii="宋体" w:hAnsi="宋体" w:eastAsia="宋体" w:cs="宋体"/>
          <w:color w:val="auto"/>
          <w:highlight w:val="none"/>
          <w:lang w:val="en-US" w:eastAsia="zh-CN"/>
        </w:rPr>
        <w:t>法</w:t>
      </w:r>
      <w:r>
        <w:rPr>
          <w:rFonts w:hint="eastAsia" w:ascii="宋体" w:hAnsi="宋体" w:eastAsia="宋体" w:cs="宋体"/>
          <w:color w:val="auto"/>
          <w:highlight w:val="none"/>
        </w:rPr>
        <w:t>定代表人或法定代表人授权委托代理人签字</w:t>
      </w:r>
      <w:r>
        <w:rPr>
          <w:rFonts w:hint="eastAsia" w:ascii="宋体" w:hAnsi="宋体" w:eastAsia="宋体" w:cs="宋体"/>
          <w:color w:val="auto"/>
          <w:highlight w:val="none"/>
          <w:lang w:eastAsia="zh-CN"/>
        </w:rPr>
        <w:t>或盖章，并</w:t>
      </w:r>
      <w:r>
        <w:rPr>
          <w:rFonts w:hint="eastAsia" w:ascii="宋体" w:hAnsi="宋体" w:eastAsia="宋体" w:cs="宋体"/>
          <w:color w:val="auto"/>
          <w:highlight w:val="none"/>
        </w:rPr>
        <w:t>加盖</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单位公章</w:t>
      </w:r>
      <w:r>
        <w:rPr>
          <w:rFonts w:hint="eastAsia" w:ascii="宋体" w:hAnsi="宋体" w:eastAsia="宋体" w:cs="宋体"/>
          <w:color w:val="auto"/>
          <w:highlight w:val="none"/>
          <w:lang w:eastAsia="zh-CN"/>
        </w:rPr>
        <w:t>（</w:t>
      </w:r>
      <w:r>
        <w:rPr>
          <w:rFonts w:hint="eastAsia" w:ascii="宋体" w:hAnsi="宋体" w:eastAsia="宋体" w:cs="宋体"/>
          <w:b/>
          <w:bCs/>
          <w:color w:val="auto"/>
          <w:highlight w:val="none"/>
          <w:lang w:val="en-US" w:eastAsia="zh-CN"/>
        </w:rPr>
        <w:t>注响应文件</w:t>
      </w:r>
      <w:r>
        <w:rPr>
          <w:rFonts w:hint="eastAsia" w:ascii="宋体" w:hAnsi="宋体" w:cs="宋体"/>
          <w:b/>
          <w:bCs/>
          <w:color w:val="auto"/>
          <w:highlight w:val="none"/>
          <w:lang w:val="en-US" w:eastAsia="zh-CN"/>
        </w:rPr>
        <w:t>正本及</w:t>
      </w:r>
      <w:r>
        <w:rPr>
          <w:rFonts w:hint="eastAsia" w:ascii="宋体" w:hAnsi="宋体" w:eastAsia="宋体" w:cs="宋体"/>
          <w:b/>
          <w:bCs/>
          <w:color w:val="auto"/>
          <w:highlight w:val="none"/>
          <w:lang w:val="en-US" w:eastAsia="zh-CN"/>
        </w:rPr>
        <w:t>副本可以是按规定签署已完成的响应文件</w:t>
      </w:r>
      <w:r>
        <w:rPr>
          <w:rFonts w:hint="eastAsia" w:ascii="宋体" w:hAnsi="宋体" w:cs="宋体"/>
          <w:b/>
          <w:bCs/>
          <w:color w:val="auto"/>
          <w:highlight w:val="none"/>
          <w:lang w:val="en-US" w:eastAsia="zh-CN"/>
        </w:rPr>
        <w:t>的</w:t>
      </w:r>
      <w:r>
        <w:rPr>
          <w:rFonts w:hint="eastAsia" w:ascii="宋体" w:hAnsi="宋体" w:eastAsia="宋体" w:cs="宋体"/>
          <w:b/>
          <w:bCs/>
          <w:color w:val="auto"/>
          <w:highlight w:val="none"/>
          <w:lang w:val="en-US" w:eastAsia="zh-CN"/>
        </w:rPr>
        <w:t>复印件或扫描件</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lang w:eastAsia="zh-CN"/>
        </w:rPr>
        <w:t>。</w:t>
      </w:r>
    </w:p>
    <w:p w14:paraId="1BB49959">
      <w:pPr>
        <w:keepNext w:val="0"/>
        <w:keepLines w:val="0"/>
        <w:pageBreakBefore w:val="0"/>
        <w:widowControl w:val="0"/>
        <w:kinsoku/>
        <w:wordWrap/>
        <w:overflowPunct/>
        <w:topLinePunct w:val="0"/>
        <w:autoSpaceDE/>
        <w:autoSpaceDN/>
        <w:bidi w:val="0"/>
        <w:adjustRightInd/>
        <w:snapToGrid/>
        <w:spacing w:line="432" w:lineRule="auto"/>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3除</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对错处作必要的修改外，</w:t>
      </w: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中不许有加行、涂抹或改写。若有修改须由签署</w:t>
      </w: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的法定代表人或法定代表人授权委托代理人签字或盖章。</w:t>
      </w:r>
    </w:p>
    <w:p w14:paraId="5187E0D2">
      <w:pPr>
        <w:keepNext w:val="0"/>
        <w:keepLines w:val="0"/>
        <w:pageBreakBefore w:val="0"/>
        <w:widowControl w:val="0"/>
        <w:kinsoku/>
        <w:wordWrap/>
        <w:overflowPunct/>
        <w:topLinePunct w:val="0"/>
        <w:autoSpaceDE/>
        <w:autoSpaceDN/>
        <w:bidi w:val="0"/>
        <w:adjustRightInd/>
        <w:snapToGrid/>
        <w:spacing w:line="432" w:lineRule="auto"/>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电报、电话、传真形式的响应概不接受。</w:t>
      </w:r>
    </w:p>
    <w:p w14:paraId="6051DC89">
      <w:pPr>
        <w:keepNext w:val="0"/>
        <w:keepLines w:val="0"/>
        <w:pageBreakBefore w:val="0"/>
        <w:kinsoku/>
        <w:wordWrap/>
        <w:overflowPunct/>
        <w:topLinePunct w:val="0"/>
        <w:autoSpaceDE/>
        <w:autoSpaceDN/>
        <w:bidi w:val="0"/>
        <w:spacing w:line="432" w:lineRule="auto"/>
        <w:jc w:val="both"/>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9.</w:t>
      </w:r>
      <w:r>
        <w:rPr>
          <w:rFonts w:hint="eastAsia" w:ascii="宋体" w:hAnsi="宋体" w:eastAsia="宋体" w:cs="宋体"/>
          <w:color w:val="auto"/>
          <w:szCs w:val="21"/>
          <w:highlight w:val="none"/>
          <w:lang w:eastAsia="zh-CN"/>
        </w:rPr>
        <w:t>响应文件</w:t>
      </w:r>
      <w:r>
        <w:rPr>
          <w:rFonts w:hint="eastAsia" w:ascii="宋体" w:hAnsi="宋体" w:eastAsia="宋体" w:cs="宋体"/>
          <w:color w:val="auto"/>
          <w:szCs w:val="21"/>
          <w:highlight w:val="none"/>
        </w:rPr>
        <w:t>的份数及密封</w:t>
      </w:r>
    </w:p>
    <w:p w14:paraId="741A3C3E">
      <w:pPr>
        <w:keepNext w:val="0"/>
        <w:keepLines w:val="0"/>
        <w:pageBreakBefore w:val="0"/>
        <w:kinsoku/>
        <w:wordWrap/>
        <w:overflowPunct/>
        <w:topLinePunct w:val="0"/>
        <w:autoSpaceDE/>
        <w:autoSpaceDN/>
        <w:bidi w:val="0"/>
        <w:spacing w:line="432" w:lineRule="auto"/>
        <w:jc w:val="both"/>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9</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响应文件</w:t>
      </w:r>
      <w:r>
        <w:rPr>
          <w:rFonts w:hint="eastAsia" w:ascii="宋体" w:hAnsi="宋体" w:eastAsia="宋体" w:cs="宋体"/>
          <w:color w:val="auto"/>
          <w:szCs w:val="21"/>
          <w:highlight w:val="none"/>
        </w:rPr>
        <w:t>数量：</w:t>
      </w:r>
    </w:p>
    <w:p w14:paraId="5CB3CC52">
      <w:pPr>
        <w:keepNext w:val="0"/>
        <w:keepLines w:val="0"/>
        <w:pageBreakBefore w:val="0"/>
        <w:kinsoku/>
        <w:wordWrap/>
        <w:overflowPunct/>
        <w:topLinePunct w:val="0"/>
        <w:autoSpaceDE/>
        <w:autoSpaceDN/>
        <w:bidi w:val="0"/>
        <w:spacing w:line="432" w:lineRule="auto"/>
        <w:jc w:val="both"/>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9</w:t>
      </w:r>
      <w:r>
        <w:rPr>
          <w:rFonts w:hint="eastAsia" w:ascii="宋体" w:hAnsi="宋体" w:eastAsia="宋体" w:cs="宋体"/>
          <w:color w:val="auto"/>
          <w:szCs w:val="21"/>
          <w:highlight w:val="none"/>
        </w:rPr>
        <w:t>.1.1</w:t>
      </w:r>
      <w:r>
        <w:rPr>
          <w:rFonts w:hint="eastAsia" w:ascii="宋体" w:hAnsi="宋体" w:eastAsia="宋体" w:cs="宋体"/>
          <w:color w:val="auto"/>
          <w:szCs w:val="21"/>
          <w:highlight w:val="none"/>
          <w:lang w:eastAsia="zh-CN"/>
        </w:rPr>
        <w:t>响应文件</w:t>
      </w:r>
      <w:r>
        <w:rPr>
          <w:rFonts w:hint="eastAsia" w:ascii="宋体" w:hAnsi="宋体" w:eastAsia="宋体" w:cs="宋体"/>
          <w:color w:val="auto"/>
          <w:szCs w:val="21"/>
          <w:highlight w:val="none"/>
        </w:rPr>
        <w:t>：纸质文件</w:t>
      </w:r>
      <w:r>
        <w:rPr>
          <w:rFonts w:hint="eastAsia" w:ascii="宋体" w:hAnsi="宋体" w:cs="宋体"/>
          <w:color w:val="auto"/>
          <w:szCs w:val="21"/>
          <w:highlight w:val="none"/>
          <w:lang w:val="en-US" w:eastAsia="zh-CN"/>
        </w:rPr>
        <w:t>二</w:t>
      </w:r>
      <w:r>
        <w:rPr>
          <w:rFonts w:hint="eastAsia" w:ascii="宋体" w:hAnsi="宋体" w:eastAsia="宋体" w:cs="宋体"/>
          <w:color w:val="auto"/>
          <w:szCs w:val="21"/>
          <w:highlight w:val="none"/>
        </w:rPr>
        <w:t>份（正本一份，副本</w:t>
      </w:r>
      <w:r>
        <w:rPr>
          <w:rFonts w:hint="eastAsia" w:ascii="宋体" w:hAnsi="宋体" w:cs="宋体"/>
          <w:color w:val="auto"/>
          <w:szCs w:val="21"/>
          <w:highlight w:val="none"/>
          <w:lang w:val="en-US" w:eastAsia="zh-CN"/>
        </w:rPr>
        <w:t>一</w:t>
      </w:r>
      <w:r>
        <w:rPr>
          <w:rFonts w:hint="eastAsia" w:ascii="宋体" w:hAnsi="宋体" w:eastAsia="宋体" w:cs="宋体"/>
          <w:color w:val="auto"/>
          <w:szCs w:val="21"/>
          <w:highlight w:val="none"/>
        </w:rPr>
        <w:t>份）。</w:t>
      </w:r>
    </w:p>
    <w:p w14:paraId="3FBB7465">
      <w:pPr>
        <w:keepNext w:val="0"/>
        <w:keepLines w:val="0"/>
        <w:pageBreakBefore w:val="0"/>
        <w:kinsoku/>
        <w:wordWrap/>
        <w:overflowPunct/>
        <w:topLinePunct w:val="0"/>
        <w:autoSpaceDE/>
        <w:autoSpaceDN/>
        <w:bidi w:val="0"/>
        <w:spacing w:line="432" w:lineRule="auto"/>
        <w:jc w:val="both"/>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9</w:t>
      </w: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响应文件</w:t>
      </w:r>
      <w:r>
        <w:rPr>
          <w:rFonts w:hint="eastAsia" w:ascii="宋体" w:hAnsi="宋体" w:eastAsia="宋体" w:cs="宋体"/>
          <w:color w:val="auto"/>
          <w:szCs w:val="21"/>
          <w:highlight w:val="none"/>
        </w:rPr>
        <w:t>密封：</w:t>
      </w:r>
    </w:p>
    <w:p w14:paraId="3D332DA3">
      <w:pPr>
        <w:keepNext w:val="0"/>
        <w:keepLines w:val="0"/>
        <w:pageBreakBefore w:val="0"/>
        <w:kinsoku/>
        <w:wordWrap/>
        <w:overflowPunct/>
        <w:topLinePunct w:val="0"/>
        <w:autoSpaceDE/>
        <w:autoSpaceDN/>
        <w:bidi w:val="0"/>
        <w:spacing w:line="432" w:lineRule="auto"/>
        <w:jc w:val="both"/>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9</w:t>
      </w:r>
      <w:r>
        <w:rPr>
          <w:rFonts w:hint="eastAsia" w:ascii="宋体" w:hAnsi="宋体" w:eastAsia="宋体" w:cs="宋体"/>
          <w:color w:val="auto"/>
          <w:szCs w:val="21"/>
          <w:highlight w:val="none"/>
        </w:rPr>
        <w:t>.2.1</w:t>
      </w:r>
      <w:r>
        <w:rPr>
          <w:rFonts w:hint="eastAsia" w:ascii="宋体" w:hAnsi="宋体" w:eastAsia="宋体" w:cs="宋体"/>
          <w:color w:val="auto"/>
          <w:szCs w:val="21"/>
          <w:highlight w:val="none"/>
          <w:lang w:eastAsia="zh-CN"/>
        </w:rPr>
        <w:t>响应文件</w:t>
      </w:r>
      <w:r>
        <w:rPr>
          <w:rFonts w:hint="eastAsia" w:ascii="宋体" w:hAnsi="宋体" w:eastAsia="宋体" w:cs="宋体"/>
          <w:color w:val="auto"/>
          <w:szCs w:val="21"/>
          <w:highlight w:val="none"/>
        </w:rPr>
        <w:t>（正本一份、副本</w:t>
      </w:r>
      <w:r>
        <w:rPr>
          <w:rFonts w:hint="eastAsia" w:ascii="宋体" w:hAnsi="宋体" w:cs="宋体"/>
          <w:color w:val="auto"/>
          <w:szCs w:val="21"/>
          <w:highlight w:val="none"/>
          <w:lang w:val="en-US" w:eastAsia="zh-CN"/>
        </w:rPr>
        <w:t>一</w:t>
      </w:r>
      <w:r>
        <w:rPr>
          <w:rFonts w:hint="eastAsia" w:ascii="宋体" w:hAnsi="宋体" w:eastAsia="宋体" w:cs="宋体"/>
          <w:color w:val="auto"/>
          <w:szCs w:val="21"/>
          <w:highlight w:val="none"/>
        </w:rPr>
        <w:t>份）作为一个包封袋包封</w:t>
      </w:r>
      <w:r>
        <w:rPr>
          <w:rFonts w:hint="eastAsia" w:ascii="宋体" w:hAnsi="宋体" w:eastAsia="宋体" w:cs="宋体"/>
          <w:color w:val="auto"/>
          <w:szCs w:val="21"/>
          <w:highlight w:val="none"/>
          <w:lang w:eastAsia="zh-CN"/>
        </w:rPr>
        <w:t>。</w:t>
      </w:r>
    </w:p>
    <w:p w14:paraId="666258C6">
      <w:pPr>
        <w:keepNext w:val="0"/>
        <w:keepLines w:val="0"/>
        <w:pageBreakBefore w:val="0"/>
        <w:kinsoku/>
        <w:wordWrap/>
        <w:overflowPunct/>
        <w:topLinePunct w:val="0"/>
        <w:autoSpaceDE/>
        <w:autoSpaceDN/>
        <w:bidi w:val="0"/>
        <w:spacing w:line="432" w:lineRule="auto"/>
        <w:jc w:val="both"/>
        <w:textAlignment w:val="auto"/>
        <w:rPr>
          <w:rFonts w:hint="eastAsia" w:ascii="宋体" w:hAnsi="宋体" w:eastAsia="宋体" w:cs="宋体"/>
          <w:color w:val="FF0000"/>
          <w:highlight w:val="none"/>
        </w:rPr>
      </w:pPr>
      <w:r>
        <w:rPr>
          <w:rFonts w:hint="eastAsia" w:ascii="宋体" w:hAnsi="宋体" w:cs="宋体"/>
          <w:color w:val="auto"/>
          <w:szCs w:val="21"/>
          <w:highlight w:val="none"/>
          <w:lang w:val="en-US" w:eastAsia="zh-CN"/>
        </w:rPr>
        <w:t>9</w:t>
      </w:r>
      <w:r>
        <w:rPr>
          <w:rFonts w:hint="eastAsia" w:ascii="宋体" w:hAnsi="宋体" w:eastAsia="宋体" w:cs="宋体"/>
          <w:color w:val="auto"/>
          <w:szCs w:val="21"/>
          <w:highlight w:val="none"/>
        </w:rPr>
        <w:t>.2.</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共计</w:t>
      </w:r>
      <w:r>
        <w:rPr>
          <w:rFonts w:hint="eastAsia" w:ascii="宋体" w:hAnsi="宋体" w:cs="宋体"/>
          <w:color w:val="auto"/>
          <w:szCs w:val="21"/>
          <w:highlight w:val="none"/>
          <w:lang w:val="en-US" w:eastAsia="zh-CN"/>
        </w:rPr>
        <w:t>一</w:t>
      </w:r>
      <w:r>
        <w:rPr>
          <w:rFonts w:hint="eastAsia" w:ascii="宋体" w:hAnsi="宋体" w:eastAsia="宋体" w:cs="宋体"/>
          <w:color w:val="auto"/>
          <w:szCs w:val="21"/>
          <w:highlight w:val="none"/>
        </w:rPr>
        <w:t>个包封袋。包封袋密封时按照</w:t>
      </w:r>
      <w:r>
        <w:rPr>
          <w:rFonts w:hint="eastAsia" w:ascii="宋体" w:hAnsi="宋体" w:cs="宋体"/>
          <w:color w:val="auto"/>
          <w:szCs w:val="21"/>
          <w:highlight w:val="none"/>
          <w:lang w:eastAsia="zh-CN"/>
        </w:rPr>
        <w:t>竞争性谈判</w:t>
      </w:r>
      <w:r>
        <w:rPr>
          <w:rFonts w:hint="eastAsia" w:ascii="宋体" w:hAnsi="宋体" w:eastAsia="宋体" w:cs="宋体"/>
          <w:color w:val="auto"/>
          <w:szCs w:val="21"/>
          <w:highlight w:val="none"/>
          <w:lang w:eastAsia="zh-CN"/>
        </w:rPr>
        <w:t>文件</w:t>
      </w:r>
      <w:r>
        <w:rPr>
          <w:rFonts w:hint="eastAsia" w:ascii="宋体" w:hAnsi="宋体" w:cs="宋体"/>
          <w:color w:val="auto"/>
          <w:szCs w:val="21"/>
          <w:highlight w:val="none"/>
          <w:lang w:eastAsia="zh-CN"/>
        </w:rPr>
        <w:t>第八章</w:t>
      </w:r>
      <w:r>
        <w:rPr>
          <w:rFonts w:hint="eastAsia" w:ascii="宋体" w:hAnsi="宋体" w:eastAsia="宋体" w:cs="宋体"/>
          <w:color w:val="auto"/>
          <w:szCs w:val="21"/>
          <w:highlight w:val="none"/>
          <w:lang w:eastAsia="zh-CN"/>
        </w:rPr>
        <w:t>响应文件</w:t>
      </w:r>
      <w:r>
        <w:rPr>
          <w:rFonts w:hint="eastAsia" w:ascii="宋体" w:hAnsi="宋体" w:eastAsia="宋体" w:cs="宋体"/>
          <w:color w:val="auto"/>
          <w:szCs w:val="21"/>
          <w:highlight w:val="none"/>
        </w:rPr>
        <w:t>格式中的包</w:t>
      </w:r>
      <w:r>
        <w:rPr>
          <w:rFonts w:hint="eastAsia" w:ascii="宋体" w:hAnsi="宋体" w:eastAsia="宋体" w:cs="宋体"/>
          <w:color w:val="auto"/>
          <w:highlight w:val="none"/>
        </w:rPr>
        <w:t>封袋的外封格式加盖</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单位公章（鲜章）。</w:t>
      </w:r>
    </w:p>
    <w:p w14:paraId="66258469">
      <w:pPr>
        <w:keepNext w:val="0"/>
        <w:keepLines w:val="0"/>
        <w:pageBreakBefore w:val="0"/>
        <w:kinsoku/>
        <w:wordWrap/>
        <w:overflowPunct/>
        <w:topLinePunct w:val="0"/>
        <w:autoSpaceDE/>
        <w:autoSpaceDN/>
        <w:bidi w:val="0"/>
        <w:spacing w:line="432" w:lineRule="auto"/>
        <w:jc w:val="both"/>
        <w:textAlignment w:val="auto"/>
        <w:rPr>
          <w:rFonts w:hint="eastAsia" w:ascii="宋体" w:hAnsi="宋体" w:eastAsia="宋体" w:cs="宋体"/>
          <w:b w:val="0"/>
          <w:bCs w:val="0"/>
          <w:color w:val="auto"/>
          <w:highlight w:val="none"/>
          <w:lang w:eastAsia="zh-CN"/>
        </w:rPr>
      </w:pPr>
      <w:r>
        <w:rPr>
          <w:rFonts w:hint="eastAsia" w:ascii="宋体" w:hAnsi="宋体" w:eastAsia="宋体" w:cs="宋体"/>
          <w:b w:val="0"/>
          <w:bCs w:val="0"/>
          <w:color w:val="auto"/>
          <w:highlight w:val="none"/>
        </w:rPr>
        <w:t>注：</w:t>
      </w:r>
      <w:r>
        <w:rPr>
          <w:rFonts w:hint="eastAsia" w:ascii="宋体" w:hAnsi="宋体" w:eastAsia="宋体" w:cs="宋体"/>
          <w:b w:val="0"/>
          <w:bCs w:val="0"/>
          <w:color w:val="auto"/>
          <w:highlight w:val="none"/>
          <w:lang w:eastAsia="zh-CN"/>
        </w:rPr>
        <w:t>供应商</w:t>
      </w:r>
      <w:r>
        <w:rPr>
          <w:rFonts w:hint="eastAsia" w:ascii="宋体" w:hAnsi="宋体" w:eastAsia="宋体" w:cs="宋体"/>
          <w:b w:val="0"/>
          <w:bCs w:val="0"/>
          <w:color w:val="auto"/>
          <w:highlight w:val="none"/>
        </w:rPr>
        <w:t>或其推选的代表检查</w:t>
      </w:r>
      <w:r>
        <w:rPr>
          <w:rFonts w:hint="eastAsia" w:ascii="宋体" w:hAnsi="宋体" w:eastAsia="宋体" w:cs="宋体"/>
          <w:b w:val="0"/>
          <w:bCs w:val="0"/>
          <w:color w:val="auto"/>
          <w:highlight w:val="none"/>
          <w:lang w:eastAsia="zh-CN"/>
        </w:rPr>
        <w:t>响应文件</w:t>
      </w:r>
      <w:r>
        <w:rPr>
          <w:rFonts w:hint="eastAsia" w:ascii="宋体" w:hAnsi="宋体" w:eastAsia="宋体" w:cs="宋体"/>
          <w:b w:val="0"/>
          <w:bCs w:val="0"/>
          <w:color w:val="auto"/>
          <w:highlight w:val="none"/>
        </w:rPr>
        <w:t>密封情况时，需按照上述要求检查，不得以其他要求作为</w:t>
      </w:r>
      <w:r>
        <w:rPr>
          <w:rFonts w:hint="eastAsia" w:ascii="宋体" w:hAnsi="宋体" w:eastAsia="宋体" w:cs="宋体"/>
          <w:b w:val="0"/>
          <w:bCs w:val="0"/>
          <w:color w:val="auto"/>
          <w:highlight w:val="none"/>
          <w:lang w:eastAsia="zh-CN"/>
        </w:rPr>
        <w:t>响应文件</w:t>
      </w:r>
      <w:r>
        <w:rPr>
          <w:rFonts w:hint="eastAsia" w:ascii="宋体" w:hAnsi="宋体" w:eastAsia="宋体" w:cs="宋体"/>
          <w:b w:val="0"/>
          <w:bCs w:val="0"/>
          <w:color w:val="auto"/>
          <w:highlight w:val="none"/>
        </w:rPr>
        <w:t>密封情况检查标准。</w:t>
      </w:r>
    </w:p>
    <w:p w14:paraId="71E937A4">
      <w:pPr>
        <w:keepNext w:val="0"/>
        <w:keepLines w:val="0"/>
        <w:pageBreakBefore w:val="0"/>
        <w:widowControl w:val="0"/>
        <w:kinsoku/>
        <w:wordWrap/>
        <w:overflowPunct/>
        <w:topLinePunct w:val="0"/>
        <w:autoSpaceDE/>
        <w:autoSpaceDN/>
        <w:bidi w:val="0"/>
        <w:adjustRightInd/>
        <w:snapToGrid/>
        <w:spacing w:line="432" w:lineRule="auto"/>
        <w:ind w:left="42" w:leftChars="20"/>
        <w:jc w:val="both"/>
        <w:textAlignment w:val="auto"/>
        <w:rPr>
          <w:rFonts w:hint="eastAsia" w:ascii="宋体" w:hAnsi="宋体" w:eastAsia="宋体" w:cs="宋体"/>
          <w:bCs/>
          <w:color w:val="auto"/>
          <w:szCs w:val="21"/>
        </w:rPr>
      </w:pPr>
      <w:r>
        <w:rPr>
          <w:rFonts w:hint="eastAsia" w:ascii="宋体" w:hAnsi="宋体" w:eastAsia="宋体" w:cs="宋体"/>
          <w:bCs/>
          <w:color w:val="auto"/>
        </w:rPr>
        <w:t>10</w:t>
      </w:r>
      <w:r>
        <w:rPr>
          <w:rFonts w:hint="eastAsia" w:ascii="宋体" w:hAnsi="宋体" w:eastAsia="宋体" w:cs="宋体"/>
          <w:bCs/>
          <w:color w:val="auto"/>
          <w:lang w:val="en-US" w:eastAsia="zh-CN"/>
        </w:rPr>
        <w:t>.</w:t>
      </w:r>
      <w:r>
        <w:rPr>
          <w:rFonts w:hint="eastAsia" w:ascii="宋体" w:hAnsi="宋体" w:eastAsia="宋体" w:cs="宋体"/>
          <w:bCs/>
          <w:color w:val="auto"/>
        </w:rPr>
        <w:t>每一密封包封上注明</w:t>
      </w:r>
      <w:r>
        <w:rPr>
          <w:rFonts w:hint="eastAsia" w:ascii="宋体" w:hAnsi="宋体" w:eastAsia="宋体" w:cs="宋体"/>
          <w:bCs/>
          <w:color w:val="auto"/>
          <w:shd w:val="clear" w:color="auto" w:fill="auto"/>
        </w:rPr>
        <w:t>“于</w:t>
      </w:r>
      <w:r>
        <w:rPr>
          <w:rFonts w:hint="eastAsia" w:ascii="宋体" w:hAnsi="宋体" w:cs="宋体"/>
          <w:bCs/>
          <w:color w:val="auto"/>
          <w:shd w:val="clear" w:color="auto" w:fill="auto"/>
          <w:lang w:val="en-US" w:eastAsia="zh-CN"/>
        </w:rPr>
        <w:t xml:space="preserve">    分</w:t>
      </w:r>
      <w:r>
        <w:rPr>
          <w:rFonts w:hint="eastAsia" w:ascii="宋体" w:hAnsi="宋体" w:eastAsia="宋体" w:cs="宋体"/>
          <w:bCs/>
          <w:color w:val="auto"/>
          <w:shd w:val="clear" w:color="auto" w:fill="auto"/>
        </w:rPr>
        <w:t>之前</w:t>
      </w:r>
      <w:r>
        <w:rPr>
          <w:rFonts w:hint="eastAsia" w:ascii="宋体" w:hAnsi="宋体" w:eastAsia="宋体" w:cs="宋体"/>
          <w:bCs/>
          <w:color w:val="auto"/>
        </w:rPr>
        <w:t>（指</w:t>
      </w:r>
      <w:r>
        <w:rPr>
          <w:rFonts w:hint="eastAsia" w:ascii="宋体" w:hAnsi="宋体" w:cs="宋体"/>
          <w:bCs/>
          <w:color w:val="auto"/>
          <w:lang w:eastAsia="zh-CN"/>
        </w:rPr>
        <w:t>采购公告</w:t>
      </w:r>
      <w:r>
        <w:rPr>
          <w:rFonts w:hint="eastAsia" w:ascii="宋体" w:hAnsi="宋体" w:eastAsia="宋体" w:cs="宋体"/>
          <w:bCs/>
          <w:color w:val="auto"/>
        </w:rPr>
        <w:t>中规定的</w:t>
      </w:r>
      <w:r>
        <w:rPr>
          <w:rFonts w:hint="eastAsia" w:ascii="宋体" w:hAnsi="宋体" w:cs="宋体"/>
          <w:bCs/>
          <w:color w:val="auto"/>
          <w:lang w:eastAsia="zh-CN"/>
        </w:rPr>
        <w:t>谈判</w:t>
      </w:r>
      <w:r>
        <w:rPr>
          <w:rFonts w:hint="eastAsia" w:ascii="宋体" w:hAnsi="宋体" w:eastAsia="宋体" w:cs="宋体"/>
          <w:bCs/>
          <w:color w:val="auto"/>
        </w:rPr>
        <w:t>日期及时间）不</w:t>
      </w:r>
      <w:r>
        <w:rPr>
          <w:rFonts w:hint="eastAsia" w:ascii="宋体" w:hAnsi="宋体" w:eastAsia="宋体" w:cs="宋体"/>
          <w:bCs/>
          <w:color w:val="auto"/>
          <w:szCs w:val="21"/>
        </w:rPr>
        <w:t>准启封”的字样。</w:t>
      </w:r>
    </w:p>
    <w:p w14:paraId="14E8FDD4">
      <w:pPr>
        <w:keepNext w:val="0"/>
        <w:keepLines w:val="0"/>
        <w:pageBreakBefore w:val="0"/>
        <w:widowControl w:val="0"/>
        <w:kinsoku/>
        <w:wordWrap/>
        <w:overflowPunct/>
        <w:topLinePunct w:val="0"/>
        <w:autoSpaceDE/>
        <w:autoSpaceDN/>
        <w:bidi w:val="0"/>
        <w:adjustRightInd/>
        <w:snapToGrid/>
        <w:spacing w:line="432" w:lineRule="auto"/>
        <w:ind w:left="42" w:leftChars="20"/>
        <w:jc w:val="both"/>
        <w:textAlignment w:val="auto"/>
        <w:rPr>
          <w:rFonts w:hint="eastAsia" w:ascii="宋体" w:hAnsi="宋体" w:eastAsia="宋体" w:cs="宋体"/>
          <w:bCs/>
          <w:color w:val="auto"/>
          <w:lang w:eastAsia="zh-CN"/>
        </w:rPr>
      </w:pPr>
      <w:r>
        <w:rPr>
          <w:rFonts w:hint="eastAsia" w:ascii="宋体" w:hAnsi="宋体" w:eastAsia="宋体" w:cs="宋体"/>
          <w:bCs/>
          <w:color w:val="auto"/>
          <w:szCs w:val="21"/>
        </w:rPr>
        <w:t>11</w:t>
      </w:r>
      <w:r>
        <w:rPr>
          <w:rFonts w:hint="eastAsia" w:ascii="宋体" w:hAnsi="宋体" w:eastAsia="宋体" w:cs="宋体"/>
          <w:bCs/>
          <w:color w:val="auto"/>
          <w:szCs w:val="21"/>
          <w:lang w:val="en-US" w:eastAsia="zh-CN"/>
        </w:rPr>
        <w:t>.</w:t>
      </w:r>
      <w:r>
        <w:rPr>
          <w:rFonts w:hint="eastAsia" w:ascii="宋体" w:hAnsi="宋体" w:eastAsia="宋体" w:cs="宋体"/>
          <w:bCs/>
          <w:color w:val="auto"/>
          <w:szCs w:val="21"/>
        </w:rPr>
        <w:t>响应文件由</w:t>
      </w:r>
      <w:r>
        <w:rPr>
          <w:rFonts w:hint="eastAsia" w:ascii="宋体" w:hAnsi="宋体" w:eastAsia="宋体" w:cs="宋体"/>
          <w:bCs/>
          <w:color w:val="auto"/>
          <w:lang w:val="en-US" w:eastAsia="zh-CN"/>
        </w:rPr>
        <w:t>供应商的法定代表人或法定代表人授权委托代理人</w:t>
      </w:r>
      <w:r>
        <w:rPr>
          <w:rFonts w:hint="eastAsia" w:ascii="宋体" w:hAnsi="宋体" w:eastAsia="宋体" w:cs="宋体"/>
          <w:bCs/>
          <w:color w:val="auto"/>
        </w:rPr>
        <w:t>送交，供应商应将响应文件按</w:t>
      </w:r>
      <w:r>
        <w:rPr>
          <w:rFonts w:hint="eastAsia" w:ascii="宋体" w:hAnsi="宋体" w:cs="宋体"/>
          <w:bCs/>
          <w:color w:val="auto"/>
          <w:lang w:val="en-US" w:eastAsia="zh-CN"/>
        </w:rPr>
        <w:t>9</w:t>
      </w:r>
      <w:r>
        <w:rPr>
          <w:rFonts w:hint="eastAsia" w:ascii="宋体" w:hAnsi="宋体" w:eastAsia="宋体" w:cs="宋体"/>
          <w:bCs/>
          <w:color w:val="auto"/>
          <w:lang w:val="en-US" w:eastAsia="zh-CN"/>
        </w:rPr>
        <w:t>至</w:t>
      </w:r>
      <w:r>
        <w:rPr>
          <w:rFonts w:hint="eastAsia" w:ascii="宋体" w:hAnsi="宋体" w:eastAsia="宋体" w:cs="宋体"/>
          <w:bCs/>
          <w:color w:val="auto"/>
        </w:rPr>
        <w:t>1</w:t>
      </w:r>
      <w:r>
        <w:rPr>
          <w:rFonts w:hint="eastAsia" w:ascii="宋体" w:hAnsi="宋体" w:eastAsia="宋体" w:cs="宋体"/>
          <w:bCs/>
          <w:color w:val="auto"/>
          <w:lang w:val="en-US" w:eastAsia="zh-CN"/>
        </w:rPr>
        <w:t>0</w:t>
      </w:r>
      <w:r>
        <w:rPr>
          <w:rFonts w:hint="eastAsia" w:ascii="宋体" w:hAnsi="宋体" w:eastAsia="宋体" w:cs="宋体"/>
          <w:bCs/>
          <w:color w:val="auto"/>
        </w:rPr>
        <w:t>中的规定进行密封和标记</w:t>
      </w:r>
      <w:r>
        <w:rPr>
          <w:rFonts w:hint="eastAsia" w:ascii="宋体" w:hAnsi="宋体" w:cs="宋体"/>
          <w:bCs/>
          <w:color w:val="auto"/>
          <w:lang w:eastAsia="zh-CN"/>
        </w:rPr>
        <w:t>。</w:t>
      </w:r>
    </w:p>
    <w:p w14:paraId="4478CE1D">
      <w:pPr>
        <w:pStyle w:val="59"/>
        <w:keepNext w:val="0"/>
        <w:keepLines w:val="0"/>
        <w:pageBreakBefore w:val="0"/>
        <w:widowControl w:val="0"/>
        <w:numPr>
          <w:ilvl w:val="0"/>
          <w:numId w:val="0"/>
        </w:numPr>
        <w:tabs>
          <w:tab w:val="left" w:pos="629"/>
        </w:tabs>
        <w:kinsoku/>
        <w:wordWrap/>
        <w:overflowPunct/>
        <w:topLinePunct w:val="0"/>
        <w:autoSpaceDE/>
        <w:autoSpaceDN/>
        <w:bidi w:val="0"/>
        <w:adjustRightInd/>
        <w:snapToGrid/>
        <w:spacing w:before="71" w:after="0" w:line="432" w:lineRule="auto"/>
        <w:ind w:right="0" w:rightChars="0"/>
        <w:jc w:val="both"/>
        <w:textAlignment w:val="auto"/>
        <w:rPr>
          <w:rFonts w:hint="eastAsia" w:ascii="宋体" w:hAnsi="宋体" w:eastAsia="宋体" w:cs="宋体"/>
          <w:b/>
          <w:bCs w:val="0"/>
          <w:strike w:val="0"/>
          <w:color w:val="auto"/>
          <w:sz w:val="21"/>
        </w:rPr>
      </w:pPr>
      <w:r>
        <w:rPr>
          <w:rFonts w:hint="eastAsia" w:ascii="宋体" w:hAnsi="宋体" w:eastAsia="宋体" w:cs="宋体"/>
          <w:b/>
          <w:bCs w:val="0"/>
          <w:color w:val="auto"/>
          <w:lang w:val="en-US" w:eastAsia="zh-CN"/>
        </w:rPr>
        <w:t>11.1</w:t>
      </w:r>
      <w:r>
        <w:rPr>
          <w:rFonts w:hint="eastAsia" w:ascii="宋体" w:hAnsi="宋体" w:eastAsia="宋体" w:cs="宋体"/>
          <w:b/>
          <w:bCs w:val="0"/>
          <w:color w:val="auto"/>
          <w:spacing w:val="0"/>
          <w:sz w:val="21"/>
          <w:szCs w:val="21"/>
          <w:lang w:eastAsia="zh-CN"/>
        </w:rPr>
        <w:t>供应商的法定代表人参加</w:t>
      </w:r>
      <w:r>
        <w:rPr>
          <w:rFonts w:hint="eastAsia" w:cs="宋体"/>
          <w:b/>
          <w:bCs w:val="0"/>
          <w:color w:val="auto"/>
          <w:spacing w:val="0"/>
          <w:sz w:val="21"/>
          <w:szCs w:val="21"/>
          <w:lang w:eastAsia="zh-CN"/>
        </w:rPr>
        <w:t>竞争性谈判</w:t>
      </w:r>
      <w:r>
        <w:rPr>
          <w:rFonts w:hint="eastAsia" w:ascii="宋体" w:hAnsi="宋体" w:eastAsia="宋体" w:cs="宋体"/>
          <w:b/>
          <w:bCs w:val="0"/>
          <w:color w:val="auto"/>
          <w:spacing w:val="0"/>
          <w:sz w:val="21"/>
          <w:szCs w:val="21"/>
          <w:lang w:eastAsia="zh-CN"/>
        </w:rPr>
        <w:t>及递交响应文件的需提供</w:t>
      </w:r>
      <w:r>
        <w:rPr>
          <w:rFonts w:hint="eastAsia" w:cs="宋体"/>
          <w:b/>
          <w:bCs w:val="0"/>
          <w:color w:val="auto"/>
          <w:spacing w:val="0"/>
          <w:sz w:val="21"/>
          <w:szCs w:val="21"/>
          <w:lang w:eastAsia="zh-CN"/>
        </w:rPr>
        <w:t>法定代表人</w:t>
      </w:r>
      <w:r>
        <w:rPr>
          <w:rFonts w:hint="eastAsia" w:ascii="宋体" w:hAnsi="宋体" w:eastAsia="宋体" w:cs="宋体"/>
          <w:b/>
          <w:bCs w:val="0"/>
          <w:color w:val="auto"/>
          <w:spacing w:val="0"/>
          <w:sz w:val="21"/>
          <w:szCs w:val="21"/>
          <w:lang w:eastAsia="zh-CN"/>
        </w:rPr>
        <w:t>身份证明原件及</w:t>
      </w:r>
      <w:r>
        <w:rPr>
          <w:rFonts w:hint="eastAsia" w:cs="宋体"/>
          <w:b/>
          <w:bCs w:val="0"/>
          <w:strike w:val="0"/>
          <w:dstrike w:val="0"/>
          <w:color w:val="auto"/>
          <w:spacing w:val="0"/>
          <w:sz w:val="21"/>
          <w:szCs w:val="21"/>
          <w:lang w:eastAsia="zh-CN"/>
        </w:rPr>
        <w:t>法定代表人</w:t>
      </w:r>
      <w:r>
        <w:rPr>
          <w:rFonts w:hint="eastAsia" w:ascii="宋体" w:hAnsi="宋体" w:eastAsia="宋体" w:cs="宋体"/>
          <w:b/>
          <w:bCs w:val="0"/>
          <w:strike w:val="0"/>
          <w:dstrike w:val="0"/>
          <w:color w:val="auto"/>
          <w:spacing w:val="0"/>
          <w:sz w:val="21"/>
          <w:szCs w:val="21"/>
          <w:lang w:eastAsia="zh-CN"/>
        </w:rPr>
        <w:t>身份证原件</w:t>
      </w:r>
      <w:r>
        <w:rPr>
          <w:rFonts w:hint="eastAsia" w:cs="宋体"/>
          <w:b/>
          <w:bCs w:val="0"/>
          <w:strike w:val="0"/>
          <w:dstrike w:val="0"/>
          <w:color w:val="auto"/>
          <w:spacing w:val="0"/>
          <w:sz w:val="21"/>
          <w:szCs w:val="21"/>
          <w:lang w:eastAsia="zh-CN"/>
        </w:rPr>
        <w:t>。</w:t>
      </w:r>
    </w:p>
    <w:p w14:paraId="27B03849">
      <w:pPr>
        <w:keepNext w:val="0"/>
        <w:keepLines w:val="0"/>
        <w:pageBreakBefore w:val="0"/>
        <w:widowControl w:val="0"/>
        <w:kinsoku/>
        <w:wordWrap/>
        <w:overflowPunct/>
        <w:topLinePunct w:val="0"/>
        <w:autoSpaceDE/>
        <w:autoSpaceDN/>
        <w:bidi w:val="0"/>
        <w:adjustRightInd/>
        <w:snapToGrid/>
        <w:spacing w:line="432" w:lineRule="auto"/>
        <w:ind w:left="42" w:leftChars="20"/>
        <w:jc w:val="both"/>
        <w:textAlignment w:val="auto"/>
        <w:rPr>
          <w:rFonts w:hint="eastAsia" w:ascii="宋体" w:hAnsi="宋体" w:eastAsia="宋体" w:cs="宋体"/>
          <w:b/>
          <w:bCs/>
          <w:color w:val="auto"/>
          <w:spacing w:val="-6"/>
          <w:sz w:val="21"/>
          <w:lang w:eastAsia="zh-CN"/>
        </w:rPr>
      </w:pPr>
      <w:r>
        <w:rPr>
          <w:rFonts w:hint="eastAsia" w:ascii="宋体" w:hAnsi="宋体" w:eastAsia="宋体" w:cs="宋体"/>
          <w:b/>
          <w:bCs/>
          <w:color w:val="auto"/>
          <w:spacing w:val="0"/>
          <w:sz w:val="21"/>
          <w:szCs w:val="21"/>
          <w:lang w:val="en-US" w:eastAsia="zh-CN"/>
        </w:rPr>
        <w:t>11.2</w:t>
      </w:r>
      <w:r>
        <w:rPr>
          <w:rFonts w:hint="eastAsia" w:ascii="宋体" w:hAnsi="宋体" w:eastAsia="宋体" w:cs="宋体"/>
          <w:b/>
          <w:bCs/>
          <w:color w:val="auto"/>
          <w:spacing w:val="0"/>
          <w:sz w:val="21"/>
          <w:szCs w:val="21"/>
          <w:lang w:eastAsia="zh-CN"/>
        </w:rPr>
        <w:t>供应商</w:t>
      </w:r>
      <w:r>
        <w:rPr>
          <w:rFonts w:hint="eastAsia" w:ascii="宋体" w:hAnsi="宋体" w:eastAsia="宋体" w:cs="宋体"/>
          <w:b/>
          <w:bCs/>
          <w:color w:val="auto"/>
          <w:spacing w:val="0"/>
          <w:sz w:val="21"/>
          <w:szCs w:val="21"/>
        </w:rPr>
        <w:t>的</w:t>
      </w:r>
      <w:r>
        <w:rPr>
          <w:rFonts w:hint="eastAsia" w:ascii="宋体" w:hAnsi="宋体" w:eastAsia="宋体" w:cs="宋体"/>
          <w:b/>
          <w:bCs/>
          <w:color w:val="auto"/>
          <w:spacing w:val="-6"/>
          <w:sz w:val="21"/>
          <w:lang w:eastAsia="zh-CN"/>
        </w:rPr>
        <w:t>法定代表人授权委托代理人参加</w:t>
      </w:r>
      <w:r>
        <w:rPr>
          <w:rFonts w:hint="eastAsia" w:ascii="宋体" w:hAnsi="宋体" w:cs="宋体"/>
          <w:b/>
          <w:bCs/>
          <w:color w:val="auto"/>
          <w:spacing w:val="-6"/>
          <w:sz w:val="21"/>
          <w:lang w:eastAsia="zh-CN"/>
        </w:rPr>
        <w:t>竞争性谈判</w:t>
      </w:r>
      <w:r>
        <w:rPr>
          <w:rFonts w:hint="eastAsia" w:ascii="宋体" w:hAnsi="宋体" w:eastAsia="宋体" w:cs="宋体"/>
          <w:b/>
          <w:bCs/>
          <w:color w:val="auto"/>
          <w:spacing w:val="-6"/>
          <w:sz w:val="21"/>
        </w:rPr>
        <w:t>及</w:t>
      </w:r>
      <w:r>
        <w:rPr>
          <w:rFonts w:hint="eastAsia" w:ascii="宋体" w:hAnsi="宋体" w:eastAsia="宋体" w:cs="宋体"/>
          <w:b/>
          <w:bCs/>
          <w:color w:val="auto"/>
          <w:spacing w:val="-6"/>
          <w:sz w:val="21"/>
          <w:lang w:eastAsia="zh-CN"/>
        </w:rPr>
        <w:t>递交响应文件</w:t>
      </w:r>
      <w:r>
        <w:rPr>
          <w:rFonts w:hint="eastAsia" w:ascii="宋体" w:hAnsi="宋体" w:eastAsia="宋体" w:cs="宋体"/>
          <w:b/>
          <w:bCs/>
          <w:color w:val="auto"/>
          <w:spacing w:val="-6"/>
          <w:sz w:val="21"/>
        </w:rPr>
        <w:t>的需提供</w:t>
      </w:r>
      <w:r>
        <w:rPr>
          <w:rFonts w:hint="eastAsia" w:ascii="宋体" w:hAnsi="宋体" w:eastAsia="宋体" w:cs="宋体"/>
          <w:b/>
          <w:bCs/>
          <w:color w:val="auto"/>
          <w:spacing w:val="-6"/>
          <w:sz w:val="21"/>
          <w:lang w:eastAsia="zh-CN"/>
        </w:rPr>
        <w:t>法定代表人授权委托书</w:t>
      </w:r>
      <w:r>
        <w:rPr>
          <w:rFonts w:hint="eastAsia" w:ascii="宋体" w:hAnsi="宋体" w:eastAsia="宋体" w:cs="宋体"/>
          <w:b/>
          <w:bCs/>
          <w:color w:val="auto"/>
          <w:spacing w:val="-6"/>
          <w:sz w:val="21"/>
        </w:rPr>
        <w:t>原件及</w:t>
      </w:r>
      <w:r>
        <w:rPr>
          <w:rFonts w:hint="eastAsia" w:ascii="宋体" w:hAnsi="宋体" w:eastAsia="宋体" w:cs="宋体"/>
          <w:b/>
          <w:bCs/>
          <w:color w:val="auto"/>
          <w:spacing w:val="-6"/>
          <w:sz w:val="21"/>
          <w:lang w:eastAsia="zh-CN"/>
        </w:rPr>
        <w:t>授权委托代理人</w:t>
      </w:r>
      <w:r>
        <w:rPr>
          <w:rFonts w:hint="eastAsia" w:ascii="宋体" w:hAnsi="宋体" w:eastAsia="宋体" w:cs="宋体"/>
          <w:b/>
          <w:bCs/>
          <w:color w:val="auto"/>
          <w:spacing w:val="-6"/>
          <w:sz w:val="21"/>
        </w:rPr>
        <w:t>身份证原件</w:t>
      </w:r>
      <w:r>
        <w:rPr>
          <w:rFonts w:hint="eastAsia" w:ascii="宋体" w:hAnsi="宋体" w:eastAsia="宋体" w:cs="宋体"/>
          <w:b/>
          <w:bCs/>
          <w:color w:val="auto"/>
          <w:spacing w:val="-6"/>
          <w:sz w:val="21"/>
          <w:lang w:eastAsia="zh-CN"/>
        </w:rPr>
        <w:t>。</w:t>
      </w:r>
    </w:p>
    <w:p w14:paraId="67D11D9B">
      <w:pPr>
        <w:keepNext w:val="0"/>
        <w:keepLines w:val="0"/>
        <w:pageBreakBefore w:val="0"/>
        <w:widowControl w:val="0"/>
        <w:kinsoku/>
        <w:wordWrap/>
        <w:overflowPunct/>
        <w:topLinePunct w:val="0"/>
        <w:autoSpaceDE/>
        <w:autoSpaceDN/>
        <w:bidi w:val="0"/>
        <w:adjustRightInd/>
        <w:snapToGrid/>
        <w:spacing w:line="432" w:lineRule="auto"/>
        <w:ind w:left="42" w:leftChars="20"/>
        <w:jc w:val="both"/>
        <w:textAlignment w:val="auto"/>
        <w:rPr>
          <w:rFonts w:hint="eastAsia" w:ascii="宋体" w:hAnsi="宋体" w:eastAsia="宋体" w:cs="宋体"/>
          <w:b/>
          <w:bCs w:val="0"/>
          <w:color w:val="auto"/>
        </w:rPr>
      </w:pPr>
      <w:r>
        <w:rPr>
          <w:rFonts w:hint="eastAsia" w:ascii="宋体" w:hAnsi="宋体" w:eastAsia="宋体" w:cs="宋体"/>
          <w:b/>
          <w:bCs w:val="0"/>
          <w:color w:val="auto"/>
          <w:lang w:val="en-US" w:eastAsia="zh-CN"/>
        </w:rPr>
        <w:t>11.3供应商</w:t>
      </w:r>
      <w:r>
        <w:rPr>
          <w:rFonts w:hint="eastAsia" w:ascii="宋体" w:hAnsi="宋体" w:eastAsia="宋体" w:cs="宋体"/>
          <w:b/>
          <w:bCs w:val="0"/>
          <w:color w:val="auto"/>
        </w:rPr>
        <w:t>于</w:t>
      </w:r>
      <w:r>
        <w:rPr>
          <w:rFonts w:hint="eastAsia" w:ascii="宋体" w:hAnsi="宋体" w:cs="宋体"/>
          <w:b/>
          <w:bCs w:val="0"/>
          <w:color w:val="auto"/>
          <w:lang w:eastAsia="zh-CN"/>
        </w:rPr>
        <w:t>2025年</w:t>
      </w:r>
      <w:r>
        <w:rPr>
          <w:rFonts w:hint="eastAsia" w:ascii="宋体" w:hAnsi="宋体" w:cs="宋体"/>
          <w:b/>
          <w:bCs w:val="0"/>
          <w:color w:val="auto"/>
          <w:lang w:val="en-US" w:eastAsia="zh-CN"/>
        </w:rPr>
        <w:t>9</w:t>
      </w:r>
      <w:r>
        <w:rPr>
          <w:rFonts w:hint="eastAsia" w:ascii="宋体" w:hAnsi="宋体" w:cs="宋体"/>
          <w:b/>
          <w:bCs w:val="0"/>
          <w:color w:val="auto"/>
          <w:lang w:eastAsia="zh-CN"/>
        </w:rPr>
        <w:t>月</w:t>
      </w:r>
      <w:r>
        <w:rPr>
          <w:rFonts w:hint="eastAsia" w:ascii="宋体" w:hAnsi="宋体" w:cs="宋体"/>
          <w:b/>
          <w:bCs w:val="0"/>
          <w:color w:val="auto"/>
          <w:lang w:val="en-US" w:eastAsia="zh-CN"/>
        </w:rPr>
        <w:t>17</w:t>
      </w:r>
      <w:r>
        <w:rPr>
          <w:rFonts w:hint="eastAsia" w:ascii="宋体" w:hAnsi="宋体" w:cs="宋体"/>
          <w:b/>
          <w:bCs w:val="0"/>
          <w:color w:val="auto"/>
          <w:lang w:eastAsia="zh-CN"/>
        </w:rPr>
        <w:t>日</w:t>
      </w:r>
      <w:r>
        <w:rPr>
          <w:rFonts w:hint="eastAsia" w:ascii="宋体" w:hAnsi="宋体" w:cs="宋体"/>
          <w:b/>
          <w:bCs w:val="0"/>
          <w:color w:val="auto"/>
          <w:lang w:val="en-US" w:eastAsia="zh-CN"/>
        </w:rPr>
        <w:t>上午</w:t>
      </w:r>
      <w:r>
        <w:rPr>
          <w:rFonts w:hint="eastAsia" w:ascii="宋体" w:hAnsi="宋体" w:cs="宋体"/>
          <w:b/>
          <w:bCs w:val="0"/>
          <w:color w:val="auto"/>
          <w:lang w:eastAsia="zh-CN"/>
        </w:rPr>
        <w:t>10:00</w:t>
      </w:r>
      <w:r>
        <w:rPr>
          <w:rFonts w:hint="eastAsia" w:ascii="宋体" w:hAnsi="宋体" w:cs="宋体"/>
          <w:b/>
          <w:bCs w:val="0"/>
          <w:color w:val="auto"/>
          <w:lang w:val="en-US" w:eastAsia="zh-CN"/>
        </w:rPr>
        <w:t>分前</w:t>
      </w:r>
      <w:r>
        <w:rPr>
          <w:rFonts w:hint="eastAsia" w:ascii="宋体" w:hAnsi="宋体" w:eastAsia="宋体" w:cs="宋体"/>
          <w:b/>
          <w:bCs w:val="0"/>
          <w:color w:val="auto"/>
        </w:rPr>
        <w:t>将响应文件递交至</w:t>
      </w:r>
      <w:r>
        <w:rPr>
          <w:rStyle w:val="89"/>
          <w:rFonts w:hint="eastAsia" w:ascii="宋体" w:hAnsi="宋体" w:cs="宋体"/>
          <w:b/>
          <w:bCs w:val="0"/>
          <w:color w:val="auto"/>
          <w:szCs w:val="22"/>
          <w:lang w:val="en-US" w:eastAsia="zh-CN"/>
        </w:rPr>
        <w:t>贵州钟山野马寨热电有限责任公司</w:t>
      </w:r>
      <w:r>
        <w:rPr>
          <w:rFonts w:hint="eastAsia" w:ascii="宋体" w:hAnsi="宋体" w:eastAsia="宋体" w:cs="宋体"/>
          <w:b/>
          <w:bCs w:val="0"/>
          <w:color w:val="auto"/>
        </w:rPr>
        <w:t>。</w:t>
      </w:r>
    </w:p>
    <w:p w14:paraId="1E0B2360">
      <w:pPr>
        <w:keepNext w:val="0"/>
        <w:keepLines w:val="0"/>
        <w:pageBreakBefore w:val="0"/>
        <w:widowControl w:val="0"/>
        <w:kinsoku/>
        <w:wordWrap/>
        <w:overflowPunct/>
        <w:topLinePunct w:val="0"/>
        <w:autoSpaceDE/>
        <w:autoSpaceDN/>
        <w:bidi w:val="0"/>
        <w:adjustRightInd/>
        <w:snapToGrid/>
        <w:spacing w:line="432" w:lineRule="auto"/>
        <w:jc w:val="both"/>
        <w:textAlignment w:val="auto"/>
        <w:rPr>
          <w:rFonts w:hint="eastAsia" w:ascii="宋体" w:hAnsi="宋体" w:eastAsia="宋体" w:cs="宋体"/>
          <w:bCs/>
          <w:color w:val="auto"/>
        </w:rPr>
      </w:pPr>
      <w:r>
        <w:rPr>
          <w:rFonts w:hint="eastAsia" w:ascii="宋体" w:hAnsi="宋体" w:eastAsia="宋体" w:cs="宋体"/>
          <w:bCs/>
          <w:color w:val="auto"/>
        </w:rPr>
        <w:t>12</w:t>
      </w:r>
      <w:r>
        <w:rPr>
          <w:rFonts w:hint="eastAsia" w:ascii="宋体" w:hAnsi="宋体" w:eastAsia="宋体" w:cs="宋体"/>
          <w:bCs/>
          <w:color w:val="auto"/>
          <w:lang w:val="en-US" w:eastAsia="zh-CN"/>
        </w:rPr>
        <w:t>.</w:t>
      </w:r>
      <w:r>
        <w:rPr>
          <w:rFonts w:hint="eastAsia" w:ascii="宋体" w:hAnsi="宋体" w:eastAsia="宋体" w:cs="宋体"/>
          <w:bCs/>
          <w:color w:val="auto"/>
        </w:rPr>
        <w:t>响应文件逾期送达或者未按照</w:t>
      </w:r>
      <w:r>
        <w:rPr>
          <w:rFonts w:hint="eastAsia" w:ascii="宋体" w:hAnsi="宋体" w:cs="宋体"/>
          <w:bCs/>
          <w:color w:val="auto"/>
          <w:lang w:eastAsia="zh-CN"/>
        </w:rPr>
        <w:t>竞争性谈判</w:t>
      </w:r>
      <w:r>
        <w:rPr>
          <w:rFonts w:hint="eastAsia" w:ascii="宋体" w:hAnsi="宋体" w:eastAsia="宋体" w:cs="宋体"/>
          <w:bCs/>
          <w:color w:val="auto"/>
        </w:rPr>
        <w:t>文件要求密封的响应文件，采购人应当拒收</w:t>
      </w:r>
      <w:r>
        <w:rPr>
          <w:rFonts w:hint="eastAsia" w:ascii="宋体" w:hAnsi="宋体" w:eastAsia="宋体" w:cs="宋体"/>
          <w:bCs/>
          <w:color w:val="auto"/>
          <w:lang w:eastAsia="zh-CN"/>
        </w:rPr>
        <w:t>。</w:t>
      </w:r>
    </w:p>
    <w:p w14:paraId="1C87F71D">
      <w:pPr>
        <w:keepNext w:val="0"/>
        <w:keepLines w:val="0"/>
        <w:pageBreakBefore w:val="0"/>
        <w:widowControl w:val="0"/>
        <w:kinsoku/>
        <w:wordWrap/>
        <w:overflowPunct/>
        <w:topLinePunct w:val="0"/>
        <w:autoSpaceDE/>
        <w:autoSpaceDN/>
        <w:bidi w:val="0"/>
        <w:adjustRightInd/>
        <w:snapToGrid/>
        <w:spacing w:line="432" w:lineRule="auto"/>
        <w:jc w:val="both"/>
        <w:textAlignment w:val="auto"/>
        <w:rPr>
          <w:rFonts w:hint="default" w:ascii="宋体" w:hAnsi="宋体" w:eastAsia="宋体" w:cs="宋体"/>
          <w:bCs/>
          <w:color w:val="FF0000"/>
          <w:lang w:val="en-US" w:eastAsia="zh-CN"/>
        </w:rPr>
      </w:pPr>
      <w:r>
        <w:rPr>
          <w:rFonts w:hint="eastAsia" w:ascii="宋体" w:hAnsi="宋体" w:eastAsia="宋体" w:cs="宋体"/>
          <w:bCs/>
          <w:color w:val="auto"/>
        </w:rPr>
        <w:t>13．递交响应文件的截止时间：</w:t>
      </w:r>
      <w:r>
        <w:rPr>
          <w:rFonts w:hint="eastAsia" w:ascii="宋体" w:hAnsi="宋体" w:cs="宋体"/>
          <w:b/>
          <w:bCs w:val="0"/>
          <w:color w:val="auto"/>
          <w:lang w:eastAsia="zh-CN"/>
        </w:rPr>
        <w:t>2025年</w:t>
      </w:r>
      <w:r>
        <w:rPr>
          <w:rFonts w:hint="eastAsia" w:ascii="宋体" w:hAnsi="宋体" w:cs="宋体"/>
          <w:b/>
          <w:bCs w:val="0"/>
          <w:color w:val="auto"/>
          <w:lang w:val="en-US" w:eastAsia="zh-CN"/>
        </w:rPr>
        <w:t>9</w:t>
      </w:r>
      <w:r>
        <w:rPr>
          <w:rFonts w:hint="eastAsia" w:ascii="宋体" w:hAnsi="宋体" w:cs="宋体"/>
          <w:b/>
          <w:bCs w:val="0"/>
          <w:color w:val="auto"/>
          <w:lang w:eastAsia="zh-CN"/>
        </w:rPr>
        <w:t>月</w:t>
      </w:r>
      <w:r>
        <w:rPr>
          <w:rFonts w:hint="eastAsia" w:ascii="宋体" w:hAnsi="宋体" w:cs="宋体"/>
          <w:b/>
          <w:bCs w:val="0"/>
          <w:color w:val="auto"/>
          <w:lang w:val="en-US" w:eastAsia="zh-CN"/>
        </w:rPr>
        <w:t>17</w:t>
      </w:r>
      <w:r>
        <w:rPr>
          <w:rFonts w:hint="eastAsia" w:ascii="宋体" w:hAnsi="宋体" w:cs="宋体"/>
          <w:b/>
          <w:bCs w:val="0"/>
          <w:color w:val="auto"/>
          <w:lang w:eastAsia="zh-CN"/>
        </w:rPr>
        <w:t>日</w:t>
      </w:r>
      <w:r>
        <w:rPr>
          <w:rFonts w:hint="eastAsia" w:ascii="宋体" w:hAnsi="宋体" w:cs="宋体"/>
          <w:b/>
          <w:bCs w:val="0"/>
          <w:color w:val="auto"/>
          <w:lang w:val="en-US" w:eastAsia="zh-CN"/>
        </w:rPr>
        <w:t>上午</w:t>
      </w:r>
      <w:r>
        <w:rPr>
          <w:rFonts w:hint="eastAsia" w:ascii="宋体" w:hAnsi="宋体" w:cs="宋体"/>
          <w:b/>
          <w:bCs w:val="0"/>
          <w:color w:val="auto"/>
          <w:lang w:eastAsia="zh-CN"/>
        </w:rPr>
        <w:t>10:00</w:t>
      </w:r>
      <w:r>
        <w:rPr>
          <w:rFonts w:hint="eastAsia" w:ascii="宋体" w:hAnsi="宋体" w:cs="宋体"/>
          <w:b/>
          <w:bCs w:val="0"/>
          <w:color w:val="auto"/>
          <w:lang w:val="en-US" w:eastAsia="zh-CN"/>
        </w:rPr>
        <w:t>分。</w:t>
      </w:r>
    </w:p>
    <w:p w14:paraId="5CC39FC2">
      <w:pPr>
        <w:keepNext w:val="0"/>
        <w:keepLines w:val="0"/>
        <w:pageBreakBefore w:val="0"/>
        <w:widowControl w:val="0"/>
        <w:kinsoku/>
        <w:wordWrap/>
        <w:overflowPunct/>
        <w:topLinePunct w:val="0"/>
        <w:autoSpaceDE/>
        <w:autoSpaceDN/>
        <w:bidi w:val="0"/>
        <w:adjustRightInd/>
        <w:snapToGrid/>
        <w:spacing w:line="432" w:lineRule="auto"/>
        <w:jc w:val="both"/>
        <w:textAlignment w:val="auto"/>
        <w:rPr>
          <w:rFonts w:hint="eastAsia" w:ascii="宋体" w:hAnsi="宋体" w:eastAsia="宋体" w:cs="宋体"/>
          <w:b/>
          <w:bCs w:val="0"/>
          <w:color w:val="FF0000"/>
          <w:szCs w:val="21"/>
        </w:rPr>
      </w:pPr>
      <w:r>
        <w:rPr>
          <w:rFonts w:hint="eastAsia" w:ascii="宋体" w:hAnsi="宋体" w:eastAsia="宋体" w:cs="宋体"/>
          <w:b/>
          <w:bCs w:val="0"/>
          <w:color w:val="auto"/>
        </w:rPr>
        <w:t>13.1</w:t>
      </w:r>
      <w:r>
        <w:rPr>
          <w:rFonts w:hint="eastAsia" w:ascii="宋体" w:hAnsi="宋体" w:eastAsia="宋体" w:cs="宋体"/>
          <w:b/>
          <w:bCs w:val="0"/>
          <w:color w:val="auto"/>
          <w:szCs w:val="21"/>
        </w:rPr>
        <w:t>供应商的法定代表人参加竞争性谈判及递交响应文件的需提供法定代表人身份证明原件及法定代表人身份证原件及复印件，供应商的法定代表人授权委托代理人参加竞争性谈判及递交响应文件的需提供法定代表人授权委托书原件及授权委托代理人身份证原件及复印件</w:t>
      </w:r>
      <w:r>
        <w:rPr>
          <w:rFonts w:hint="eastAsia" w:ascii="宋体" w:hAnsi="宋体" w:eastAsia="宋体" w:cs="宋体"/>
          <w:b/>
          <w:bCs w:val="0"/>
          <w:color w:val="auto"/>
          <w:szCs w:val="21"/>
          <w:lang w:eastAsia="zh-CN"/>
        </w:rPr>
        <w:t>，</w:t>
      </w:r>
      <w:r>
        <w:rPr>
          <w:rFonts w:hint="eastAsia" w:ascii="宋体" w:hAnsi="宋体" w:eastAsia="宋体" w:cs="宋体"/>
          <w:b/>
          <w:bCs w:val="0"/>
          <w:color w:val="auto"/>
          <w:szCs w:val="21"/>
          <w:lang w:val="en-US" w:eastAsia="zh-CN"/>
        </w:rPr>
        <w:t>并</w:t>
      </w:r>
      <w:r>
        <w:rPr>
          <w:rFonts w:hint="eastAsia" w:ascii="宋体" w:hAnsi="宋体" w:eastAsia="宋体" w:cs="宋体"/>
          <w:b/>
          <w:bCs w:val="0"/>
          <w:color w:val="auto"/>
          <w:szCs w:val="21"/>
        </w:rPr>
        <w:t>于</w:t>
      </w:r>
      <w:r>
        <w:rPr>
          <w:rFonts w:hint="eastAsia" w:ascii="宋体" w:hAnsi="宋体" w:cs="宋体"/>
          <w:b/>
          <w:bCs w:val="0"/>
          <w:color w:val="auto"/>
          <w:szCs w:val="21"/>
          <w:lang w:val="en-US" w:eastAsia="zh-CN"/>
        </w:rPr>
        <w:t>2025年9月17日10:00时</w:t>
      </w:r>
      <w:r>
        <w:rPr>
          <w:rFonts w:hint="eastAsia" w:ascii="宋体" w:hAnsi="宋体" w:eastAsia="宋体" w:cs="宋体"/>
          <w:b/>
          <w:bCs w:val="0"/>
          <w:color w:val="auto"/>
          <w:szCs w:val="21"/>
        </w:rPr>
        <w:t>（</w:t>
      </w:r>
      <w:r>
        <w:rPr>
          <w:rFonts w:hint="eastAsia" w:ascii="宋体" w:hAnsi="宋体" w:cs="宋体"/>
          <w:b/>
          <w:bCs w:val="0"/>
          <w:color w:val="auto"/>
          <w:szCs w:val="21"/>
          <w:lang w:val="en-US" w:eastAsia="zh-CN"/>
        </w:rPr>
        <w:t>响应文件递交截止</w:t>
      </w:r>
      <w:r>
        <w:rPr>
          <w:rFonts w:hint="eastAsia" w:ascii="宋体" w:hAnsi="宋体" w:eastAsia="宋体" w:cs="宋体"/>
          <w:b/>
          <w:bCs w:val="0"/>
          <w:color w:val="auto"/>
          <w:szCs w:val="21"/>
        </w:rPr>
        <w:t>时间）前将响应文件递交至</w:t>
      </w:r>
      <w:r>
        <w:rPr>
          <w:rFonts w:hint="eastAsia" w:ascii="宋体" w:hAnsi="宋体" w:eastAsia="宋体" w:cs="宋体"/>
          <w:b/>
          <w:bCs w:val="0"/>
          <w:color w:val="auto"/>
          <w:szCs w:val="21"/>
          <w:lang w:val="en-US" w:eastAsia="zh-CN"/>
        </w:rPr>
        <w:t>贵州钟山野马寨热电有限责任公司（</w:t>
      </w:r>
      <w:r>
        <w:rPr>
          <w:rFonts w:hint="eastAsia" w:ascii="宋体" w:hAnsi="宋体" w:eastAsia="宋体" w:cs="宋体"/>
          <w:b/>
          <w:bCs w:val="0"/>
          <w:color w:val="auto"/>
          <w:szCs w:val="21"/>
          <w:lang w:eastAsia="zh-CN"/>
        </w:rPr>
        <w:t>贵州省六盘水市</w:t>
      </w:r>
      <w:r>
        <w:rPr>
          <w:rFonts w:hint="eastAsia" w:ascii="宋体" w:hAnsi="宋体" w:eastAsia="宋体" w:cs="宋体"/>
          <w:b/>
          <w:bCs w:val="0"/>
          <w:color w:val="auto"/>
          <w:szCs w:val="21"/>
          <w:lang w:val="en-US" w:eastAsia="zh-CN"/>
        </w:rPr>
        <w:t>钟山区汪家寨镇新塘村</w:t>
      </w:r>
      <w:r>
        <w:rPr>
          <w:rFonts w:hint="eastAsia" w:ascii="宋体" w:hAnsi="宋体" w:eastAsia="宋体" w:cs="宋体"/>
          <w:b/>
          <w:bCs w:val="0"/>
          <w:color w:val="auto"/>
          <w:szCs w:val="21"/>
          <w:lang w:eastAsia="zh-CN"/>
        </w:rPr>
        <w:t>）</w:t>
      </w:r>
      <w:r>
        <w:rPr>
          <w:rFonts w:hint="eastAsia" w:ascii="宋体" w:hAnsi="宋体" w:eastAsia="宋体" w:cs="宋体"/>
          <w:b/>
          <w:bCs w:val="0"/>
          <w:color w:val="auto"/>
          <w:szCs w:val="21"/>
        </w:rPr>
        <w:t>。</w:t>
      </w:r>
    </w:p>
    <w:p w14:paraId="765549CB">
      <w:pPr>
        <w:keepNext w:val="0"/>
        <w:keepLines w:val="0"/>
        <w:pageBreakBefore w:val="0"/>
        <w:widowControl w:val="0"/>
        <w:kinsoku/>
        <w:wordWrap/>
        <w:overflowPunct/>
        <w:topLinePunct w:val="0"/>
        <w:autoSpaceDE/>
        <w:autoSpaceDN/>
        <w:bidi w:val="0"/>
        <w:adjustRightInd/>
        <w:snapToGrid/>
        <w:spacing w:line="432" w:lineRule="auto"/>
        <w:jc w:val="both"/>
        <w:textAlignment w:val="auto"/>
        <w:rPr>
          <w:rFonts w:hint="eastAsia" w:ascii="宋体" w:hAnsi="宋体" w:eastAsia="宋体" w:cs="宋体"/>
          <w:bCs/>
          <w:color w:val="auto"/>
        </w:rPr>
      </w:pPr>
      <w:r>
        <w:rPr>
          <w:rFonts w:hint="eastAsia" w:ascii="宋体" w:hAnsi="宋体" w:eastAsia="宋体" w:cs="宋体"/>
          <w:bCs/>
          <w:color w:val="auto"/>
        </w:rPr>
        <w:t>14．迟交的响应文件：</w:t>
      </w:r>
    </w:p>
    <w:p w14:paraId="6B9ED3BF">
      <w:pPr>
        <w:keepNext w:val="0"/>
        <w:keepLines w:val="0"/>
        <w:pageBreakBefore w:val="0"/>
        <w:widowControl w:val="0"/>
        <w:kinsoku/>
        <w:wordWrap/>
        <w:overflowPunct/>
        <w:topLinePunct w:val="0"/>
        <w:autoSpaceDE/>
        <w:autoSpaceDN/>
        <w:bidi w:val="0"/>
        <w:adjustRightInd/>
        <w:snapToGrid/>
        <w:spacing w:line="432" w:lineRule="auto"/>
        <w:jc w:val="both"/>
        <w:textAlignment w:val="auto"/>
        <w:rPr>
          <w:rFonts w:hint="eastAsia" w:ascii="宋体" w:hAnsi="宋体" w:eastAsia="宋体" w:cs="宋体"/>
          <w:color w:val="auto"/>
        </w:rPr>
      </w:pPr>
      <w:r>
        <w:rPr>
          <w:rFonts w:hint="eastAsia" w:ascii="宋体" w:hAnsi="宋体" w:eastAsia="宋体" w:cs="宋体"/>
          <w:color w:val="auto"/>
        </w:rPr>
        <w:t>14.1采购人将拒绝在</w:t>
      </w:r>
      <w:r>
        <w:rPr>
          <w:rFonts w:hint="eastAsia" w:ascii="宋体" w:hAnsi="宋体" w:cs="宋体"/>
          <w:color w:val="auto"/>
          <w:lang w:eastAsia="zh-CN"/>
        </w:rPr>
        <w:t>谈判</w:t>
      </w:r>
      <w:r>
        <w:rPr>
          <w:rFonts w:hint="eastAsia" w:ascii="宋体" w:hAnsi="宋体" w:eastAsia="宋体" w:cs="宋体"/>
          <w:color w:val="auto"/>
        </w:rPr>
        <w:t>截止时间后收到的响应文件。</w:t>
      </w:r>
    </w:p>
    <w:p w14:paraId="53F43AB7">
      <w:pPr>
        <w:keepNext w:val="0"/>
        <w:keepLines w:val="0"/>
        <w:pageBreakBefore w:val="0"/>
        <w:widowControl w:val="0"/>
        <w:kinsoku/>
        <w:wordWrap/>
        <w:overflowPunct/>
        <w:topLinePunct w:val="0"/>
        <w:autoSpaceDE/>
        <w:autoSpaceDN/>
        <w:bidi w:val="0"/>
        <w:adjustRightInd/>
        <w:snapToGrid/>
        <w:spacing w:line="432" w:lineRule="auto"/>
        <w:jc w:val="both"/>
        <w:textAlignment w:val="auto"/>
        <w:rPr>
          <w:rFonts w:hint="eastAsia" w:ascii="宋体" w:hAnsi="宋体" w:eastAsia="宋体" w:cs="宋体"/>
          <w:color w:val="auto"/>
        </w:rPr>
      </w:pPr>
      <w:r>
        <w:rPr>
          <w:rFonts w:hint="eastAsia" w:ascii="宋体" w:hAnsi="宋体" w:eastAsia="宋体" w:cs="宋体"/>
          <w:color w:val="auto"/>
        </w:rPr>
        <w:t>15．响应文件的修改和撤销：</w:t>
      </w:r>
    </w:p>
    <w:p w14:paraId="37278D8D">
      <w:pPr>
        <w:keepNext w:val="0"/>
        <w:keepLines w:val="0"/>
        <w:pageBreakBefore w:val="0"/>
        <w:widowControl w:val="0"/>
        <w:kinsoku/>
        <w:wordWrap/>
        <w:overflowPunct/>
        <w:topLinePunct w:val="0"/>
        <w:autoSpaceDE/>
        <w:autoSpaceDN/>
        <w:bidi w:val="0"/>
        <w:adjustRightInd/>
        <w:snapToGrid/>
        <w:spacing w:line="432" w:lineRule="auto"/>
        <w:jc w:val="both"/>
        <w:textAlignment w:val="auto"/>
        <w:rPr>
          <w:rFonts w:hint="eastAsia" w:ascii="宋体" w:hAnsi="宋体" w:eastAsia="宋体" w:cs="宋体"/>
          <w:color w:val="auto"/>
        </w:rPr>
      </w:pPr>
      <w:r>
        <w:rPr>
          <w:rFonts w:hint="eastAsia" w:ascii="宋体" w:hAnsi="宋体" w:eastAsia="宋体" w:cs="宋体"/>
          <w:color w:val="auto"/>
        </w:rPr>
        <w:t>15.1供应商在提交响应文件后对其响应文件进行修改或撤销，但采购人须在</w:t>
      </w:r>
      <w:r>
        <w:rPr>
          <w:rFonts w:hint="eastAsia" w:ascii="宋体" w:hAnsi="宋体" w:cs="宋体"/>
          <w:color w:val="auto"/>
          <w:lang w:eastAsia="zh-CN"/>
        </w:rPr>
        <w:t>谈判</w:t>
      </w:r>
      <w:r>
        <w:rPr>
          <w:rFonts w:hint="eastAsia" w:ascii="宋体" w:hAnsi="宋体" w:eastAsia="宋体" w:cs="宋体"/>
          <w:color w:val="auto"/>
        </w:rPr>
        <w:t>截止时间之前收到该修改或撤销的书面通知，该通知须有</w:t>
      </w:r>
      <w:r>
        <w:rPr>
          <w:rFonts w:hint="eastAsia" w:ascii="宋体" w:hAnsi="宋体" w:eastAsia="宋体" w:cs="宋体"/>
          <w:color w:val="auto"/>
          <w:lang w:val="en-US" w:eastAsia="zh-CN"/>
        </w:rPr>
        <w:t>供应商的法定代表人或法定代表人授权委托代理人</w:t>
      </w:r>
      <w:r>
        <w:rPr>
          <w:rFonts w:hint="eastAsia" w:ascii="宋体" w:hAnsi="宋体" w:eastAsia="宋体" w:cs="宋体"/>
          <w:color w:val="auto"/>
        </w:rPr>
        <w:t>签字。</w:t>
      </w:r>
    </w:p>
    <w:p w14:paraId="2325195A">
      <w:pPr>
        <w:keepNext w:val="0"/>
        <w:keepLines w:val="0"/>
        <w:pageBreakBefore w:val="0"/>
        <w:widowControl w:val="0"/>
        <w:kinsoku/>
        <w:wordWrap/>
        <w:overflowPunct/>
        <w:topLinePunct w:val="0"/>
        <w:autoSpaceDE/>
        <w:autoSpaceDN/>
        <w:bidi w:val="0"/>
        <w:adjustRightInd/>
        <w:snapToGrid/>
        <w:spacing w:line="432" w:lineRule="auto"/>
        <w:jc w:val="both"/>
        <w:textAlignment w:val="auto"/>
        <w:rPr>
          <w:rFonts w:hint="eastAsia" w:ascii="宋体" w:hAnsi="宋体" w:eastAsia="宋体" w:cs="宋体"/>
          <w:color w:val="auto"/>
        </w:rPr>
      </w:pPr>
      <w:r>
        <w:rPr>
          <w:rFonts w:hint="eastAsia" w:ascii="宋体" w:hAnsi="宋体" w:eastAsia="宋体" w:cs="宋体"/>
          <w:color w:val="auto"/>
        </w:rPr>
        <w:t>15.2供应商对响应文件修改的书面材料或撤销的通知应按第8</w:t>
      </w:r>
      <w:r>
        <w:rPr>
          <w:rFonts w:hint="eastAsia" w:ascii="宋体" w:hAnsi="宋体" w:eastAsia="宋体" w:cs="宋体"/>
          <w:color w:val="auto"/>
          <w:lang w:val="en-US" w:eastAsia="zh-CN"/>
        </w:rPr>
        <w:t>至</w:t>
      </w:r>
      <w:r>
        <w:rPr>
          <w:rFonts w:hint="eastAsia" w:ascii="宋体" w:hAnsi="宋体" w:eastAsia="宋体" w:cs="宋体"/>
          <w:color w:val="auto"/>
        </w:rPr>
        <w:t>11条规定进行编写、密封、标注和递送，并注明“修改响应文件”或“撤销</w:t>
      </w:r>
      <w:r>
        <w:rPr>
          <w:rFonts w:hint="eastAsia" w:ascii="宋体" w:hAnsi="宋体" w:cs="宋体"/>
          <w:color w:val="auto"/>
          <w:lang w:eastAsia="zh-CN"/>
        </w:rPr>
        <w:t>谈判</w:t>
      </w:r>
      <w:r>
        <w:rPr>
          <w:rFonts w:hint="eastAsia" w:ascii="宋体" w:hAnsi="宋体" w:eastAsia="宋体" w:cs="宋体"/>
          <w:color w:val="auto"/>
        </w:rPr>
        <w:t>”字样。</w:t>
      </w:r>
    </w:p>
    <w:p w14:paraId="272102D0">
      <w:pPr>
        <w:keepNext w:val="0"/>
        <w:keepLines w:val="0"/>
        <w:pageBreakBefore w:val="0"/>
        <w:widowControl w:val="0"/>
        <w:kinsoku/>
        <w:wordWrap/>
        <w:overflowPunct/>
        <w:topLinePunct w:val="0"/>
        <w:autoSpaceDE/>
        <w:autoSpaceDN/>
        <w:bidi w:val="0"/>
        <w:adjustRightInd/>
        <w:snapToGrid/>
        <w:spacing w:line="432" w:lineRule="auto"/>
        <w:jc w:val="both"/>
        <w:textAlignment w:val="auto"/>
        <w:rPr>
          <w:rFonts w:hint="eastAsia" w:ascii="宋体" w:hAnsi="宋体" w:eastAsia="宋体" w:cs="宋体"/>
          <w:color w:val="auto"/>
          <w:lang w:eastAsia="zh-CN"/>
        </w:rPr>
      </w:pPr>
      <w:r>
        <w:rPr>
          <w:rFonts w:hint="eastAsia" w:ascii="宋体" w:hAnsi="宋体" w:eastAsia="宋体" w:cs="宋体"/>
          <w:color w:val="auto"/>
        </w:rPr>
        <w:t>15.3</w:t>
      </w:r>
      <w:r>
        <w:rPr>
          <w:rFonts w:hint="eastAsia" w:ascii="宋体" w:hAnsi="宋体" w:cs="宋体"/>
          <w:color w:val="auto"/>
          <w:lang w:eastAsia="zh-CN"/>
        </w:rPr>
        <w:t>谈判</w:t>
      </w:r>
      <w:r>
        <w:rPr>
          <w:rFonts w:hint="eastAsia" w:ascii="宋体" w:hAnsi="宋体" w:eastAsia="宋体" w:cs="宋体"/>
          <w:color w:val="auto"/>
        </w:rPr>
        <w:t>截止时间以后不得修改响应文件。</w:t>
      </w:r>
    </w:p>
    <w:p w14:paraId="6F8DE4B0">
      <w:pPr>
        <w:keepNext w:val="0"/>
        <w:keepLines w:val="0"/>
        <w:pageBreakBefore w:val="0"/>
        <w:widowControl w:val="0"/>
        <w:kinsoku/>
        <w:wordWrap/>
        <w:overflowPunct/>
        <w:topLinePunct w:val="0"/>
        <w:autoSpaceDE/>
        <w:autoSpaceDN/>
        <w:bidi w:val="0"/>
        <w:adjustRightInd/>
        <w:snapToGrid/>
        <w:spacing w:line="432" w:lineRule="auto"/>
        <w:jc w:val="both"/>
        <w:textAlignment w:val="auto"/>
        <w:rPr>
          <w:rFonts w:hint="eastAsia" w:ascii="宋体" w:hAnsi="宋体" w:eastAsia="宋体" w:cs="宋体"/>
          <w:color w:val="auto"/>
        </w:rPr>
      </w:pPr>
      <w:r>
        <w:rPr>
          <w:rFonts w:hint="eastAsia" w:ascii="宋体" w:hAnsi="宋体" w:eastAsia="宋体" w:cs="宋体"/>
          <w:color w:val="auto"/>
        </w:rPr>
        <w:t>15.4供应商不得在</w:t>
      </w:r>
      <w:r>
        <w:rPr>
          <w:rFonts w:hint="eastAsia" w:ascii="宋体" w:hAnsi="宋体" w:cs="宋体"/>
          <w:color w:val="auto"/>
          <w:lang w:eastAsia="zh-CN"/>
        </w:rPr>
        <w:t>谈判</w:t>
      </w:r>
      <w:r>
        <w:rPr>
          <w:rFonts w:hint="eastAsia" w:ascii="宋体" w:hAnsi="宋体" w:eastAsia="宋体" w:cs="宋体"/>
          <w:color w:val="auto"/>
        </w:rPr>
        <w:t>时间起至响应文件有效期期满前撤销响应文件。</w:t>
      </w:r>
    </w:p>
    <w:p w14:paraId="6B91592E">
      <w:pPr>
        <w:pStyle w:val="10"/>
        <w:ind w:left="0" w:leftChars="0" w:firstLine="0" w:firstLineChars="0"/>
        <w:rPr>
          <w:rFonts w:hint="eastAsia" w:ascii="宋体" w:hAnsi="宋体" w:eastAsia="宋体" w:cs="宋体"/>
          <w:color w:val="auto"/>
        </w:rPr>
      </w:pPr>
    </w:p>
    <w:p w14:paraId="5D208C5F">
      <w:pPr>
        <w:rPr>
          <w:rFonts w:hint="eastAsia"/>
        </w:rPr>
      </w:pPr>
    </w:p>
    <w:p w14:paraId="7B9CAFF7">
      <w:pPr>
        <w:keepNext w:val="0"/>
        <w:keepLines w:val="0"/>
        <w:pageBreakBefore w:val="0"/>
        <w:kinsoku/>
        <w:wordWrap/>
        <w:overflowPunct/>
        <w:topLinePunct w:val="0"/>
        <w:autoSpaceDE/>
        <w:autoSpaceDN/>
        <w:bidi w:val="0"/>
        <w:spacing w:line="432" w:lineRule="auto"/>
        <w:ind w:left="70"/>
        <w:jc w:val="center"/>
        <w:textAlignment w:val="auto"/>
        <w:rPr>
          <w:rFonts w:hint="default" w:ascii="宋体" w:hAnsi="宋体" w:eastAsia="宋体" w:cs="宋体"/>
          <w:b/>
          <w:color w:val="auto"/>
          <w:szCs w:val="21"/>
          <w:lang w:val="en-US" w:eastAsia="zh-CN"/>
        </w:rPr>
      </w:pPr>
      <w:r>
        <w:rPr>
          <w:rFonts w:hint="eastAsia" w:ascii="宋体" w:hAnsi="宋体" w:eastAsia="宋体" w:cs="宋体"/>
          <w:b/>
          <w:color w:val="auto"/>
          <w:szCs w:val="21"/>
        </w:rPr>
        <w:t>D</w:t>
      </w:r>
      <w:r>
        <w:rPr>
          <w:rFonts w:hint="eastAsia" w:ascii="宋体" w:hAnsi="宋体" w:eastAsia="宋体" w:cs="宋体"/>
          <w:b/>
          <w:color w:val="auto"/>
          <w:szCs w:val="21"/>
          <w:lang w:val="en-US" w:eastAsia="zh-CN"/>
        </w:rPr>
        <w:t>谈判保证金的缴纳及退还</w:t>
      </w:r>
    </w:p>
    <w:p w14:paraId="5FFB4B69">
      <w:pPr>
        <w:spacing w:line="360" w:lineRule="auto"/>
        <w:jc w:val="both"/>
        <w:rPr>
          <w:rFonts w:hint="default" w:ascii="宋体" w:hAnsi="宋体" w:eastAsia="宋体" w:cs="宋体"/>
          <w:szCs w:val="21"/>
          <w:lang w:val="en-US" w:eastAsia="zh-CN"/>
        </w:rPr>
      </w:pPr>
      <w:r>
        <w:rPr>
          <w:rFonts w:hint="eastAsia" w:ascii="宋体" w:hAnsi="宋体" w:cs="宋体"/>
          <w:szCs w:val="21"/>
          <w:lang w:val="en-US" w:eastAsia="zh-CN"/>
        </w:rPr>
        <w:t>16.谈判保证金的缴纳及退还要求</w:t>
      </w:r>
    </w:p>
    <w:p w14:paraId="4EB153CE">
      <w:pPr>
        <w:keepNext w:val="0"/>
        <w:keepLines w:val="0"/>
        <w:pageBreakBefore w:val="0"/>
        <w:widowControl/>
        <w:kinsoku/>
        <w:wordWrap/>
        <w:overflowPunct/>
        <w:topLinePunct w:val="0"/>
        <w:autoSpaceDE/>
        <w:autoSpaceDN/>
        <w:bidi w:val="0"/>
        <w:adjustRightInd/>
        <w:snapToGrid/>
        <w:spacing w:line="360" w:lineRule="auto"/>
        <w:jc w:val="both"/>
        <w:textAlignment w:val="auto"/>
        <w:rPr>
          <w:rStyle w:val="89"/>
          <w:rFonts w:hint="eastAsia" w:ascii="宋体" w:hAnsi="宋体" w:cs="宋体" w:eastAsiaTheme="minorEastAsia"/>
          <w:color w:val="auto"/>
          <w:szCs w:val="22"/>
          <w:lang w:val="en-US" w:eastAsia="zh-CN"/>
        </w:rPr>
      </w:pPr>
      <w:r>
        <w:rPr>
          <w:rFonts w:hint="eastAsia" w:ascii="宋体" w:hAnsi="宋体" w:cs="宋体"/>
          <w:szCs w:val="21"/>
          <w:lang w:val="en-US" w:eastAsia="zh-CN"/>
        </w:rPr>
        <w:t>16.</w:t>
      </w:r>
      <w:r>
        <w:rPr>
          <w:rFonts w:hint="eastAsia" w:ascii="宋体" w:hAnsi="宋体" w:cs="宋体"/>
          <w:szCs w:val="21"/>
        </w:rPr>
        <w:t>1</w:t>
      </w:r>
      <w:r>
        <w:rPr>
          <w:rFonts w:hint="eastAsia" w:ascii="宋体" w:hAnsi="宋体" w:cs="宋体"/>
          <w:szCs w:val="21"/>
          <w:lang w:eastAsia="zh-CN"/>
        </w:rPr>
        <w:t>.</w:t>
      </w:r>
      <w:r>
        <w:rPr>
          <w:rFonts w:hint="eastAsia" w:ascii="宋体" w:hAnsi="宋体" w:cs="宋体"/>
          <w:szCs w:val="21"/>
        </w:rPr>
        <w:t>谈判</w:t>
      </w:r>
      <w:r>
        <w:rPr>
          <w:rFonts w:hint="eastAsia" w:ascii="宋体" w:hAnsi="宋体" w:cs="宋体"/>
          <w:szCs w:val="21"/>
          <w:shd w:val="clear" w:color="auto" w:fill="FFFFFF"/>
        </w:rPr>
        <w:t>保证金</w:t>
      </w:r>
      <w:r>
        <w:rPr>
          <w:rFonts w:hint="eastAsia" w:ascii="宋体" w:hAnsi="宋体" w:cs="宋体"/>
          <w:szCs w:val="21"/>
          <w:shd w:val="clear" w:color="auto" w:fill="FFFFFF"/>
          <w:lang w:eastAsia="zh-CN"/>
        </w:rPr>
        <w:t>缴纳</w:t>
      </w:r>
      <w:r>
        <w:rPr>
          <w:rFonts w:hint="eastAsia" w:ascii="宋体" w:hAnsi="宋体" w:cs="宋体"/>
          <w:szCs w:val="21"/>
          <w:shd w:val="clear" w:color="auto" w:fill="FFFFFF"/>
        </w:rPr>
        <w:t>方式：</w:t>
      </w:r>
      <w:r>
        <w:rPr>
          <w:rStyle w:val="89"/>
          <w:rFonts w:hint="eastAsia" w:ascii="宋体" w:hAnsi="宋体" w:cs="宋体" w:eastAsiaTheme="minorEastAsia"/>
          <w:color w:val="auto"/>
          <w:szCs w:val="22"/>
          <w:lang w:val="en-US" w:eastAsia="zh-CN"/>
        </w:rPr>
        <w:t>谈判保证金由供应商通过银行电汇形式在</w:t>
      </w:r>
      <w:r>
        <w:rPr>
          <w:rStyle w:val="89"/>
          <w:rFonts w:hint="eastAsia" w:ascii="宋体" w:hAnsi="宋体" w:cs="宋体" w:eastAsiaTheme="minorEastAsia"/>
          <w:b/>
          <w:bCs/>
          <w:color w:val="auto"/>
          <w:szCs w:val="22"/>
          <w:lang w:val="en-US" w:eastAsia="zh-CN"/>
        </w:rPr>
        <w:t>2025年9月17日上午10:00分</w:t>
      </w:r>
      <w:r>
        <w:rPr>
          <w:rStyle w:val="89"/>
          <w:rFonts w:hint="eastAsia" w:ascii="宋体" w:hAnsi="宋体" w:cs="宋体" w:eastAsiaTheme="minorEastAsia"/>
          <w:color w:val="auto"/>
          <w:szCs w:val="22"/>
          <w:lang w:val="en-US" w:eastAsia="zh-CN"/>
        </w:rPr>
        <w:t>之前将谈判保证金缴到采购人指定账户，采购人在接到供应商缴纳的谈判保证金相关凭证后，供应商方可参与本项目谈判。本次谈判保证金只接受现汇，不接受银行保函、现金等其他形式保证金。</w:t>
      </w:r>
    </w:p>
    <w:p w14:paraId="00FE4CD1">
      <w:pPr>
        <w:keepNext w:val="0"/>
        <w:keepLines w:val="0"/>
        <w:pageBreakBefore w:val="0"/>
        <w:widowControl/>
        <w:kinsoku/>
        <w:wordWrap/>
        <w:overflowPunct/>
        <w:topLinePunct w:val="0"/>
        <w:autoSpaceDE/>
        <w:autoSpaceDN/>
        <w:bidi w:val="0"/>
        <w:adjustRightInd/>
        <w:snapToGrid/>
        <w:spacing w:line="360" w:lineRule="auto"/>
        <w:jc w:val="both"/>
        <w:textAlignment w:val="auto"/>
        <w:rPr>
          <w:rStyle w:val="89"/>
          <w:rFonts w:hint="eastAsia" w:ascii="宋体" w:hAnsi="宋体" w:cs="宋体" w:eastAsiaTheme="minorEastAsia"/>
          <w:color w:val="auto"/>
          <w:szCs w:val="22"/>
          <w:lang w:val="en-US" w:eastAsia="zh-CN"/>
        </w:rPr>
      </w:pPr>
      <w:r>
        <w:rPr>
          <w:rStyle w:val="89"/>
          <w:rFonts w:hint="eastAsia" w:ascii="宋体" w:hAnsi="宋体" w:cs="宋体" w:eastAsiaTheme="minorEastAsia"/>
          <w:color w:val="auto"/>
          <w:szCs w:val="22"/>
          <w:lang w:val="en-US" w:eastAsia="zh-CN"/>
        </w:rPr>
        <w:t>16.1.1.保证金缴纳账户：</w:t>
      </w:r>
    </w:p>
    <w:p w14:paraId="76E19A5F">
      <w:pPr>
        <w:keepNext w:val="0"/>
        <w:keepLines w:val="0"/>
        <w:pageBreakBefore w:val="0"/>
        <w:widowControl/>
        <w:kinsoku/>
        <w:wordWrap/>
        <w:overflowPunct/>
        <w:topLinePunct w:val="0"/>
        <w:autoSpaceDE/>
        <w:autoSpaceDN/>
        <w:bidi w:val="0"/>
        <w:adjustRightInd/>
        <w:snapToGrid/>
        <w:spacing w:line="360" w:lineRule="auto"/>
        <w:jc w:val="both"/>
        <w:textAlignment w:val="auto"/>
        <w:rPr>
          <w:rStyle w:val="89"/>
          <w:rFonts w:hint="eastAsia" w:ascii="宋体" w:hAnsi="宋体" w:cs="宋体" w:eastAsiaTheme="minorEastAsia"/>
          <w:color w:val="auto"/>
          <w:szCs w:val="22"/>
          <w:lang w:val="en-US" w:eastAsia="zh-CN"/>
        </w:rPr>
      </w:pPr>
      <w:r>
        <w:rPr>
          <w:rStyle w:val="89"/>
          <w:rFonts w:hint="eastAsia" w:ascii="宋体" w:hAnsi="宋体" w:cs="宋体" w:eastAsiaTheme="minorEastAsia"/>
          <w:color w:val="auto"/>
          <w:szCs w:val="22"/>
          <w:lang w:val="en-US" w:eastAsia="zh-CN"/>
        </w:rPr>
        <w:t>名  称：贵州钟山野马寨热电有限责任公司</w:t>
      </w:r>
    </w:p>
    <w:p w14:paraId="2D22C72F">
      <w:pPr>
        <w:keepNext w:val="0"/>
        <w:keepLines w:val="0"/>
        <w:pageBreakBefore w:val="0"/>
        <w:widowControl/>
        <w:kinsoku/>
        <w:wordWrap/>
        <w:overflowPunct/>
        <w:topLinePunct w:val="0"/>
        <w:autoSpaceDE/>
        <w:autoSpaceDN/>
        <w:bidi w:val="0"/>
        <w:adjustRightInd/>
        <w:snapToGrid/>
        <w:spacing w:line="360" w:lineRule="auto"/>
        <w:jc w:val="both"/>
        <w:textAlignment w:val="auto"/>
        <w:rPr>
          <w:rStyle w:val="89"/>
          <w:rFonts w:hint="eastAsia" w:ascii="宋体" w:hAnsi="宋体" w:cs="宋体" w:eastAsiaTheme="minorEastAsia"/>
          <w:color w:val="auto"/>
          <w:szCs w:val="22"/>
          <w:lang w:val="en-US" w:eastAsia="zh-CN"/>
        </w:rPr>
      </w:pPr>
      <w:r>
        <w:rPr>
          <w:rStyle w:val="89"/>
          <w:rFonts w:hint="eastAsia" w:ascii="宋体" w:hAnsi="宋体" w:cs="宋体" w:eastAsiaTheme="minorEastAsia"/>
          <w:color w:val="auto"/>
          <w:szCs w:val="22"/>
          <w:lang w:val="en-US" w:eastAsia="zh-CN"/>
        </w:rPr>
        <w:t>开户行：贵州银行金泰支行</w:t>
      </w:r>
    </w:p>
    <w:p w14:paraId="23ED9A4D">
      <w:pPr>
        <w:keepNext w:val="0"/>
        <w:keepLines w:val="0"/>
        <w:pageBreakBefore w:val="0"/>
        <w:widowControl/>
        <w:kinsoku/>
        <w:wordWrap/>
        <w:overflowPunct/>
        <w:topLinePunct w:val="0"/>
        <w:autoSpaceDE/>
        <w:autoSpaceDN/>
        <w:bidi w:val="0"/>
        <w:adjustRightInd/>
        <w:snapToGrid/>
        <w:spacing w:line="360" w:lineRule="auto"/>
        <w:jc w:val="both"/>
        <w:textAlignment w:val="auto"/>
        <w:rPr>
          <w:rStyle w:val="89"/>
          <w:rFonts w:hint="eastAsia" w:ascii="宋体" w:hAnsi="宋体" w:cs="宋体" w:eastAsiaTheme="minorEastAsia"/>
          <w:color w:val="auto"/>
          <w:szCs w:val="22"/>
          <w:lang w:val="en-US" w:eastAsia="zh-CN"/>
        </w:rPr>
      </w:pPr>
      <w:r>
        <w:rPr>
          <w:rStyle w:val="89"/>
          <w:rFonts w:hint="eastAsia" w:ascii="宋体" w:hAnsi="宋体" w:cs="宋体" w:eastAsiaTheme="minorEastAsia"/>
          <w:color w:val="auto"/>
          <w:szCs w:val="22"/>
          <w:lang w:val="en-US" w:eastAsia="zh-CN"/>
        </w:rPr>
        <w:t>账  号: 080180001400006765</w:t>
      </w:r>
    </w:p>
    <w:p w14:paraId="148B8326">
      <w:pPr>
        <w:keepNext w:val="0"/>
        <w:keepLines w:val="0"/>
        <w:pageBreakBefore w:val="0"/>
        <w:widowControl/>
        <w:kinsoku/>
        <w:wordWrap/>
        <w:overflowPunct/>
        <w:topLinePunct w:val="0"/>
        <w:autoSpaceDE/>
        <w:autoSpaceDN/>
        <w:bidi w:val="0"/>
        <w:adjustRightInd/>
        <w:snapToGrid/>
        <w:spacing w:line="360" w:lineRule="auto"/>
        <w:jc w:val="both"/>
        <w:textAlignment w:val="auto"/>
        <w:rPr>
          <w:rStyle w:val="89"/>
          <w:rFonts w:hint="eastAsia" w:ascii="宋体" w:hAnsi="宋体" w:cs="宋体"/>
          <w:szCs w:val="21"/>
          <w:lang w:val="en-US" w:eastAsia="zh-CN"/>
        </w:rPr>
      </w:pPr>
      <w:r>
        <w:rPr>
          <w:rStyle w:val="89"/>
          <w:rFonts w:hint="eastAsia" w:ascii="宋体" w:hAnsi="宋体" w:cs="宋体" w:eastAsiaTheme="minorEastAsia"/>
          <w:color w:val="auto"/>
          <w:szCs w:val="22"/>
          <w:lang w:val="en-US" w:eastAsia="zh-CN"/>
        </w:rPr>
        <w:t>16.1.2.</w:t>
      </w:r>
      <w:r>
        <w:rPr>
          <w:rStyle w:val="89"/>
          <w:rFonts w:hint="eastAsia" w:ascii="宋体" w:hAnsi="宋体" w:cs="宋体" w:eastAsiaTheme="minorEastAsia"/>
          <w:color w:val="auto"/>
          <w:szCs w:val="22"/>
          <w:lang w:val="en-US" w:eastAsia="zh-CN"/>
        </w:rPr>
        <w:fldChar w:fldCharType="begin"/>
      </w:r>
      <w:r>
        <w:rPr>
          <w:rStyle w:val="89"/>
          <w:rFonts w:hint="eastAsia" w:ascii="宋体" w:hAnsi="宋体" w:cs="宋体" w:eastAsiaTheme="minorEastAsia"/>
          <w:color w:val="auto"/>
          <w:szCs w:val="22"/>
          <w:lang w:val="en-US" w:eastAsia="zh-CN"/>
        </w:rPr>
        <w:instrText xml:space="preserve"> HYPERLINK "mailto:供应商谈判保证金缴纳后将银行回执在谈判会议开始前通过邮箱发送至277551725@qq.com。" </w:instrText>
      </w:r>
      <w:r>
        <w:rPr>
          <w:rStyle w:val="89"/>
          <w:rFonts w:hint="eastAsia" w:ascii="宋体" w:hAnsi="宋体" w:cs="宋体" w:eastAsiaTheme="minorEastAsia"/>
          <w:color w:val="auto"/>
          <w:szCs w:val="22"/>
          <w:lang w:val="en-US" w:eastAsia="zh-CN"/>
        </w:rPr>
        <w:fldChar w:fldCharType="separate"/>
      </w:r>
      <w:r>
        <w:rPr>
          <w:rStyle w:val="89"/>
          <w:rFonts w:hint="eastAsia" w:ascii="宋体" w:hAnsi="宋体" w:cs="宋体" w:eastAsiaTheme="minorEastAsia"/>
          <w:color w:val="auto"/>
          <w:szCs w:val="22"/>
          <w:lang w:val="en-US" w:eastAsia="zh-CN"/>
        </w:rPr>
        <w:t>供应商缴纳谈判保证金后将银行回执在</w:t>
      </w:r>
      <w:r>
        <w:rPr>
          <w:rStyle w:val="89"/>
          <w:rFonts w:hint="eastAsia" w:ascii="宋体" w:hAnsi="宋体" w:cs="宋体" w:eastAsiaTheme="minorEastAsia"/>
          <w:b/>
          <w:bCs/>
          <w:color w:val="auto"/>
          <w:szCs w:val="22"/>
          <w:lang w:val="en-US" w:eastAsia="zh-CN"/>
        </w:rPr>
        <w:t>2025年9月17日上午10:00分</w:t>
      </w:r>
      <w:r>
        <w:rPr>
          <w:rStyle w:val="89"/>
          <w:rFonts w:hint="eastAsia" w:ascii="宋体" w:hAnsi="宋体" w:cs="宋体" w:eastAsiaTheme="minorEastAsia"/>
          <w:color w:val="auto"/>
          <w:szCs w:val="22"/>
          <w:lang w:val="en-US" w:eastAsia="zh-CN"/>
        </w:rPr>
        <w:t>前通过邮箱发送至</w:t>
      </w:r>
      <w:r>
        <w:rPr>
          <w:rFonts w:hint="eastAsia" w:ascii="宋体" w:hAnsi="宋体" w:eastAsia="宋体" w:cs="宋体"/>
          <w:color w:val="auto"/>
          <w:szCs w:val="21"/>
          <w:lang w:val="en-US" w:eastAsia="zh-CN"/>
        </w:rPr>
        <w:t>3696059436@qq.com</w:t>
      </w:r>
      <w:r>
        <w:rPr>
          <w:rStyle w:val="89"/>
          <w:rFonts w:hint="eastAsia" w:ascii="宋体" w:hAnsi="宋体" w:cs="宋体" w:eastAsiaTheme="minorEastAsia"/>
          <w:color w:val="auto"/>
          <w:szCs w:val="22"/>
          <w:lang w:val="en-US" w:eastAsia="zh-CN"/>
        </w:rPr>
        <w:t>。</w:t>
      </w:r>
      <w:r>
        <w:rPr>
          <w:rStyle w:val="89"/>
          <w:rFonts w:hint="eastAsia" w:ascii="宋体" w:hAnsi="宋体" w:cs="宋体" w:eastAsiaTheme="minorEastAsia"/>
          <w:color w:val="auto"/>
          <w:szCs w:val="22"/>
          <w:lang w:val="en-US" w:eastAsia="zh-CN"/>
        </w:rPr>
        <w:fldChar w:fldCharType="end"/>
      </w:r>
    </w:p>
    <w:p w14:paraId="6CD3E642">
      <w:pPr>
        <w:autoSpaceDE w:val="0"/>
        <w:autoSpaceDN w:val="0"/>
        <w:adjustRightInd w:val="0"/>
        <w:spacing w:line="360" w:lineRule="auto"/>
        <w:jc w:val="both"/>
        <w:rPr>
          <w:rStyle w:val="89"/>
          <w:rFonts w:hint="eastAsia" w:ascii="宋体" w:hAnsi="宋体" w:cs="宋体" w:eastAsiaTheme="minorEastAsia"/>
          <w:color w:val="auto"/>
          <w:szCs w:val="22"/>
          <w:lang w:val="en-US" w:eastAsia="zh-CN"/>
        </w:rPr>
      </w:pPr>
      <w:r>
        <w:rPr>
          <w:rFonts w:hint="eastAsia" w:ascii="宋体" w:hAnsi="宋体" w:cs="宋体"/>
          <w:lang w:val="en-US" w:eastAsia="zh-CN"/>
        </w:rPr>
        <w:t>16.</w:t>
      </w:r>
      <w:r>
        <w:rPr>
          <w:rFonts w:hint="eastAsia" w:ascii="宋体" w:hAnsi="宋体" w:cs="宋体"/>
        </w:rPr>
        <w:t>2</w:t>
      </w:r>
      <w:r>
        <w:rPr>
          <w:rFonts w:hint="eastAsia" w:ascii="宋体" w:hAnsi="宋体" w:cs="宋体"/>
          <w:lang w:eastAsia="zh-CN"/>
        </w:rPr>
        <w:t>.</w:t>
      </w:r>
      <w:r>
        <w:rPr>
          <w:rFonts w:hint="eastAsia" w:ascii="宋体" w:hAnsi="宋体" w:cs="宋体"/>
          <w:lang w:val="en-US" w:eastAsia="zh-CN"/>
        </w:rPr>
        <w:t>谈判</w:t>
      </w:r>
      <w:r>
        <w:rPr>
          <w:rStyle w:val="89"/>
          <w:rFonts w:hint="eastAsia" w:ascii="宋体" w:hAnsi="宋体" w:cs="宋体"/>
          <w:szCs w:val="21"/>
        </w:rPr>
        <w:t>保证金</w:t>
      </w:r>
      <w:r>
        <w:rPr>
          <w:rStyle w:val="89"/>
          <w:rFonts w:hint="eastAsia" w:ascii="宋体" w:hAnsi="宋体" w:cs="宋体"/>
          <w:szCs w:val="21"/>
          <w:lang w:val="en-US" w:eastAsia="zh-CN"/>
        </w:rPr>
        <w:t>缴纳</w:t>
      </w:r>
      <w:r>
        <w:rPr>
          <w:rStyle w:val="89"/>
          <w:rFonts w:hint="eastAsia" w:ascii="宋体" w:hAnsi="宋体" w:cs="宋体"/>
          <w:szCs w:val="21"/>
        </w:rPr>
        <w:t>金额（元）:</w:t>
      </w:r>
      <w:r>
        <w:rPr>
          <w:rStyle w:val="89"/>
          <w:rFonts w:hint="eastAsia" w:ascii="宋体" w:hAnsi="宋体" w:cs="宋体"/>
          <w:szCs w:val="21"/>
          <w:u w:val="single"/>
          <w:lang w:val="en-US" w:eastAsia="zh-CN"/>
        </w:rPr>
        <w:t>2</w:t>
      </w:r>
      <w:r>
        <w:rPr>
          <w:rStyle w:val="89"/>
          <w:rFonts w:hint="eastAsia" w:ascii="宋体" w:hAnsi="宋体" w:cs="宋体" w:eastAsiaTheme="minorEastAsia"/>
          <w:color w:val="auto"/>
          <w:szCs w:val="22"/>
          <w:u w:val="single"/>
          <w:lang w:val="en-US" w:eastAsia="zh-CN"/>
        </w:rPr>
        <w:t>0,000.00元</w:t>
      </w:r>
      <w:r>
        <w:rPr>
          <w:rStyle w:val="89"/>
          <w:rFonts w:hint="eastAsia" w:ascii="宋体" w:hAnsi="宋体" w:cs="宋体" w:eastAsiaTheme="minorEastAsia"/>
          <w:color w:val="auto"/>
          <w:szCs w:val="22"/>
          <w:lang w:val="en-US" w:eastAsia="zh-CN"/>
        </w:rPr>
        <w:t>（大写：人民币贰万元整）</w:t>
      </w:r>
    </w:p>
    <w:p w14:paraId="06C4E3F6">
      <w:pPr>
        <w:keepNext w:val="0"/>
        <w:keepLines w:val="0"/>
        <w:pageBreakBefore w:val="0"/>
        <w:widowControl/>
        <w:kinsoku/>
        <w:wordWrap/>
        <w:overflowPunct/>
        <w:topLinePunct w:val="0"/>
        <w:autoSpaceDE/>
        <w:autoSpaceDN/>
        <w:bidi w:val="0"/>
        <w:adjustRightInd/>
        <w:snapToGrid/>
        <w:spacing w:line="360" w:lineRule="auto"/>
        <w:jc w:val="both"/>
        <w:textAlignment w:val="auto"/>
        <w:rPr>
          <w:rStyle w:val="89"/>
          <w:rFonts w:hint="eastAsia" w:ascii="宋体" w:hAnsi="宋体" w:cs="宋体" w:eastAsiaTheme="minorEastAsia"/>
          <w:color w:val="auto"/>
          <w:szCs w:val="22"/>
          <w:lang w:val="en-US" w:eastAsia="zh-CN"/>
        </w:rPr>
      </w:pPr>
      <w:r>
        <w:rPr>
          <w:rStyle w:val="89"/>
          <w:rFonts w:hint="eastAsia" w:ascii="宋体" w:hAnsi="宋体" w:cs="宋体" w:eastAsiaTheme="minorEastAsia"/>
          <w:color w:val="auto"/>
          <w:szCs w:val="22"/>
          <w:lang w:val="en-US" w:eastAsia="zh-CN"/>
        </w:rPr>
        <w:t>16.3.保证金退还要求：</w:t>
      </w:r>
    </w:p>
    <w:p w14:paraId="0F0295AB">
      <w:pPr>
        <w:keepNext w:val="0"/>
        <w:keepLines w:val="0"/>
        <w:pageBreakBefore w:val="0"/>
        <w:widowControl/>
        <w:kinsoku/>
        <w:wordWrap/>
        <w:overflowPunct/>
        <w:topLinePunct w:val="0"/>
        <w:autoSpaceDE/>
        <w:autoSpaceDN/>
        <w:bidi w:val="0"/>
        <w:adjustRightInd/>
        <w:snapToGrid/>
        <w:spacing w:line="360" w:lineRule="auto"/>
        <w:ind w:left="-363" w:firstLine="420" w:firstLineChars="200"/>
        <w:jc w:val="both"/>
        <w:textAlignment w:val="auto"/>
        <w:rPr>
          <w:rStyle w:val="89"/>
          <w:rFonts w:hint="eastAsia" w:ascii="宋体" w:hAnsi="宋体" w:cs="宋体" w:eastAsiaTheme="minorEastAsia"/>
          <w:color w:val="auto"/>
          <w:szCs w:val="22"/>
          <w:lang w:val="en-US" w:eastAsia="zh-CN"/>
        </w:rPr>
      </w:pPr>
      <w:r>
        <w:rPr>
          <w:rStyle w:val="89"/>
          <w:rFonts w:hint="eastAsia" w:ascii="宋体" w:hAnsi="宋体" w:cs="宋体" w:eastAsiaTheme="minorEastAsia"/>
          <w:color w:val="auto"/>
          <w:szCs w:val="22"/>
          <w:lang w:val="en-US" w:eastAsia="zh-CN"/>
        </w:rPr>
        <w:t>16.3.1.谈判保证金在谈判会议结束后15个工作日内无息返还至供应商账户。</w:t>
      </w:r>
    </w:p>
    <w:p w14:paraId="6414AB38">
      <w:pPr>
        <w:keepNext w:val="0"/>
        <w:keepLines w:val="0"/>
        <w:pageBreakBefore w:val="0"/>
        <w:widowControl/>
        <w:kinsoku/>
        <w:wordWrap/>
        <w:overflowPunct/>
        <w:topLinePunct w:val="0"/>
        <w:autoSpaceDE/>
        <w:autoSpaceDN/>
        <w:bidi w:val="0"/>
        <w:adjustRightInd/>
        <w:snapToGrid/>
        <w:spacing w:line="360" w:lineRule="auto"/>
        <w:ind w:left="-363" w:firstLine="420" w:firstLineChars="200"/>
        <w:jc w:val="both"/>
        <w:textAlignment w:val="auto"/>
        <w:rPr>
          <w:rStyle w:val="89"/>
          <w:rFonts w:hint="eastAsia" w:ascii="宋体" w:hAnsi="宋体" w:cs="宋体" w:eastAsiaTheme="minorEastAsia"/>
          <w:color w:val="auto"/>
          <w:szCs w:val="22"/>
          <w:lang w:val="en-US" w:eastAsia="zh-CN"/>
        </w:rPr>
      </w:pPr>
      <w:r>
        <w:rPr>
          <w:rStyle w:val="89"/>
          <w:rFonts w:hint="eastAsia" w:ascii="宋体" w:hAnsi="宋体" w:cs="宋体" w:eastAsiaTheme="minorEastAsia"/>
          <w:color w:val="auto"/>
          <w:szCs w:val="22"/>
          <w:lang w:val="en-US" w:eastAsia="zh-CN"/>
        </w:rPr>
        <w:t>16.3.2.若供应商报名成功且已缴纳谈判保证金，未参与竞争性谈判会议的保证金将不予退还。</w:t>
      </w:r>
    </w:p>
    <w:p w14:paraId="6F00F988">
      <w:pPr>
        <w:keepNext w:val="0"/>
        <w:keepLines w:val="0"/>
        <w:pageBreakBefore w:val="0"/>
        <w:widowControl/>
        <w:kinsoku/>
        <w:wordWrap/>
        <w:overflowPunct/>
        <w:topLinePunct w:val="0"/>
        <w:autoSpaceDE/>
        <w:autoSpaceDN/>
        <w:bidi w:val="0"/>
        <w:adjustRightInd/>
        <w:snapToGrid/>
        <w:spacing w:line="360" w:lineRule="auto"/>
        <w:ind w:left="57" w:leftChars="27" w:firstLine="0" w:firstLineChars="0"/>
        <w:jc w:val="both"/>
        <w:textAlignment w:val="auto"/>
        <w:rPr>
          <w:rStyle w:val="89"/>
          <w:rFonts w:hint="eastAsia" w:ascii="宋体" w:hAnsi="宋体" w:cs="宋体" w:eastAsiaTheme="minorEastAsia"/>
          <w:color w:val="auto"/>
          <w:szCs w:val="22"/>
          <w:lang w:val="en-US" w:eastAsia="zh-CN"/>
        </w:rPr>
      </w:pPr>
      <w:r>
        <w:rPr>
          <w:rStyle w:val="89"/>
          <w:rFonts w:hint="eastAsia" w:ascii="宋体" w:hAnsi="宋体" w:cs="宋体" w:eastAsiaTheme="minorEastAsia"/>
          <w:color w:val="auto"/>
          <w:szCs w:val="22"/>
          <w:lang w:val="en-US" w:eastAsia="zh-CN"/>
        </w:rPr>
        <w:t>16.3.3.若供应商收到采购人发出的《中标通知书》后，未在《中标通知书》约定时间内与采购人签订合同及缴纳合同履约保证金的，谈判保证金将不予退还。</w:t>
      </w:r>
    </w:p>
    <w:p w14:paraId="1A118980">
      <w:pPr>
        <w:keepNext w:val="0"/>
        <w:keepLines w:val="0"/>
        <w:pageBreakBefore w:val="0"/>
        <w:widowControl/>
        <w:kinsoku/>
        <w:wordWrap/>
        <w:overflowPunct/>
        <w:topLinePunct w:val="0"/>
        <w:autoSpaceDE/>
        <w:autoSpaceDN/>
        <w:bidi w:val="0"/>
        <w:adjustRightInd/>
        <w:snapToGrid/>
        <w:spacing w:line="360" w:lineRule="auto"/>
        <w:ind w:left="57" w:leftChars="27" w:firstLine="0" w:firstLineChars="0"/>
        <w:jc w:val="both"/>
        <w:textAlignment w:val="auto"/>
        <w:rPr>
          <w:rStyle w:val="89"/>
          <w:rFonts w:hint="default" w:ascii="宋体" w:hAnsi="宋体" w:cs="宋体" w:eastAsiaTheme="minorEastAsia"/>
          <w:color w:val="auto"/>
          <w:szCs w:val="22"/>
          <w:lang w:val="en-US" w:eastAsia="zh-CN"/>
        </w:rPr>
      </w:pPr>
      <w:r>
        <w:rPr>
          <w:rStyle w:val="89"/>
          <w:rFonts w:hint="eastAsia" w:ascii="宋体" w:hAnsi="宋体" w:cs="宋体" w:eastAsiaTheme="minorEastAsia"/>
          <w:color w:val="auto"/>
          <w:szCs w:val="22"/>
          <w:lang w:val="en-US" w:eastAsia="zh-CN"/>
        </w:rPr>
        <w:t>16.3.4.若供应商选择将此谈判保证金做为下一个批次燃煤采购项目谈判保证金，则本次谈判保证金不予退还，供应商参与后续批次燃煤采购项目无需重新缴纳谈判保证金；若后期供应商不参与其他批次燃煤采购项目，选择退还谈判保证金，由供应商提出申请，采购人于15个工作日内无息返还。</w:t>
      </w:r>
    </w:p>
    <w:p w14:paraId="79E03755">
      <w:pPr>
        <w:autoSpaceDE w:val="0"/>
        <w:autoSpaceDN w:val="0"/>
        <w:adjustRightInd w:val="0"/>
        <w:spacing w:line="360" w:lineRule="auto"/>
        <w:jc w:val="left"/>
        <w:rPr>
          <w:rStyle w:val="89"/>
          <w:rFonts w:hint="default" w:ascii="宋体" w:hAnsi="宋体" w:cs="宋体" w:eastAsiaTheme="minorEastAsia"/>
          <w:color w:val="auto"/>
          <w:szCs w:val="22"/>
          <w:lang w:val="en-US" w:eastAsia="zh-CN"/>
        </w:rPr>
      </w:pPr>
    </w:p>
    <w:p w14:paraId="4B9D8B47">
      <w:pPr>
        <w:keepNext w:val="0"/>
        <w:keepLines w:val="0"/>
        <w:pageBreakBefore w:val="0"/>
        <w:kinsoku/>
        <w:wordWrap/>
        <w:overflowPunct/>
        <w:topLinePunct w:val="0"/>
        <w:autoSpaceDE/>
        <w:autoSpaceDN/>
        <w:bidi w:val="0"/>
        <w:spacing w:line="432" w:lineRule="auto"/>
        <w:jc w:val="center"/>
        <w:textAlignment w:val="auto"/>
        <w:rPr>
          <w:rFonts w:hint="eastAsia" w:ascii="宋体" w:hAnsi="宋体" w:eastAsia="宋体" w:cs="宋体"/>
          <w:b/>
          <w:bCs/>
          <w:color w:val="auto"/>
          <w:szCs w:val="21"/>
          <w:lang w:eastAsia="zh-CN"/>
        </w:rPr>
      </w:pPr>
      <w:r>
        <w:rPr>
          <w:rFonts w:hint="eastAsia" w:ascii="宋体" w:hAnsi="宋体" w:eastAsia="宋体" w:cs="宋体"/>
          <w:b/>
          <w:bCs/>
          <w:color w:val="auto"/>
          <w:szCs w:val="21"/>
        </w:rPr>
        <w:t xml:space="preserve">E </w:t>
      </w:r>
      <w:r>
        <w:rPr>
          <w:rFonts w:hint="eastAsia" w:ascii="宋体" w:hAnsi="宋体" w:cs="宋体"/>
          <w:b/>
          <w:bCs/>
          <w:color w:val="auto"/>
          <w:szCs w:val="21"/>
          <w:lang w:eastAsia="zh-CN"/>
        </w:rPr>
        <w:t>谈判</w:t>
      </w:r>
    </w:p>
    <w:p w14:paraId="4F27DD9A">
      <w:pPr>
        <w:keepNext w:val="0"/>
        <w:keepLines w:val="0"/>
        <w:pageBreakBefore w:val="0"/>
        <w:kinsoku/>
        <w:wordWrap/>
        <w:overflowPunct/>
        <w:topLinePunct w:val="0"/>
        <w:autoSpaceDE/>
        <w:autoSpaceDN/>
        <w:bidi w:val="0"/>
        <w:spacing w:line="432" w:lineRule="auto"/>
        <w:textAlignment w:val="auto"/>
        <w:rPr>
          <w:rFonts w:hint="eastAsia" w:ascii="宋体" w:hAnsi="宋体" w:eastAsia="宋体" w:cs="宋体"/>
          <w:color w:val="auto"/>
        </w:rPr>
      </w:pPr>
      <w:r>
        <w:rPr>
          <w:rFonts w:hint="eastAsia" w:ascii="宋体" w:hAnsi="宋体" w:eastAsia="宋体" w:cs="宋体"/>
          <w:color w:val="auto"/>
        </w:rPr>
        <w:t>17．</w:t>
      </w:r>
      <w:r>
        <w:rPr>
          <w:rFonts w:hint="eastAsia" w:ascii="宋体" w:hAnsi="宋体" w:cs="宋体"/>
          <w:color w:val="auto"/>
          <w:lang w:eastAsia="zh-CN"/>
        </w:rPr>
        <w:t>谈判</w:t>
      </w:r>
      <w:r>
        <w:rPr>
          <w:rFonts w:hint="eastAsia" w:ascii="宋体" w:hAnsi="宋体" w:eastAsia="宋体" w:cs="宋体"/>
          <w:color w:val="auto"/>
        </w:rPr>
        <w:t>：</w:t>
      </w:r>
    </w:p>
    <w:p w14:paraId="714650E1">
      <w:pPr>
        <w:keepNext w:val="0"/>
        <w:keepLines w:val="0"/>
        <w:pageBreakBefore w:val="0"/>
        <w:kinsoku/>
        <w:wordWrap/>
        <w:overflowPunct/>
        <w:topLinePunct w:val="0"/>
        <w:autoSpaceDE/>
        <w:autoSpaceDN/>
        <w:bidi w:val="0"/>
        <w:spacing w:line="432" w:lineRule="auto"/>
        <w:textAlignment w:val="auto"/>
        <w:rPr>
          <w:rFonts w:hint="eastAsia" w:ascii="宋体" w:hAnsi="宋体" w:eastAsia="宋体" w:cs="宋体"/>
          <w:color w:val="auto"/>
          <w:szCs w:val="21"/>
        </w:rPr>
      </w:pPr>
      <w:r>
        <w:rPr>
          <w:rFonts w:hint="eastAsia" w:ascii="宋体" w:hAnsi="宋体" w:eastAsia="宋体" w:cs="宋体"/>
          <w:color w:val="auto"/>
          <w:szCs w:val="21"/>
        </w:rPr>
        <w:t>17.1</w:t>
      </w:r>
      <w:r>
        <w:rPr>
          <w:rFonts w:hint="eastAsia" w:ascii="宋体" w:hAnsi="宋体" w:cs="宋体"/>
          <w:color w:val="auto"/>
          <w:szCs w:val="21"/>
          <w:lang w:eastAsia="zh-CN"/>
        </w:rPr>
        <w:t>谈判</w:t>
      </w:r>
      <w:r>
        <w:rPr>
          <w:rFonts w:hint="eastAsia" w:ascii="宋体" w:hAnsi="宋体" w:eastAsia="宋体" w:cs="宋体"/>
          <w:color w:val="auto"/>
          <w:szCs w:val="21"/>
        </w:rPr>
        <w:t>应当在</w:t>
      </w:r>
      <w:r>
        <w:rPr>
          <w:rFonts w:hint="eastAsia" w:ascii="宋体" w:hAnsi="宋体" w:cs="宋体"/>
          <w:color w:val="auto"/>
          <w:szCs w:val="21"/>
          <w:lang w:eastAsia="zh-CN"/>
        </w:rPr>
        <w:t>竞争性谈判</w:t>
      </w:r>
      <w:r>
        <w:rPr>
          <w:rFonts w:hint="eastAsia" w:ascii="宋体" w:hAnsi="宋体" w:eastAsia="宋体" w:cs="宋体"/>
          <w:color w:val="auto"/>
          <w:szCs w:val="21"/>
        </w:rPr>
        <w:t>文件确定的提交响应文件截止时间的同一时间进行。</w:t>
      </w:r>
      <w:r>
        <w:rPr>
          <w:rFonts w:hint="eastAsia" w:ascii="宋体" w:hAnsi="宋体" w:cs="宋体"/>
          <w:color w:val="auto"/>
          <w:szCs w:val="21"/>
          <w:lang w:eastAsia="zh-CN"/>
        </w:rPr>
        <w:t>谈判</w:t>
      </w:r>
      <w:r>
        <w:rPr>
          <w:rFonts w:hint="eastAsia" w:ascii="宋体" w:hAnsi="宋体" w:eastAsia="宋体" w:cs="宋体"/>
          <w:color w:val="auto"/>
          <w:szCs w:val="21"/>
        </w:rPr>
        <w:t>地点为</w:t>
      </w:r>
      <w:r>
        <w:rPr>
          <w:rFonts w:hint="eastAsia" w:ascii="宋体" w:hAnsi="宋体" w:cs="宋体"/>
          <w:color w:val="auto"/>
          <w:szCs w:val="21"/>
          <w:lang w:eastAsia="zh-CN"/>
        </w:rPr>
        <w:t>竞争性谈判</w:t>
      </w:r>
      <w:r>
        <w:rPr>
          <w:rFonts w:hint="eastAsia" w:ascii="宋体" w:hAnsi="宋体" w:eastAsia="宋体" w:cs="宋体"/>
          <w:color w:val="auto"/>
          <w:szCs w:val="21"/>
        </w:rPr>
        <w:t>文件中预先确定的地点。</w:t>
      </w:r>
    </w:p>
    <w:p w14:paraId="2583352C">
      <w:pPr>
        <w:keepNext w:val="0"/>
        <w:keepLines w:val="0"/>
        <w:pageBreakBefore w:val="0"/>
        <w:kinsoku/>
        <w:wordWrap/>
        <w:overflowPunct/>
        <w:topLinePunct w:val="0"/>
        <w:autoSpaceDE/>
        <w:autoSpaceDN/>
        <w:bidi w:val="0"/>
        <w:spacing w:line="432" w:lineRule="auto"/>
        <w:textAlignment w:val="auto"/>
        <w:rPr>
          <w:rFonts w:hint="eastAsia" w:ascii="宋体" w:hAnsi="宋体" w:eastAsia="宋体" w:cs="宋体"/>
          <w:color w:val="auto"/>
          <w:szCs w:val="21"/>
        </w:rPr>
      </w:pPr>
      <w:r>
        <w:rPr>
          <w:rFonts w:hint="eastAsia" w:ascii="宋体" w:hAnsi="宋体" w:eastAsia="宋体" w:cs="宋体"/>
          <w:color w:val="auto"/>
          <w:szCs w:val="21"/>
        </w:rPr>
        <w:t>17.2</w:t>
      </w:r>
      <w:r>
        <w:rPr>
          <w:rFonts w:hint="eastAsia" w:ascii="宋体" w:hAnsi="宋体" w:cs="宋体"/>
          <w:color w:val="auto"/>
          <w:szCs w:val="21"/>
          <w:lang w:eastAsia="zh-CN"/>
        </w:rPr>
        <w:t>谈判</w:t>
      </w:r>
      <w:r>
        <w:rPr>
          <w:rFonts w:hint="eastAsia" w:ascii="宋体" w:hAnsi="宋体" w:eastAsia="宋体" w:cs="宋体"/>
          <w:color w:val="auto"/>
          <w:szCs w:val="21"/>
        </w:rPr>
        <w:t>由采购</w:t>
      </w:r>
      <w:r>
        <w:rPr>
          <w:rFonts w:hint="eastAsia" w:ascii="宋体" w:hAnsi="宋体" w:cs="宋体"/>
          <w:color w:val="auto"/>
          <w:szCs w:val="21"/>
          <w:lang w:val="en-US" w:eastAsia="zh-CN"/>
        </w:rPr>
        <w:t>人</w:t>
      </w:r>
      <w:r>
        <w:rPr>
          <w:rFonts w:hint="eastAsia" w:ascii="宋体" w:hAnsi="宋体" w:eastAsia="宋体" w:cs="宋体"/>
          <w:color w:val="auto"/>
          <w:szCs w:val="21"/>
        </w:rPr>
        <w:t>主持，邀请</w:t>
      </w:r>
      <w:r>
        <w:rPr>
          <w:rFonts w:hint="eastAsia" w:ascii="宋体" w:hAnsi="宋体" w:cs="宋体"/>
          <w:color w:val="auto"/>
          <w:szCs w:val="21"/>
          <w:lang w:eastAsia="zh-CN"/>
        </w:rPr>
        <w:t>谈判</w:t>
      </w:r>
      <w:r>
        <w:rPr>
          <w:rFonts w:hint="eastAsia" w:ascii="宋体" w:hAnsi="宋体" w:eastAsia="宋体" w:cs="宋体"/>
          <w:color w:val="auto"/>
          <w:szCs w:val="21"/>
        </w:rPr>
        <w:t>供应商参加。非</w:t>
      </w:r>
      <w:r>
        <w:rPr>
          <w:rFonts w:hint="eastAsia" w:ascii="宋体" w:hAnsi="宋体" w:cs="宋体"/>
          <w:color w:val="auto"/>
          <w:szCs w:val="21"/>
          <w:lang w:eastAsia="zh-CN"/>
        </w:rPr>
        <w:t>竞争性谈判</w:t>
      </w:r>
      <w:r>
        <w:rPr>
          <w:rFonts w:hint="eastAsia" w:ascii="宋体" w:hAnsi="宋体" w:eastAsia="宋体" w:cs="宋体"/>
          <w:color w:val="auto"/>
          <w:szCs w:val="21"/>
        </w:rPr>
        <w:t>小组成员不得参加</w:t>
      </w:r>
      <w:r>
        <w:rPr>
          <w:rFonts w:hint="eastAsia" w:ascii="宋体" w:hAnsi="宋体" w:cs="宋体"/>
          <w:color w:val="auto"/>
          <w:szCs w:val="21"/>
          <w:lang w:eastAsia="zh-CN"/>
        </w:rPr>
        <w:t>竞争性谈判</w:t>
      </w:r>
      <w:r>
        <w:rPr>
          <w:rFonts w:hint="eastAsia" w:ascii="宋体" w:hAnsi="宋体" w:eastAsia="宋体" w:cs="宋体"/>
          <w:color w:val="auto"/>
          <w:szCs w:val="21"/>
        </w:rPr>
        <w:t>活动。</w:t>
      </w:r>
    </w:p>
    <w:p w14:paraId="65A3611B">
      <w:pPr>
        <w:keepNext w:val="0"/>
        <w:keepLines w:val="0"/>
        <w:pageBreakBefore w:val="0"/>
        <w:kinsoku/>
        <w:wordWrap/>
        <w:overflowPunct/>
        <w:topLinePunct w:val="0"/>
        <w:autoSpaceDE/>
        <w:autoSpaceDN/>
        <w:bidi w:val="0"/>
        <w:spacing w:line="432" w:lineRule="auto"/>
        <w:textAlignment w:val="auto"/>
        <w:rPr>
          <w:rFonts w:hint="eastAsia" w:ascii="宋体" w:hAnsi="宋体" w:eastAsia="宋体" w:cs="宋体"/>
          <w:color w:val="auto"/>
          <w:szCs w:val="21"/>
        </w:rPr>
      </w:pPr>
      <w:r>
        <w:rPr>
          <w:rFonts w:hint="eastAsia" w:ascii="宋体" w:hAnsi="宋体" w:eastAsia="宋体" w:cs="宋体"/>
          <w:color w:val="auto"/>
          <w:szCs w:val="21"/>
        </w:rPr>
        <w:t>17.3</w:t>
      </w:r>
      <w:r>
        <w:rPr>
          <w:rFonts w:hint="eastAsia" w:ascii="宋体" w:hAnsi="宋体" w:cs="宋体"/>
          <w:color w:val="auto"/>
          <w:szCs w:val="21"/>
          <w:lang w:eastAsia="zh-CN"/>
        </w:rPr>
        <w:t>谈判</w:t>
      </w:r>
      <w:r>
        <w:rPr>
          <w:rFonts w:hint="eastAsia" w:ascii="宋体" w:hAnsi="宋体" w:eastAsia="宋体" w:cs="宋体"/>
          <w:color w:val="auto"/>
          <w:szCs w:val="21"/>
        </w:rPr>
        <w:t>时，应当由供应商或者其推选的代表检查响应文件的密封情况；经确认无误后。宣布供应商名称、</w:t>
      </w:r>
      <w:r>
        <w:rPr>
          <w:rFonts w:hint="eastAsia" w:ascii="宋体" w:hAnsi="宋体" w:cs="宋体"/>
          <w:color w:val="auto"/>
          <w:szCs w:val="21"/>
          <w:lang w:eastAsia="zh-CN"/>
        </w:rPr>
        <w:t>竞争性谈判</w:t>
      </w:r>
      <w:r>
        <w:rPr>
          <w:rFonts w:hint="eastAsia" w:ascii="宋体" w:hAnsi="宋体" w:eastAsia="宋体" w:cs="宋体"/>
          <w:color w:val="auto"/>
          <w:szCs w:val="21"/>
        </w:rPr>
        <w:t>文件规定的需要宣布的其他内容。</w:t>
      </w:r>
    </w:p>
    <w:p w14:paraId="2F76313B">
      <w:pPr>
        <w:keepNext w:val="0"/>
        <w:keepLines w:val="0"/>
        <w:pageBreakBefore w:val="0"/>
        <w:kinsoku/>
        <w:wordWrap/>
        <w:overflowPunct/>
        <w:topLinePunct w:val="0"/>
        <w:autoSpaceDE/>
        <w:autoSpaceDN/>
        <w:bidi w:val="0"/>
        <w:spacing w:line="432" w:lineRule="auto"/>
        <w:textAlignment w:val="auto"/>
        <w:rPr>
          <w:rFonts w:hint="eastAsia" w:ascii="宋体" w:hAnsi="宋体" w:eastAsia="宋体" w:cs="宋体"/>
          <w:color w:val="auto"/>
          <w:szCs w:val="21"/>
        </w:rPr>
      </w:pPr>
      <w:r>
        <w:rPr>
          <w:rFonts w:hint="eastAsia" w:ascii="宋体" w:hAnsi="宋体" w:eastAsia="宋体" w:cs="宋体"/>
          <w:color w:val="auto"/>
          <w:szCs w:val="21"/>
        </w:rPr>
        <w:t>17.4供应商不足3家的，不得</w:t>
      </w:r>
      <w:r>
        <w:rPr>
          <w:rFonts w:hint="eastAsia" w:ascii="宋体" w:hAnsi="宋体" w:cs="宋体"/>
          <w:color w:val="auto"/>
          <w:szCs w:val="21"/>
          <w:lang w:eastAsia="zh-CN"/>
        </w:rPr>
        <w:t>谈判</w:t>
      </w:r>
      <w:r>
        <w:rPr>
          <w:rFonts w:hint="eastAsia" w:ascii="宋体" w:hAnsi="宋体" w:eastAsia="宋体" w:cs="宋体"/>
          <w:color w:val="auto"/>
          <w:szCs w:val="21"/>
        </w:rPr>
        <w:t>。</w:t>
      </w:r>
    </w:p>
    <w:p w14:paraId="359EC581">
      <w:pPr>
        <w:keepNext w:val="0"/>
        <w:keepLines w:val="0"/>
        <w:pageBreakBefore w:val="0"/>
        <w:kinsoku/>
        <w:wordWrap/>
        <w:overflowPunct/>
        <w:topLinePunct w:val="0"/>
        <w:autoSpaceDE/>
        <w:autoSpaceDN/>
        <w:bidi w:val="0"/>
        <w:spacing w:line="432" w:lineRule="auto"/>
        <w:textAlignment w:val="auto"/>
        <w:rPr>
          <w:rFonts w:hint="eastAsia" w:ascii="宋体" w:hAnsi="宋体" w:eastAsia="宋体" w:cs="宋体"/>
          <w:color w:val="auto"/>
          <w:szCs w:val="21"/>
        </w:rPr>
      </w:pPr>
      <w:r>
        <w:rPr>
          <w:rFonts w:hint="eastAsia" w:ascii="宋体" w:hAnsi="宋体" w:eastAsia="宋体" w:cs="宋体"/>
          <w:color w:val="auto"/>
          <w:szCs w:val="21"/>
        </w:rPr>
        <w:t>17.5</w:t>
      </w:r>
      <w:r>
        <w:rPr>
          <w:rFonts w:hint="eastAsia" w:ascii="宋体" w:hAnsi="宋体" w:cs="宋体"/>
          <w:color w:val="auto"/>
          <w:szCs w:val="21"/>
          <w:lang w:eastAsia="zh-CN"/>
        </w:rPr>
        <w:t>谈判</w:t>
      </w:r>
      <w:r>
        <w:rPr>
          <w:rFonts w:hint="eastAsia" w:ascii="宋体" w:hAnsi="宋体" w:eastAsia="宋体" w:cs="宋体"/>
          <w:color w:val="auto"/>
          <w:szCs w:val="21"/>
        </w:rPr>
        <w:t>过程应当</w:t>
      </w:r>
      <w:r>
        <w:rPr>
          <w:rFonts w:hint="eastAsia" w:ascii="宋体" w:hAnsi="宋体" w:cs="宋体"/>
          <w:color w:val="auto"/>
          <w:szCs w:val="21"/>
          <w:lang w:val="en-US" w:eastAsia="zh-CN"/>
        </w:rPr>
        <w:t>进行</w:t>
      </w:r>
      <w:r>
        <w:rPr>
          <w:rFonts w:hint="eastAsia" w:ascii="宋体" w:hAnsi="宋体" w:eastAsia="宋体" w:cs="宋体"/>
          <w:color w:val="auto"/>
          <w:szCs w:val="21"/>
        </w:rPr>
        <w:t>记录，由参加</w:t>
      </w:r>
      <w:r>
        <w:rPr>
          <w:rFonts w:hint="eastAsia" w:ascii="宋体" w:hAnsi="宋体" w:cs="宋体"/>
          <w:color w:val="auto"/>
          <w:szCs w:val="21"/>
          <w:lang w:eastAsia="zh-CN"/>
        </w:rPr>
        <w:t>谈判</w:t>
      </w:r>
      <w:r>
        <w:rPr>
          <w:rFonts w:hint="eastAsia" w:ascii="宋体" w:hAnsi="宋体" w:eastAsia="宋体" w:cs="宋体"/>
          <w:color w:val="auto"/>
          <w:szCs w:val="21"/>
        </w:rPr>
        <w:t>的各供应商代表和相关工作人员签字确认后随</w:t>
      </w:r>
      <w:r>
        <w:rPr>
          <w:rFonts w:hint="eastAsia" w:ascii="宋体" w:hAnsi="宋体" w:cs="宋体"/>
          <w:color w:val="auto"/>
          <w:szCs w:val="21"/>
          <w:lang w:eastAsia="zh-CN"/>
        </w:rPr>
        <w:t>竞争性谈判</w:t>
      </w:r>
      <w:r>
        <w:rPr>
          <w:rFonts w:hint="eastAsia" w:ascii="宋体" w:hAnsi="宋体" w:eastAsia="宋体" w:cs="宋体"/>
          <w:color w:val="auto"/>
          <w:szCs w:val="21"/>
        </w:rPr>
        <w:t>文件一并存档。</w:t>
      </w:r>
    </w:p>
    <w:p w14:paraId="6518CE92">
      <w:pPr>
        <w:keepNext w:val="0"/>
        <w:keepLines w:val="0"/>
        <w:pageBreakBefore w:val="0"/>
        <w:kinsoku/>
        <w:wordWrap/>
        <w:overflowPunct/>
        <w:topLinePunct w:val="0"/>
        <w:autoSpaceDE/>
        <w:autoSpaceDN/>
        <w:bidi w:val="0"/>
        <w:spacing w:line="432" w:lineRule="auto"/>
        <w:jc w:val="both"/>
        <w:textAlignment w:val="auto"/>
        <w:rPr>
          <w:rFonts w:hint="eastAsia" w:ascii="宋体" w:hAnsi="宋体" w:eastAsia="宋体" w:cs="宋体"/>
          <w:color w:val="auto"/>
          <w:szCs w:val="21"/>
        </w:rPr>
      </w:pPr>
      <w:r>
        <w:rPr>
          <w:rFonts w:hint="eastAsia" w:ascii="宋体" w:hAnsi="宋体" w:eastAsia="宋体" w:cs="宋体"/>
          <w:color w:val="auto"/>
          <w:szCs w:val="21"/>
        </w:rPr>
        <w:t>17.6供应商代表对</w:t>
      </w:r>
      <w:r>
        <w:rPr>
          <w:rFonts w:hint="eastAsia" w:ascii="宋体" w:hAnsi="宋体" w:cs="宋体"/>
          <w:color w:val="auto"/>
          <w:szCs w:val="21"/>
          <w:lang w:eastAsia="zh-CN"/>
        </w:rPr>
        <w:t>谈判</w:t>
      </w:r>
      <w:r>
        <w:rPr>
          <w:rFonts w:hint="eastAsia" w:ascii="宋体" w:hAnsi="宋体" w:eastAsia="宋体" w:cs="宋体"/>
          <w:color w:val="auto"/>
          <w:szCs w:val="21"/>
        </w:rPr>
        <w:t>过程和</w:t>
      </w:r>
      <w:r>
        <w:rPr>
          <w:rFonts w:hint="eastAsia" w:ascii="宋体" w:hAnsi="宋体" w:cs="宋体"/>
          <w:color w:val="auto"/>
          <w:szCs w:val="21"/>
          <w:lang w:eastAsia="zh-CN"/>
        </w:rPr>
        <w:t>谈判</w:t>
      </w:r>
      <w:r>
        <w:rPr>
          <w:rFonts w:hint="eastAsia" w:ascii="宋体" w:hAnsi="宋体" w:eastAsia="宋体" w:cs="宋体"/>
          <w:color w:val="auto"/>
          <w:szCs w:val="21"/>
        </w:rPr>
        <w:t>记录有异议以及认为采购人相关工作人员有需要回避的情形的，应当场提出询问或者回避申请。采购人对供应商代表提出的询问或者回避申请及时处理。</w:t>
      </w:r>
    </w:p>
    <w:p w14:paraId="6F60014B">
      <w:pPr>
        <w:keepNext w:val="0"/>
        <w:keepLines w:val="0"/>
        <w:pageBreakBefore w:val="0"/>
        <w:kinsoku/>
        <w:wordWrap/>
        <w:overflowPunct/>
        <w:topLinePunct w:val="0"/>
        <w:autoSpaceDE/>
        <w:autoSpaceDN/>
        <w:bidi w:val="0"/>
        <w:adjustRightInd w:val="0"/>
        <w:snapToGrid w:val="0"/>
        <w:spacing w:line="432" w:lineRule="auto"/>
        <w:jc w:val="both"/>
        <w:textAlignment w:val="auto"/>
        <w:rPr>
          <w:rFonts w:hint="eastAsia" w:ascii="宋体" w:hAnsi="宋体" w:eastAsia="宋体" w:cs="宋体"/>
          <w:color w:val="auto"/>
        </w:rPr>
      </w:pPr>
      <w:r>
        <w:rPr>
          <w:rFonts w:hint="eastAsia" w:ascii="宋体" w:hAnsi="宋体" w:eastAsia="宋体" w:cs="宋体"/>
          <w:color w:val="auto"/>
        </w:rPr>
        <w:t>18．</w:t>
      </w:r>
      <w:r>
        <w:rPr>
          <w:rFonts w:hint="eastAsia" w:ascii="宋体" w:hAnsi="宋体" w:cs="宋体"/>
          <w:color w:val="auto"/>
          <w:lang w:eastAsia="zh-CN"/>
        </w:rPr>
        <w:t>竞争性谈判</w:t>
      </w:r>
      <w:r>
        <w:rPr>
          <w:rFonts w:hint="eastAsia" w:ascii="宋体" w:hAnsi="宋体" w:eastAsia="宋体" w:cs="宋体"/>
          <w:color w:val="auto"/>
        </w:rPr>
        <w:t>小组：</w:t>
      </w:r>
    </w:p>
    <w:p w14:paraId="11D09A57">
      <w:pPr>
        <w:keepNext w:val="0"/>
        <w:keepLines w:val="0"/>
        <w:pageBreakBefore w:val="0"/>
        <w:kinsoku/>
        <w:wordWrap/>
        <w:overflowPunct/>
        <w:topLinePunct w:val="0"/>
        <w:autoSpaceDE/>
        <w:autoSpaceDN/>
        <w:bidi w:val="0"/>
        <w:spacing w:line="432" w:lineRule="auto"/>
        <w:jc w:val="both"/>
        <w:textAlignment w:val="auto"/>
        <w:rPr>
          <w:rFonts w:hint="eastAsia" w:ascii="宋体" w:hAnsi="宋体" w:eastAsia="宋体" w:cs="宋体"/>
          <w:color w:val="auto"/>
        </w:rPr>
      </w:pPr>
      <w:bookmarkStart w:id="6" w:name="_Toc9539"/>
      <w:r>
        <w:rPr>
          <w:rFonts w:hint="eastAsia" w:ascii="宋体" w:hAnsi="宋体" w:eastAsia="宋体" w:cs="宋体"/>
          <w:color w:val="auto"/>
        </w:rPr>
        <w:t>18.1 采购方将根据政府采购项目的特点组建</w:t>
      </w:r>
      <w:r>
        <w:rPr>
          <w:rFonts w:hint="eastAsia" w:ascii="宋体" w:hAnsi="宋体" w:cs="宋体"/>
          <w:color w:val="auto"/>
          <w:lang w:eastAsia="zh-CN"/>
        </w:rPr>
        <w:t>竞争性谈判</w:t>
      </w:r>
      <w:r>
        <w:rPr>
          <w:rFonts w:hint="eastAsia" w:ascii="宋体" w:hAnsi="宋体" w:eastAsia="宋体" w:cs="宋体"/>
          <w:color w:val="auto"/>
        </w:rPr>
        <w:t>小组，</w:t>
      </w:r>
      <w:r>
        <w:rPr>
          <w:rFonts w:hint="eastAsia" w:ascii="宋体" w:hAnsi="宋体" w:cs="宋体"/>
          <w:color w:val="auto"/>
          <w:szCs w:val="21"/>
          <w:shd w:val="clear" w:color="auto" w:fill="FFFFFF"/>
          <w:lang w:eastAsia="zh-CN"/>
        </w:rPr>
        <w:t>谈判</w:t>
      </w:r>
      <w:r>
        <w:rPr>
          <w:rFonts w:hint="eastAsia" w:ascii="宋体" w:hAnsi="宋体" w:eastAsia="宋体" w:cs="宋体"/>
          <w:color w:val="auto"/>
          <w:szCs w:val="21"/>
          <w:shd w:val="clear" w:color="auto" w:fill="FFFFFF"/>
        </w:rPr>
        <w:t>小组由</w:t>
      </w:r>
      <w:r>
        <w:rPr>
          <w:rFonts w:hint="eastAsia" w:ascii="宋体" w:hAnsi="宋体" w:cs="宋体"/>
          <w:color w:val="auto"/>
          <w:szCs w:val="21"/>
          <w:shd w:val="clear" w:color="auto" w:fill="FFFFFF"/>
          <w:lang w:val="en-US" w:eastAsia="zh-CN"/>
        </w:rPr>
        <w:t>采购人自行组建</w:t>
      </w:r>
      <w:r>
        <w:rPr>
          <w:rFonts w:hint="eastAsia" w:ascii="宋体" w:hAnsi="宋体" w:eastAsia="宋体" w:cs="宋体"/>
          <w:color w:val="auto"/>
          <w:szCs w:val="21"/>
        </w:rPr>
        <w:t>。</w:t>
      </w:r>
      <w:r>
        <w:rPr>
          <w:rFonts w:hint="eastAsia" w:ascii="宋体" w:hAnsi="宋体" w:cs="宋体"/>
          <w:color w:val="auto"/>
          <w:lang w:eastAsia="zh-CN"/>
        </w:rPr>
        <w:t>竞争性谈判</w:t>
      </w:r>
      <w:r>
        <w:rPr>
          <w:rFonts w:hint="eastAsia" w:ascii="宋体" w:hAnsi="宋体" w:eastAsia="宋体" w:cs="宋体"/>
          <w:color w:val="auto"/>
        </w:rPr>
        <w:t>小组对响应文件进行审查、质疑、评估和比较。</w:t>
      </w:r>
      <w:bookmarkEnd w:id="6"/>
    </w:p>
    <w:p w14:paraId="24EBEADE">
      <w:pPr>
        <w:keepNext w:val="0"/>
        <w:keepLines w:val="0"/>
        <w:pageBreakBefore w:val="0"/>
        <w:kinsoku/>
        <w:wordWrap/>
        <w:overflowPunct/>
        <w:topLinePunct w:val="0"/>
        <w:autoSpaceDE/>
        <w:autoSpaceDN/>
        <w:bidi w:val="0"/>
        <w:spacing w:line="432" w:lineRule="auto"/>
        <w:jc w:val="both"/>
        <w:textAlignment w:val="auto"/>
        <w:rPr>
          <w:rFonts w:hint="eastAsia" w:ascii="宋体" w:hAnsi="宋体" w:eastAsia="宋体" w:cs="宋体"/>
          <w:color w:val="auto"/>
        </w:rPr>
      </w:pPr>
      <w:r>
        <w:rPr>
          <w:rFonts w:hint="eastAsia" w:ascii="宋体" w:hAnsi="宋体" w:eastAsia="宋体" w:cs="宋体"/>
          <w:color w:val="auto"/>
        </w:rPr>
        <w:t>19．响应文件的审查和响应性的确定：</w:t>
      </w:r>
    </w:p>
    <w:p w14:paraId="773A1E8B">
      <w:pPr>
        <w:keepNext w:val="0"/>
        <w:keepLines w:val="0"/>
        <w:pageBreakBefore w:val="0"/>
        <w:kinsoku/>
        <w:wordWrap/>
        <w:overflowPunct/>
        <w:topLinePunct w:val="0"/>
        <w:autoSpaceDE/>
        <w:autoSpaceDN/>
        <w:bidi w:val="0"/>
        <w:spacing w:line="432" w:lineRule="auto"/>
        <w:jc w:val="both"/>
        <w:textAlignment w:val="auto"/>
        <w:rPr>
          <w:rFonts w:hint="eastAsia" w:ascii="宋体" w:hAnsi="宋体" w:eastAsia="宋体" w:cs="宋体"/>
          <w:color w:val="auto"/>
          <w:szCs w:val="21"/>
        </w:rPr>
      </w:pPr>
      <w:r>
        <w:rPr>
          <w:rFonts w:hint="eastAsia" w:ascii="宋体" w:hAnsi="宋体" w:eastAsia="宋体" w:cs="宋体"/>
          <w:color w:val="auto"/>
        </w:rPr>
        <w:t xml:space="preserve">19.1 </w:t>
      </w:r>
      <w:r>
        <w:rPr>
          <w:rFonts w:hint="eastAsia" w:ascii="宋体" w:hAnsi="宋体" w:cs="宋体"/>
          <w:color w:val="auto"/>
          <w:lang w:eastAsia="zh-CN"/>
        </w:rPr>
        <w:t>谈判</w:t>
      </w:r>
      <w:r>
        <w:rPr>
          <w:rFonts w:hint="eastAsia" w:ascii="宋体" w:hAnsi="宋体" w:eastAsia="宋体" w:cs="宋体"/>
          <w:color w:val="auto"/>
        </w:rPr>
        <w:t>后，采购方将组织</w:t>
      </w:r>
      <w:r>
        <w:rPr>
          <w:rFonts w:hint="eastAsia" w:ascii="宋体" w:hAnsi="宋体" w:cs="宋体"/>
          <w:color w:val="auto"/>
          <w:lang w:eastAsia="zh-CN"/>
        </w:rPr>
        <w:t>谈判</w:t>
      </w:r>
      <w:r>
        <w:rPr>
          <w:rFonts w:hint="eastAsia" w:ascii="宋体" w:hAnsi="宋体" w:eastAsia="宋体" w:cs="宋体"/>
          <w:color w:val="auto"/>
        </w:rPr>
        <w:t>小组审查响应文件是否完整，是否有计算错误，要求的保证金是否已提供，响应文件是否恰当</w:t>
      </w:r>
      <w:r>
        <w:rPr>
          <w:rFonts w:hint="eastAsia" w:ascii="宋体" w:hAnsi="宋体" w:eastAsia="宋体" w:cs="宋体"/>
          <w:color w:val="auto"/>
          <w:lang w:eastAsia="zh-CN"/>
        </w:rPr>
        <w:t>的</w:t>
      </w:r>
      <w:r>
        <w:rPr>
          <w:rFonts w:hint="eastAsia" w:ascii="宋体" w:hAnsi="宋体" w:eastAsia="宋体" w:cs="宋体"/>
          <w:color w:val="auto"/>
        </w:rPr>
        <w:t>签署。</w:t>
      </w:r>
      <w:r>
        <w:rPr>
          <w:rFonts w:hint="eastAsia" w:ascii="宋体" w:hAnsi="宋体" w:eastAsia="宋体" w:cs="宋体"/>
          <w:color w:val="auto"/>
          <w:szCs w:val="21"/>
        </w:rPr>
        <w:t>响应文件报价出现前后不一致的，按照下列规定修正：</w:t>
      </w:r>
    </w:p>
    <w:p w14:paraId="7F8A27E8">
      <w:pPr>
        <w:keepNext w:val="0"/>
        <w:keepLines w:val="0"/>
        <w:pageBreakBefore w:val="0"/>
        <w:kinsoku/>
        <w:wordWrap/>
        <w:overflowPunct/>
        <w:topLinePunct w:val="0"/>
        <w:autoSpaceDE/>
        <w:autoSpaceDN/>
        <w:bidi w:val="0"/>
        <w:spacing w:line="432" w:lineRule="auto"/>
        <w:jc w:val="both"/>
        <w:textAlignment w:val="auto"/>
        <w:rPr>
          <w:rFonts w:hint="eastAsia" w:ascii="宋体" w:hAnsi="宋体" w:eastAsia="宋体" w:cs="宋体"/>
          <w:color w:val="auto"/>
          <w:szCs w:val="21"/>
        </w:rPr>
      </w:pPr>
      <w:r>
        <w:rPr>
          <w:rFonts w:hint="eastAsia" w:ascii="宋体" w:hAnsi="宋体" w:eastAsia="宋体" w:cs="宋体"/>
          <w:color w:val="auto"/>
          <w:szCs w:val="21"/>
        </w:rPr>
        <w:t>19.1.1响应文件中报价一览表内容与响应文件中响应内容不一致的，以报价一览表为准；</w:t>
      </w:r>
    </w:p>
    <w:p w14:paraId="3545F2FD">
      <w:pPr>
        <w:keepNext w:val="0"/>
        <w:keepLines w:val="0"/>
        <w:pageBreakBefore w:val="0"/>
        <w:kinsoku/>
        <w:wordWrap/>
        <w:overflowPunct/>
        <w:topLinePunct w:val="0"/>
        <w:autoSpaceDE/>
        <w:autoSpaceDN/>
        <w:bidi w:val="0"/>
        <w:spacing w:line="432" w:lineRule="auto"/>
        <w:jc w:val="both"/>
        <w:textAlignment w:val="auto"/>
        <w:rPr>
          <w:rFonts w:hint="eastAsia" w:ascii="宋体" w:hAnsi="宋体" w:eastAsia="宋体" w:cs="宋体"/>
          <w:color w:val="auto"/>
          <w:szCs w:val="21"/>
        </w:rPr>
      </w:pPr>
      <w:r>
        <w:rPr>
          <w:rFonts w:hint="eastAsia" w:ascii="宋体" w:hAnsi="宋体" w:eastAsia="宋体" w:cs="宋体"/>
          <w:color w:val="auto"/>
          <w:szCs w:val="21"/>
        </w:rPr>
        <w:t>19.1.2大写金额和小写金额不一致的，以大写金额为准；</w:t>
      </w:r>
    </w:p>
    <w:p w14:paraId="0920C66E">
      <w:pPr>
        <w:keepNext w:val="0"/>
        <w:keepLines w:val="0"/>
        <w:pageBreakBefore w:val="0"/>
        <w:kinsoku/>
        <w:wordWrap/>
        <w:overflowPunct/>
        <w:topLinePunct w:val="0"/>
        <w:autoSpaceDE/>
        <w:autoSpaceDN/>
        <w:bidi w:val="0"/>
        <w:spacing w:line="432" w:lineRule="auto"/>
        <w:jc w:val="both"/>
        <w:textAlignment w:val="auto"/>
        <w:rPr>
          <w:rFonts w:hint="eastAsia" w:ascii="宋体" w:hAnsi="宋体" w:eastAsia="宋体" w:cs="宋体"/>
          <w:color w:val="auto"/>
          <w:szCs w:val="21"/>
        </w:rPr>
      </w:pPr>
      <w:r>
        <w:rPr>
          <w:rFonts w:hint="eastAsia" w:ascii="宋体" w:hAnsi="宋体" w:eastAsia="宋体" w:cs="宋体"/>
          <w:color w:val="auto"/>
          <w:szCs w:val="21"/>
        </w:rPr>
        <w:t>19.1.3.单价金额小数点或者百分比有明显错位的，以报价一览表的总价为准，并修改单价；</w:t>
      </w:r>
    </w:p>
    <w:p w14:paraId="3F6B49AE">
      <w:pPr>
        <w:keepNext w:val="0"/>
        <w:keepLines w:val="0"/>
        <w:pageBreakBefore w:val="0"/>
        <w:kinsoku/>
        <w:wordWrap/>
        <w:overflowPunct/>
        <w:topLinePunct w:val="0"/>
        <w:autoSpaceDE/>
        <w:autoSpaceDN/>
        <w:bidi w:val="0"/>
        <w:spacing w:line="432" w:lineRule="auto"/>
        <w:jc w:val="both"/>
        <w:textAlignment w:val="auto"/>
        <w:rPr>
          <w:rFonts w:hint="eastAsia" w:ascii="宋体" w:hAnsi="宋体" w:eastAsia="宋体" w:cs="宋体"/>
          <w:color w:val="auto"/>
        </w:rPr>
      </w:pPr>
      <w:r>
        <w:rPr>
          <w:rFonts w:hint="eastAsia" w:ascii="宋体" w:hAnsi="宋体" w:eastAsia="宋体" w:cs="宋体"/>
          <w:color w:val="auto"/>
          <w:szCs w:val="21"/>
        </w:rPr>
        <w:t>19.1.4.总价金额与按单价汇总金额不一致的，以单价金额计算结果为准.同时出现两种以上不一致的，按照以上的顺序修正。修正后的报价按照本</w:t>
      </w:r>
      <w:r>
        <w:rPr>
          <w:rFonts w:hint="eastAsia" w:ascii="宋体" w:hAnsi="宋体" w:cs="宋体"/>
          <w:color w:val="auto"/>
          <w:szCs w:val="21"/>
          <w:lang w:eastAsia="zh-CN"/>
        </w:rPr>
        <w:t>竞争性谈判</w:t>
      </w:r>
      <w:r>
        <w:rPr>
          <w:rFonts w:hint="eastAsia" w:ascii="宋体" w:hAnsi="宋体" w:eastAsia="宋体" w:cs="宋体"/>
          <w:color w:val="auto"/>
          <w:szCs w:val="21"/>
        </w:rPr>
        <w:t>文件规定经供应商确认后产生约束力，供应商不确认的，其响应无效。</w:t>
      </w:r>
    </w:p>
    <w:p w14:paraId="64F15251">
      <w:pPr>
        <w:keepNext w:val="0"/>
        <w:keepLines w:val="0"/>
        <w:pageBreakBefore w:val="0"/>
        <w:kinsoku/>
        <w:wordWrap/>
        <w:overflowPunct/>
        <w:topLinePunct w:val="0"/>
        <w:autoSpaceDE/>
        <w:autoSpaceDN/>
        <w:bidi w:val="0"/>
        <w:spacing w:line="432" w:lineRule="auto"/>
        <w:jc w:val="both"/>
        <w:textAlignment w:val="auto"/>
        <w:outlineLvl w:val="9"/>
        <w:rPr>
          <w:rFonts w:hint="eastAsia" w:ascii="宋体" w:hAnsi="宋体" w:eastAsia="宋体" w:cs="宋体"/>
          <w:color w:val="auto"/>
        </w:rPr>
      </w:pPr>
      <w:bookmarkStart w:id="7" w:name="_Toc25463"/>
      <w:bookmarkStart w:id="8" w:name="_Toc30741"/>
      <w:r>
        <w:rPr>
          <w:rFonts w:hint="eastAsia" w:ascii="宋体" w:hAnsi="宋体" w:eastAsia="宋体" w:cs="宋体"/>
          <w:color w:val="auto"/>
        </w:rPr>
        <w:t>19.2 在对响应文件进行详细评估之前，采购方将依据供应商提供的资格证明文件审查供应商的财务、技术和生产能力。如果确定响应方无资格履行合同，其响应文件将被拒绝。</w:t>
      </w:r>
      <w:bookmarkEnd w:id="7"/>
      <w:bookmarkEnd w:id="8"/>
    </w:p>
    <w:p w14:paraId="06EF32BE">
      <w:pPr>
        <w:keepNext w:val="0"/>
        <w:keepLines w:val="0"/>
        <w:pageBreakBefore w:val="0"/>
        <w:kinsoku/>
        <w:wordWrap/>
        <w:overflowPunct/>
        <w:topLinePunct w:val="0"/>
        <w:autoSpaceDE/>
        <w:autoSpaceDN/>
        <w:bidi w:val="0"/>
        <w:spacing w:line="432" w:lineRule="auto"/>
        <w:jc w:val="both"/>
        <w:textAlignment w:val="auto"/>
        <w:outlineLvl w:val="9"/>
        <w:rPr>
          <w:rFonts w:hint="eastAsia" w:ascii="宋体" w:hAnsi="宋体" w:eastAsia="宋体" w:cs="宋体"/>
          <w:color w:val="auto"/>
        </w:rPr>
      </w:pPr>
      <w:r>
        <w:rPr>
          <w:rFonts w:hint="eastAsia" w:ascii="宋体" w:hAnsi="宋体" w:eastAsia="宋体" w:cs="宋体"/>
          <w:color w:val="auto"/>
        </w:rPr>
        <w:t>19.3采购方将确定每一响应文件是否对</w:t>
      </w:r>
      <w:r>
        <w:rPr>
          <w:rFonts w:hint="eastAsia" w:ascii="宋体" w:hAnsi="宋体" w:cs="宋体"/>
          <w:color w:val="auto"/>
          <w:lang w:eastAsia="zh-CN"/>
        </w:rPr>
        <w:t>竞争性谈判</w:t>
      </w:r>
      <w:r>
        <w:rPr>
          <w:rFonts w:hint="eastAsia" w:ascii="宋体" w:hAnsi="宋体" w:eastAsia="宋体" w:cs="宋体"/>
          <w:color w:val="auto"/>
        </w:rPr>
        <w:t>文件的要求作出了实质性的响应，而没有重大偏离，实质性响应的响应文件是指符合</w:t>
      </w:r>
      <w:r>
        <w:rPr>
          <w:rFonts w:hint="eastAsia" w:ascii="宋体" w:hAnsi="宋体" w:cs="宋体"/>
          <w:color w:val="auto"/>
          <w:lang w:eastAsia="zh-CN"/>
        </w:rPr>
        <w:t>竞争性谈判</w:t>
      </w:r>
      <w:r>
        <w:rPr>
          <w:rFonts w:hint="eastAsia" w:ascii="宋体" w:hAnsi="宋体" w:eastAsia="宋体" w:cs="宋体"/>
          <w:color w:val="auto"/>
        </w:rPr>
        <w:t>文件的所有条款、条件和规定，且没有重大偏离或保留。重大偏离或保留系指影响到</w:t>
      </w:r>
      <w:r>
        <w:rPr>
          <w:rFonts w:hint="eastAsia" w:ascii="宋体" w:hAnsi="宋体" w:cs="宋体"/>
          <w:color w:val="auto"/>
          <w:lang w:eastAsia="zh-CN"/>
        </w:rPr>
        <w:t>竞争性谈判</w:t>
      </w:r>
      <w:r>
        <w:rPr>
          <w:rFonts w:hint="eastAsia" w:ascii="宋体" w:hAnsi="宋体" w:eastAsia="宋体" w:cs="宋体"/>
          <w:color w:val="auto"/>
        </w:rPr>
        <w:t>文件的规定的供货范围、质量和性能，或限制了</w:t>
      </w:r>
      <w:r>
        <w:rPr>
          <w:rFonts w:hint="eastAsia" w:ascii="宋体" w:hAnsi="宋体" w:cs="宋体"/>
          <w:color w:val="auto"/>
          <w:lang w:eastAsia="zh-CN"/>
        </w:rPr>
        <w:t>采购人</w:t>
      </w:r>
      <w:r>
        <w:rPr>
          <w:rFonts w:hint="eastAsia" w:ascii="宋体" w:hAnsi="宋体" w:eastAsia="宋体" w:cs="宋体"/>
          <w:color w:val="auto"/>
        </w:rPr>
        <w:t>的权力和</w:t>
      </w:r>
      <w:r>
        <w:rPr>
          <w:rFonts w:hint="eastAsia" w:ascii="宋体" w:hAnsi="宋体" w:cs="宋体"/>
          <w:color w:val="auto"/>
          <w:lang w:eastAsia="zh-CN"/>
        </w:rPr>
        <w:t>乙方</w:t>
      </w:r>
      <w:r>
        <w:rPr>
          <w:rFonts w:hint="eastAsia" w:ascii="宋体" w:hAnsi="宋体" w:eastAsia="宋体" w:cs="宋体"/>
          <w:color w:val="auto"/>
        </w:rPr>
        <w:t>的义务的规定，而纠正这些偏离将影响到其他提交实质性响应文件的供应商的公平竞争地位。</w:t>
      </w:r>
    </w:p>
    <w:p w14:paraId="0BC8AE2F">
      <w:pPr>
        <w:keepNext w:val="0"/>
        <w:keepLines w:val="0"/>
        <w:pageBreakBefore w:val="0"/>
        <w:kinsoku/>
        <w:wordWrap/>
        <w:overflowPunct/>
        <w:topLinePunct w:val="0"/>
        <w:autoSpaceDE/>
        <w:autoSpaceDN/>
        <w:bidi w:val="0"/>
        <w:spacing w:line="432" w:lineRule="auto"/>
        <w:jc w:val="both"/>
        <w:textAlignment w:val="auto"/>
        <w:outlineLvl w:val="9"/>
        <w:rPr>
          <w:rFonts w:hint="eastAsia" w:ascii="宋体" w:hAnsi="宋体" w:eastAsia="宋体" w:cs="宋体"/>
          <w:color w:val="auto"/>
        </w:rPr>
      </w:pPr>
      <w:bookmarkStart w:id="9" w:name="_Toc18396"/>
      <w:bookmarkStart w:id="10" w:name="_Toc28513"/>
      <w:r>
        <w:rPr>
          <w:rFonts w:hint="eastAsia" w:ascii="宋体" w:hAnsi="宋体" w:eastAsia="宋体" w:cs="宋体"/>
          <w:color w:val="auto"/>
        </w:rPr>
        <w:t>19.4 采购方判断响应文件的响应性仅基于响应文件本身而不靠外部证据。</w:t>
      </w:r>
      <w:bookmarkEnd w:id="9"/>
      <w:bookmarkEnd w:id="10"/>
    </w:p>
    <w:p w14:paraId="08BEBA0C">
      <w:pPr>
        <w:keepNext w:val="0"/>
        <w:keepLines w:val="0"/>
        <w:pageBreakBefore w:val="0"/>
        <w:kinsoku/>
        <w:wordWrap/>
        <w:overflowPunct/>
        <w:topLinePunct w:val="0"/>
        <w:autoSpaceDE/>
        <w:autoSpaceDN/>
        <w:bidi w:val="0"/>
        <w:spacing w:line="432" w:lineRule="auto"/>
        <w:jc w:val="both"/>
        <w:textAlignment w:val="auto"/>
        <w:outlineLvl w:val="9"/>
        <w:rPr>
          <w:rFonts w:hint="eastAsia" w:ascii="宋体" w:hAnsi="宋体" w:eastAsia="宋体" w:cs="宋体"/>
          <w:color w:val="auto"/>
        </w:rPr>
      </w:pPr>
      <w:bookmarkStart w:id="11" w:name="_Toc13005"/>
      <w:bookmarkStart w:id="12" w:name="_Toc1861"/>
      <w:r>
        <w:rPr>
          <w:rFonts w:hint="eastAsia" w:ascii="宋体" w:hAnsi="宋体" w:eastAsia="宋体" w:cs="宋体"/>
          <w:color w:val="auto"/>
        </w:rPr>
        <w:t>19.5 采购方将拒绝被确定为非实质性响应的响应文件，供应商不能通过修正或撤销不符之处而使其响应文件成为实质性响应的响应文件。</w:t>
      </w:r>
      <w:bookmarkEnd w:id="11"/>
      <w:bookmarkEnd w:id="12"/>
    </w:p>
    <w:p w14:paraId="5F0B6461">
      <w:pPr>
        <w:pStyle w:val="49"/>
        <w:keepNext w:val="0"/>
        <w:keepLines w:val="0"/>
        <w:pageBreakBefore w:val="0"/>
        <w:kinsoku/>
        <w:wordWrap/>
        <w:overflowPunct/>
        <w:topLinePunct w:val="0"/>
        <w:autoSpaceDE/>
        <w:autoSpaceDN/>
        <w:bidi w:val="0"/>
        <w:spacing w:line="432" w:lineRule="auto"/>
        <w:ind w:firstLine="0"/>
        <w:jc w:val="both"/>
        <w:textAlignment w:val="auto"/>
        <w:outlineLvl w:val="9"/>
        <w:rPr>
          <w:rFonts w:hint="eastAsia" w:ascii="宋体" w:hAnsi="宋体" w:eastAsia="宋体" w:cs="宋体"/>
          <w:color w:val="auto"/>
          <w:lang w:val="en-US"/>
        </w:rPr>
      </w:pPr>
      <w:r>
        <w:rPr>
          <w:rFonts w:hint="eastAsia" w:ascii="宋体" w:hAnsi="宋体" w:eastAsia="宋体" w:cs="宋体"/>
          <w:color w:val="auto"/>
          <w:lang w:val="en-US"/>
        </w:rPr>
        <w:t>19.6</w:t>
      </w:r>
      <w:r>
        <w:rPr>
          <w:rFonts w:hint="eastAsia" w:ascii="宋体" w:hAnsi="宋体" w:eastAsia="宋体" w:cs="宋体"/>
          <w:color w:val="auto"/>
          <w:szCs w:val="21"/>
          <w:shd w:val="clear" w:color="auto" w:fill="FFFFFF"/>
        </w:rPr>
        <w:t>除资格性检查认定错误、分值汇总计算错误、分项评分超出评分标准范围、客观分评分不一致、经</w:t>
      </w:r>
      <w:r>
        <w:rPr>
          <w:rFonts w:hint="eastAsia" w:ascii="宋体" w:hAnsi="宋体" w:cs="宋体"/>
          <w:color w:val="auto"/>
          <w:szCs w:val="21"/>
          <w:shd w:val="clear" w:color="auto" w:fill="FFFFFF"/>
          <w:lang w:eastAsia="zh-CN"/>
        </w:rPr>
        <w:t>谈判</w:t>
      </w:r>
      <w:r>
        <w:rPr>
          <w:rFonts w:hint="eastAsia" w:ascii="宋体" w:hAnsi="宋体" w:eastAsia="宋体" w:cs="宋体"/>
          <w:color w:val="auto"/>
          <w:szCs w:val="21"/>
          <w:shd w:val="clear" w:color="auto" w:fill="FFFFFF"/>
        </w:rPr>
        <w:t>小组一致认定评分畸高、畸低的情形外，采购人不得以任何理由组织重新评审。采购人发现</w:t>
      </w:r>
      <w:r>
        <w:rPr>
          <w:rFonts w:hint="eastAsia" w:ascii="宋体" w:hAnsi="宋体" w:cs="宋体"/>
          <w:color w:val="auto"/>
          <w:szCs w:val="21"/>
          <w:shd w:val="clear" w:color="auto" w:fill="FFFFFF"/>
          <w:lang w:eastAsia="zh-CN"/>
        </w:rPr>
        <w:t>谈判</w:t>
      </w:r>
      <w:r>
        <w:rPr>
          <w:rFonts w:hint="eastAsia" w:ascii="宋体" w:hAnsi="宋体" w:eastAsia="宋体" w:cs="宋体"/>
          <w:color w:val="auto"/>
          <w:szCs w:val="21"/>
          <w:shd w:val="clear" w:color="auto" w:fill="FFFFFF"/>
        </w:rPr>
        <w:t>小组未按照</w:t>
      </w:r>
      <w:r>
        <w:rPr>
          <w:rFonts w:hint="eastAsia" w:ascii="宋体" w:hAnsi="宋体" w:cs="宋体"/>
          <w:color w:val="auto"/>
          <w:szCs w:val="21"/>
          <w:shd w:val="clear" w:color="auto" w:fill="FFFFFF"/>
          <w:lang w:eastAsia="zh-CN"/>
        </w:rPr>
        <w:t>竞争性谈判</w:t>
      </w:r>
      <w:r>
        <w:rPr>
          <w:rFonts w:hint="eastAsia" w:ascii="宋体" w:hAnsi="宋体" w:eastAsia="宋体" w:cs="宋体"/>
          <w:color w:val="auto"/>
          <w:szCs w:val="21"/>
          <w:shd w:val="clear" w:color="auto" w:fill="FFFFFF"/>
        </w:rPr>
        <w:t>文件规定的评审标准进行评审的，应当重新开展采购活动，并同时书面报告本级</w:t>
      </w:r>
      <w:r>
        <w:rPr>
          <w:rFonts w:hint="eastAsia" w:ascii="宋体" w:hAnsi="宋体" w:eastAsia="宋体" w:cs="宋体"/>
          <w:color w:val="auto"/>
          <w:szCs w:val="21"/>
          <w:shd w:val="clear" w:color="auto" w:fill="FFFFFF"/>
          <w:lang w:val="en-US"/>
        </w:rPr>
        <w:t>主管</w:t>
      </w:r>
      <w:r>
        <w:rPr>
          <w:rFonts w:hint="eastAsia" w:ascii="宋体" w:hAnsi="宋体" w:eastAsia="宋体" w:cs="宋体"/>
          <w:color w:val="auto"/>
          <w:szCs w:val="21"/>
          <w:shd w:val="clear" w:color="auto" w:fill="FFFFFF"/>
        </w:rPr>
        <w:t>部门。</w:t>
      </w:r>
    </w:p>
    <w:p w14:paraId="6B005EE3">
      <w:pPr>
        <w:keepNext w:val="0"/>
        <w:keepLines w:val="0"/>
        <w:pageBreakBefore w:val="0"/>
        <w:kinsoku/>
        <w:wordWrap/>
        <w:overflowPunct/>
        <w:topLinePunct w:val="0"/>
        <w:autoSpaceDE/>
        <w:autoSpaceDN/>
        <w:bidi w:val="0"/>
        <w:spacing w:line="432" w:lineRule="auto"/>
        <w:textAlignment w:val="auto"/>
        <w:outlineLvl w:val="9"/>
        <w:rPr>
          <w:rFonts w:hint="eastAsia" w:ascii="宋体" w:hAnsi="宋体" w:eastAsia="宋体" w:cs="宋体"/>
          <w:color w:val="auto"/>
        </w:rPr>
      </w:pPr>
      <w:r>
        <w:rPr>
          <w:rFonts w:hint="eastAsia" w:ascii="宋体" w:hAnsi="宋体" w:eastAsia="宋体" w:cs="宋体"/>
          <w:color w:val="auto"/>
        </w:rPr>
        <w:t>20．响应文件的澄清、说明或者更正：</w:t>
      </w:r>
    </w:p>
    <w:p w14:paraId="6CA174E1">
      <w:pPr>
        <w:keepNext w:val="0"/>
        <w:keepLines w:val="0"/>
        <w:pageBreakBefore w:val="0"/>
        <w:kinsoku/>
        <w:wordWrap/>
        <w:overflowPunct/>
        <w:topLinePunct w:val="0"/>
        <w:autoSpaceDE/>
        <w:autoSpaceDN/>
        <w:bidi w:val="0"/>
        <w:spacing w:line="432" w:lineRule="auto"/>
        <w:textAlignment w:val="auto"/>
        <w:outlineLvl w:val="9"/>
        <w:rPr>
          <w:rFonts w:hint="eastAsia" w:ascii="宋体" w:hAnsi="宋体" w:eastAsia="宋体" w:cs="宋体"/>
          <w:color w:val="auto"/>
        </w:rPr>
      </w:pPr>
      <w:bookmarkStart w:id="13" w:name="_Toc24636"/>
      <w:bookmarkStart w:id="14" w:name="_Toc26239"/>
      <w:r>
        <w:rPr>
          <w:rFonts w:hint="eastAsia" w:ascii="宋体" w:hAnsi="宋体" w:eastAsia="宋体" w:cs="宋体"/>
          <w:color w:val="auto"/>
        </w:rPr>
        <w:t xml:space="preserve">20.1 </w:t>
      </w:r>
      <w:r>
        <w:rPr>
          <w:rFonts w:hint="eastAsia" w:ascii="宋体" w:hAnsi="宋体" w:cs="宋体"/>
          <w:color w:val="auto"/>
          <w:lang w:eastAsia="zh-CN"/>
        </w:rPr>
        <w:t>竞争性谈判</w:t>
      </w:r>
      <w:r>
        <w:rPr>
          <w:rFonts w:hint="eastAsia" w:ascii="宋体" w:hAnsi="宋体" w:eastAsia="宋体" w:cs="宋体"/>
          <w:color w:val="auto"/>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响应文件的实质性内容。</w:t>
      </w:r>
      <w:bookmarkEnd w:id="13"/>
      <w:bookmarkEnd w:id="14"/>
    </w:p>
    <w:p w14:paraId="172A93D9">
      <w:pPr>
        <w:keepNext w:val="0"/>
        <w:keepLines w:val="0"/>
        <w:pageBreakBefore w:val="0"/>
        <w:kinsoku/>
        <w:wordWrap/>
        <w:overflowPunct/>
        <w:topLinePunct w:val="0"/>
        <w:autoSpaceDE/>
        <w:autoSpaceDN/>
        <w:bidi w:val="0"/>
        <w:spacing w:line="432" w:lineRule="auto"/>
        <w:textAlignment w:val="auto"/>
        <w:outlineLvl w:val="9"/>
        <w:rPr>
          <w:rFonts w:hint="eastAsia" w:ascii="宋体" w:hAnsi="宋体" w:eastAsia="宋体" w:cs="宋体"/>
          <w:color w:val="auto"/>
        </w:rPr>
      </w:pPr>
      <w:r>
        <w:rPr>
          <w:rFonts w:hint="eastAsia" w:ascii="宋体" w:hAnsi="宋体" w:eastAsia="宋体" w:cs="宋体"/>
          <w:color w:val="auto"/>
        </w:rPr>
        <w:t>20.2 供应商的澄清、说明或者更正内容作为响应文件的一部分。</w:t>
      </w:r>
    </w:p>
    <w:p w14:paraId="499506D4">
      <w:pPr>
        <w:keepNext w:val="0"/>
        <w:keepLines w:val="0"/>
        <w:pageBreakBefore w:val="0"/>
        <w:kinsoku/>
        <w:wordWrap/>
        <w:overflowPunct/>
        <w:topLinePunct w:val="0"/>
        <w:autoSpaceDE/>
        <w:autoSpaceDN/>
        <w:bidi w:val="0"/>
        <w:spacing w:line="432" w:lineRule="auto"/>
        <w:textAlignment w:val="auto"/>
        <w:outlineLvl w:val="9"/>
        <w:rPr>
          <w:rFonts w:hint="eastAsia" w:ascii="宋体" w:hAnsi="宋体" w:eastAsia="宋体" w:cs="宋体"/>
          <w:color w:val="auto"/>
        </w:rPr>
      </w:pPr>
      <w:r>
        <w:rPr>
          <w:rFonts w:hint="eastAsia" w:ascii="宋体" w:hAnsi="宋体" w:eastAsia="宋体" w:cs="宋体"/>
          <w:color w:val="auto"/>
        </w:rPr>
        <w:t xml:space="preserve">20.3 </w:t>
      </w:r>
      <w:r>
        <w:rPr>
          <w:rFonts w:hint="eastAsia" w:ascii="宋体" w:hAnsi="宋体" w:cs="宋体"/>
          <w:color w:val="auto"/>
          <w:lang w:eastAsia="zh-CN"/>
        </w:rPr>
        <w:t>竞争性谈判</w:t>
      </w:r>
      <w:r>
        <w:rPr>
          <w:rFonts w:hint="eastAsia" w:ascii="宋体" w:hAnsi="宋体" w:eastAsia="宋体" w:cs="宋体"/>
          <w:color w:val="auto"/>
        </w:rPr>
        <w:t>小组要求供应商澄清、说明或者更正响应文件以书面形式作出。供应商的澄清、说明或者更正由其法定代表人或其授权代表签字或者加盖供应商单位公章。</w:t>
      </w:r>
    </w:p>
    <w:p w14:paraId="64211D41">
      <w:pPr>
        <w:keepNext w:val="0"/>
        <w:keepLines w:val="0"/>
        <w:pageBreakBefore w:val="0"/>
        <w:kinsoku/>
        <w:wordWrap/>
        <w:overflowPunct/>
        <w:topLinePunct w:val="0"/>
        <w:autoSpaceDE/>
        <w:autoSpaceDN/>
        <w:bidi w:val="0"/>
        <w:spacing w:line="432" w:lineRule="auto"/>
        <w:textAlignment w:val="auto"/>
        <w:outlineLvl w:val="9"/>
        <w:rPr>
          <w:rFonts w:hint="eastAsia" w:ascii="宋体" w:hAnsi="宋体" w:eastAsia="宋体" w:cs="宋体"/>
          <w:color w:val="auto"/>
        </w:rPr>
      </w:pPr>
      <w:r>
        <w:rPr>
          <w:rFonts w:hint="eastAsia" w:ascii="宋体" w:hAnsi="宋体" w:eastAsia="宋体" w:cs="宋体"/>
          <w:color w:val="auto"/>
        </w:rPr>
        <w:t>21．对响应文件的评估和比较：</w:t>
      </w:r>
    </w:p>
    <w:p w14:paraId="63767742">
      <w:pPr>
        <w:keepNext w:val="0"/>
        <w:keepLines w:val="0"/>
        <w:pageBreakBefore w:val="0"/>
        <w:kinsoku/>
        <w:wordWrap/>
        <w:overflowPunct/>
        <w:topLinePunct w:val="0"/>
        <w:autoSpaceDE/>
        <w:autoSpaceDN/>
        <w:bidi w:val="0"/>
        <w:spacing w:line="432" w:lineRule="auto"/>
        <w:textAlignment w:val="auto"/>
        <w:outlineLvl w:val="9"/>
        <w:rPr>
          <w:rFonts w:hint="eastAsia" w:ascii="宋体" w:hAnsi="宋体" w:eastAsia="宋体" w:cs="宋体"/>
          <w:color w:val="auto"/>
        </w:rPr>
      </w:pPr>
      <w:bookmarkStart w:id="15" w:name="_Toc13155"/>
      <w:bookmarkStart w:id="16" w:name="_Toc10566"/>
      <w:r>
        <w:rPr>
          <w:rFonts w:hint="eastAsia" w:ascii="宋体" w:hAnsi="宋体" w:eastAsia="宋体" w:cs="宋体"/>
          <w:color w:val="auto"/>
        </w:rPr>
        <w:t>21.1 由采购方组织的</w:t>
      </w:r>
      <w:r>
        <w:rPr>
          <w:rFonts w:hint="eastAsia" w:ascii="宋体" w:hAnsi="宋体" w:cs="宋体"/>
          <w:color w:val="auto"/>
          <w:lang w:eastAsia="zh-CN"/>
        </w:rPr>
        <w:t>竞争性谈判</w:t>
      </w:r>
      <w:r>
        <w:rPr>
          <w:rFonts w:hint="eastAsia" w:ascii="宋体" w:hAnsi="宋体" w:eastAsia="宋体" w:cs="宋体"/>
          <w:color w:val="auto"/>
        </w:rPr>
        <w:t>小组对实质性响应的响应文件进行评估和比较。</w:t>
      </w:r>
      <w:bookmarkEnd w:id="15"/>
      <w:bookmarkEnd w:id="16"/>
    </w:p>
    <w:p w14:paraId="1E869F18">
      <w:pPr>
        <w:spacing w:line="360" w:lineRule="auto"/>
        <w:outlineLvl w:val="9"/>
        <w:rPr>
          <w:rFonts w:hint="eastAsia" w:ascii="宋体" w:hAnsi="宋体" w:eastAsia="宋体" w:cs="宋体"/>
          <w:color w:val="000000" w:themeColor="text1"/>
          <w14:textFill>
            <w14:solidFill>
              <w14:schemeClr w14:val="tx1"/>
            </w14:solidFill>
          </w14:textFill>
        </w:rPr>
      </w:pPr>
      <w:bookmarkStart w:id="17" w:name="_Toc25540"/>
      <w:bookmarkStart w:id="18" w:name="_Toc1067"/>
      <w:r>
        <w:rPr>
          <w:rFonts w:hint="eastAsia" w:ascii="宋体" w:hAnsi="宋体" w:eastAsia="宋体" w:cs="宋体"/>
          <w:color w:val="000000" w:themeColor="text1"/>
          <w14:textFill>
            <w14:solidFill>
              <w14:schemeClr w14:val="tx1"/>
            </w14:solidFill>
          </w14:textFill>
        </w:rPr>
        <w:t xml:space="preserve">21.2 </w:t>
      </w:r>
      <w:r>
        <w:rPr>
          <w:rFonts w:hint="eastAsia" w:ascii="宋体" w:hAnsi="宋体" w:cs="宋体"/>
          <w:color w:val="000000" w:themeColor="text1"/>
          <w:lang w:eastAsia="zh-CN"/>
          <w14:textFill>
            <w14:solidFill>
              <w14:schemeClr w14:val="tx1"/>
            </w14:solidFill>
          </w14:textFill>
        </w:rPr>
        <w:t>谈判</w:t>
      </w:r>
      <w:r>
        <w:rPr>
          <w:rFonts w:hint="eastAsia" w:ascii="宋体" w:hAnsi="宋体" w:eastAsia="宋体" w:cs="宋体"/>
          <w:color w:val="000000" w:themeColor="text1"/>
          <w14:textFill>
            <w14:solidFill>
              <w14:schemeClr w14:val="tx1"/>
            </w14:solidFill>
          </w14:textFill>
        </w:rPr>
        <w:t>时除考虑价格和技术服务费以外，还将考虑以下因素：</w:t>
      </w:r>
      <w:bookmarkEnd w:id="17"/>
      <w:bookmarkEnd w:id="18"/>
    </w:p>
    <w:p w14:paraId="60C027ED">
      <w:pPr>
        <w:spacing w:line="360" w:lineRule="auto"/>
        <w:outlineLvl w:val="9"/>
        <w:rPr>
          <w:rFonts w:hint="eastAsia" w:ascii="宋体" w:hAnsi="宋体" w:eastAsia="宋体" w:cs="宋体"/>
          <w:color w:val="000000" w:themeColor="text1"/>
          <w:lang w:eastAsia="zh-CN"/>
          <w14:textFill>
            <w14:solidFill>
              <w14:schemeClr w14:val="tx1"/>
            </w14:solidFill>
          </w14:textFill>
        </w:rPr>
      </w:pPr>
      <w:bookmarkStart w:id="19" w:name="_Toc12935"/>
      <w:r>
        <w:rPr>
          <w:rFonts w:hint="eastAsia" w:ascii="宋体" w:hAnsi="宋体" w:eastAsia="宋体" w:cs="宋体"/>
          <w:color w:val="000000" w:themeColor="text1"/>
          <w14:textFill>
            <w14:solidFill>
              <w14:schemeClr w14:val="tx1"/>
            </w14:solidFill>
          </w14:textFill>
        </w:rPr>
        <w:t>（1）响应文件中所报交货期等；</w:t>
      </w:r>
    </w:p>
    <w:p w14:paraId="764E7739">
      <w:pPr>
        <w:spacing w:line="360" w:lineRule="auto"/>
        <w:outlineLvl w:val="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（2）服务的技术水平、人员配备；</w:t>
      </w:r>
      <w:bookmarkEnd w:id="19"/>
    </w:p>
    <w:p w14:paraId="0E669AE9">
      <w:pPr>
        <w:spacing w:line="360" w:lineRule="auto"/>
        <w:outlineLvl w:val="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（3）其他要求因素；</w:t>
      </w:r>
    </w:p>
    <w:p w14:paraId="627E169C">
      <w:pPr>
        <w:keepNext w:val="0"/>
        <w:keepLines w:val="0"/>
        <w:pageBreakBefore w:val="0"/>
        <w:kinsoku/>
        <w:wordWrap/>
        <w:overflowPunct/>
        <w:topLinePunct w:val="0"/>
        <w:autoSpaceDE/>
        <w:autoSpaceDN/>
        <w:bidi w:val="0"/>
        <w:spacing w:line="432" w:lineRule="auto"/>
        <w:textAlignment w:val="auto"/>
        <w:outlineLvl w:val="9"/>
        <w:rPr>
          <w:rFonts w:hint="eastAsia" w:ascii="宋体" w:hAnsi="宋体" w:eastAsia="宋体" w:cs="宋体"/>
          <w:color w:val="auto"/>
        </w:rPr>
      </w:pPr>
      <w:r>
        <w:rPr>
          <w:rFonts w:hint="eastAsia" w:ascii="宋体" w:hAnsi="宋体" w:eastAsia="宋体" w:cs="宋体"/>
          <w:color w:val="auto"/>
        </w:rPr>
        <w:t>22．保密：</w:t>
      </w:r>
    </w:p>
    <w:p w14:paraId="771B2C24">
      <w:pPr>
        <w:keepNext w:val="0"/>
        <w:keepLines w:val="0"/>
        <w:pageBreakBefore w:val="0"/>
        <w:kinsoku/>
        <w:wordWrap/>
        <w:overflowPunct/>
        <w:topLinePunct w:val="0"/>
        <w:autoSpaceDE/>
        <w:autoSpaceDN/>
        <w:bidi w:val="0"/>
        <w:spacing w:line="432" w:lineRule="auto"/>
        <w:textAlignment w:val="auto"/>
        <w:outlineLvl w:val="9"/>
        <w:rPr>
          <w:rFonts w:hint="eastAsia" w:ascii="宋体" w:hAnsi="宋体" w:eastAsia="宋体" w:cs="宋体"/>
          <w:color w:val="auto"/>
        </w:rPr>
      </w:pPr>
      <w:bookmarkStart w:id="20" w:name="_Toc9782"/>
      <w:bookmarkStart w:id="21" w:name="_Toc17897"/>
      <w:r>
        <w:rPr>
          <w:rFonts w:hint="eastAsia" w:ascii="宋体" w:hAnsi="宋体" w:eastAsia="宋体" w:cs="宋体"/>
          <w:color w:val="auto"/>
        </w:rPr>
        <w:t>22.1 有关响应文件的审查、澄清、评估和比较以及有关授予合同的意向的一切情况都不得透露给任一供应商或与</w:t>
      </w:r>
      <w:r>
        <w:rPr>
          <w:rFonts w:hint="eastAsia" w:ascii="宋体" w:hAnsi="宋体" w:cs="宋体"/>
          <w:color w:val="auto"/>
          <w:lang w:eastAsia="zh-CN"/>
        </w:rPr>
        <w:t>谈判</w:t>
      </w:r>
      <w:r>
        <w:rPr>
          <w:rFonts w:hint="eastAsia" w:ascii="宋体" w:hAnsi="宋体" w:eastAsia="宋体" w:cs="宋体"/>
          <w:color w:val="auto"/>
        </w:rPr>
        <w:t>工作无关的人员。</w:t>
      </w:r>
      <w:bookmarkEnd w:id="20"/>
      <w:bookmarkEnd w:id="21"/>
    </w:p>
    <w:p w14:paraId="55266848">
      <w:pPr>
        <w:keepNext w:val="0"/>
        <w:keepLines w:val="0"/>
        <w:pageBreakBefore w:val="0"/>
        <w:kinsoku/>
        <w:wordWrap/>
        <w:overflowPunct/>
        <w:topLinePunct w:val="0"/>
        <w:autoSpaceDE/>
        <w:autoSpaceDN/>
        <w:bidi w:val="0"/>
        <w:spacing w:line="432" w:lineRule="auto"/>
        <w:textAlignment w:val="auto"/>
        <w:outlineLvl w:val="9"/>
        <w:rPr>
          <w:rFonts w:hint="eastAsia" w:ascii="宋体" w:hAnsi="宋体" w:eastAsia="宋体" w:cs="宋体"/>
          <w:color w:val="auto"/>
        </w:rPr>
      </w:pPr>
      <w:r>
        <w:rPr>
          <w:rFonts w:hint="eastAsia" w:ascii="宋体" w:hAnsi="宋体" w:eastAsia="宋体" w:cs="宋体"/>
          <w:color w:val="auto"/>
        </w:rPr>
        <w:t>22.2 供应商不得干扰采购方的</w:t>
      </w:r>
      <w:r>
        <w:rPr>
          <w:rFonts w:hint="eastAsia" w:ascii="宋体" w:hAnsi="宋体" w:cs="宋体"/>
          <w:color w:val="auto"/>
          <w:lang w:eastAsia="zh-CN"/>
        </w:rPr>
        <w:t>谈判</w:t>
      </w:r>
      <w:r>
        <w:rPr>
          <w:rFonts w:hint="eastAsia" w:ascii="宋体" w:hAnsi="宋体" w:eastAsia="宋体" w:cs="宋体"/>
          <w:color w:val="auto"/>
        </w:rPr>
        <w:t>活动，否则将取消其</w:t>
      </w:r>
      <w:r>
        <w:rPr>
          <w:rFonts w:hint="eastAsia" w:ascii="宋体" w:hAnsi="宋体" w:cs="宋体"/>
          <w:color w:val="auto"/>
          <w:lang w:eastAsia="zh-CN"/>
        </w:rPr>
        <w:t>谈判</w:t>
      </w:r>
      <w:r>
        <w:rPr>
          <w:rFonts w:hint="eastAsia" w:ascii="宋体" w:hAnsi="宋体" w:eastAsia="宋体" w:cs="宋体"/>
          <w:color w:val="auto"/>
        </w:rPr>
        <w:t>资格，并</w:t>
      </w:r>
      <w:r>
        <w:rPr>
          <w:rFonts w:hint="eastAsia" w:ascii="宋体" w:hAnsi="宋体" w:eastAsia="宋体" w:cs="宋体"/>
          <w:color w:val="auto"/>
          <w:lang w:eastAsia="zh-CN"/>
        </w:rPr>
        <w:t>承担相应的</w:t>
      </w:r>
      <w:r>
        <w:rPr>
          <w:rFonts w:hint="eastAsia" w:ascii="宋体" w:hAnsi="宋体" w:eastAsia="宋体" w:cs="宋体"/>
          <w:color w:val="auto"/>
        </w:rPr>
        <w:t>法律责任。</w:t>
      </w:r>
    </w:p>
    <w:p w14:paraId="130ED3D6">
      <w:pPr>
        <w:rPr>
          <w:rFonts w:hint="eastAsia" w:ascii="宋体" w:hAnsi="宋体" w:eastAsia="宋体" w:cs="宋体"/>
          <w:b/>
          <w:color w:val="auto"/>
          <w:szCs w:val="21"/>
        </w:rPr>
      </w:pPr>
    </w:p>
    <w:p w14:paraId="310D399E">
      <w:pPr>
        <w:keepNext w:val="0"/>
        <w:keepLines w:val="0"/>
        <w:pageBreakBefore w:val="0"/>
        <w:kinsoku/>
        <w:wordWrap/>
        <w:overflowPunct/>
        <w:topLinePunct w:val="0"/>
        <w:autoSpaceDE/>
        <w:autoSpaceDN/>
        <w:bidi w:val="0"/>
        <w:spacing w:line="432" w:lineRule="auto"/>
        <w:ind w:left="70"/>
        <w:jc w:val="center"/>
        <w:textAlignment w:val="auto"/>
        <w:rPr>
          <w:rFonts w:hint="eastAsia" w:ascii="宋体" w:hAnsi="宋体" w:eastAsia="宋体" w:cs="宋体"/>
          <w:b/>
          <w:color w:val="auto"/>
          <w:szCs w:val="21"/>
        </w:rPr>
      </w:pPr>
      <w:r>
        <w:rPr>
          <w:rFonts w:hint="eastAsia" w:ascii="宋体" w:hAnsi="宋体" w:eastAsia="宋体" w:cs="宋体"/>
          <w:b/>
          <w:bCs/>
          <w:color w:val="auto"/>
          <w:szCs w:val="21"/>
          <w:lang w:val="en-US" w:eastAsia="zh-CN"/>
        </w:rPr>
        <w:t>F</w:t>
      </w:r>
      <w:r>
        <w:rPr>
          <w:rFonts w:hint="eastAsia" w:ascii="宋体" w:hAnsi="宋体" w:eastAsia="宋体" w:cs="宋体"/>
          <w:b/>
          <w:bCs/>
          <w:color w:val="auto"/>
          <w:szCs w:val="21"/>
        </w:rPr>
        <w:t>无效响应文件及重新开展采购活动确定原则</w:t>
      </w:r>
    </w:p>
    <w:p w14:paraId="17943B58">
      <w:pPr>
        <w:keepNext w:val="0"/>
        <w:keepLines w:val="0"/>
        <w:pageBreakBefore w:val="0"/>
        <w:kinsoku/>
        <w:wordWrap/>
        <w:overflowPunct/>
        <w:topLinePunct w:val="0"/>
        <w:autoSpaceDE/>
        <w:autoSpaceDN/>
        <w:bidi w:val="0"/>
        <w:spacing w:line="432" w:lineRule="auto"/>
        <w:jc w:val="both"/>
        <w:textAlignment w:val="auto"/>
        <w:rPr>
          <w:rFonts w:hint="eastAsia" w:ascii="宋体" w:hAnsi="宋体" w:eastAsia="宋体" w:cs="宋体"/>
          <w:color w:val="auto"/>
        </w:rPr>
      </w:pPr>
      <w:r>
        <w:rPr>
          <w:rFonts w:hint="eastAsia" w:ascii="宋体" w:hAnsi="宋体" w:cs="宋体"/>
          <w:color w:val="auto"/>
          <w:lang w:val="en-US" w:eastAsia="zh-CN"/>
        </w:rPr>
        <w:t>23.</w:t>
      </w:r>
      <w:r>
        <w:rPr>
          <w:rFonts w:hint="eastAsia" w:ascii="宋体" w:hAnsi="宋体" w:eastAsia="宋体" w:cs="宋体"/>
          <w:color w:val="auto"/>
        </w:rPr>
        <w:t>无效响应文件确定原则：</w:t>
      </w:r>
    </w:p>
    <w:p w14:paraId="49AE7FF8">
      <w:pPr>
        <w:keepNext w:val="0"/>
        <w:keepLines w:val="0"/>
        <w:pageBreakBefore w:val="0"/>
        <w:kinsoku/>
        <w:wordWrap/>
        <w:overflowPunct/>
        <w:topLinePunct w:val="0"/>
        <w:autoSpaceDE/>
        <w:autoSpaceDN/>
        <w:bidi w:val="0"/>
        <w:spacing w:line="432" w:lineRule="auto"/>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23.</w:t>
      </w:r>
      <w:r>
        <w:rPr>
          <w:rFonts w:hint="eastAsia" w:ascii="宋体" w:hAnsi="宋体" w:eastAsia="宋体" w:cs="宋体"/>
          <w:color w:val="auto"/>
          <w:highlight w:val="none"/>
        </w:rPr>
        <w:t>1.1</w:t>
      </w:r>
      <w:r>
        <w:rPr>
          <w:rFonts w:hint="eastAsia" w:ascii="宋体" w:hAnsi="宋体" w:cs="宋体"/>
          <w:color w:val="auto"/>
          <w:highlight w:val="none"/>
          <w:lang w:eastAsia="zh-CN"/>
        </w:rPr>
        <w:t>谈判</w:t>
      </w:r>
      <w:r>
        <w:rPr>
          <w:rFonts w:hint="eastAsia" w:ascii="宋体" w:hAnsi="宋体" w:eastAsia="宋体" w:cs="宋体"/>
          <w:color w:val="auto"/>
          <w:highlight w:val="none"/>
        </w:rPr>
        <w:t>函、报价表、</w:t>
      </w:r>
      <w:r>
        <w:rPr>
          <w:rFonts w:hint="eastAsia" w:ascii="宋体" w:hAnsi="宋体" w:eastAsia="宋体" w:cs="宋体"/>
          <w:bCs/>
          <w:color w:val="auto"/>
          <w:szCs w:val="21"/>
          <w:highlight w:val="none"/>
        </w:rPr>
        <w:t>技术服务要求偏离表</w:t>
      </w:r>
      <w:r>
        <w:rPr>
          <w:rFonts w:hint="eastAsia" w:ascii="宋体" w:hAnsi="宋体" w:eastAsia="宋体" w:cs="宋体"/>
          <w:color w:val="auto"/>
          <w:highlight w:val="none"/>
        </w:rPr>
        <w:t>（内容不完整）；</w:t>
      </w:r>
    </w:p>
    <w:p w14:paraId="1C68F7AF">
      <w:pPr>
        <w:keepNext w:val="0"/>
        <w:keepLines w:val="0"/>
        <w:pageBreakBefore w:val="0"/>
        <w:kinsoku/>
        <w:wordWrap/>
        <w:overflowPunct/>
        <w:topLinePunct w:val="0"/>
        <w:autoSpaceDE/>
        <w:autoSpaceDN/>
        <w:bidi w:val="0"/>
        <w:spacing w:line="432" w:lineRule="auto"/>
        <w:jc w:val="both"/>
        <w:textAlignment w:val="auto"/>
        <w:rPr>
          <w:rFonts w:hint="eastAsia" w:ascii="宋体" w:hAnsi="宋体" w:eastAsia="宋体" w:cs="宋体"/>
          <w:color w:val="auto"/>
          <w:lang w:eastAsia="zh-CN"/>
        </w:rPr>
      </w:pPr>
      <w:r>
        <w:rPr>
          <w:rFonts w:hint="eastAsia" w:ascii="宋体" w:hAnsi="宋体" w:eastAsia="宋体" w:cs="宋体"/>
          <w:color w:val="auto"/>
          <w:lang w:eastAsia="zh-CN"/>
        </w:rPr>
        <w:t>23.</w:t>
      </w:r>
      <w:r>
        <w:rPr>
          <w:rFonts w:hint="eastAsia" w:ascii="宋体" w:hAnsi="宋体" w:eastAsia="宋体" w:cs="宋体"/>
          <w:color w:val="auto"/>
        </w:rPr>
        <w:t>1.2法定代表人因故未持本人身份证原件到</w:t>
      </w:r>
      <w:r>
        <w:rPr>
          <w:rFonts w:hint="eastAsia" w:ascii="宋体" w:hAnsi="宋体" w:cs="宋体"/>
          <w:color w:val="auto"/>
          <w:lang w:eastAsia="zh-CN"/>
        </w:rPr>
        <w:t>谈判</w:t>
      </w:r>
      <w:r>
        <w:rPr>
          <w:rFonts w:hint="eastAsia" w:ascii="宋体" w:hAnsi="宋体" w:eastAsia="宋体" w:cs="宋体"/>
          <w:color w:val="auto"/>
        </w:rPr>
        <w:t>现场或法定代表人身份证明和本人身份证原件不一致</w:t>
      </w:r>
      <w:r>
        <w:rPr>
          <w:rFonts w:hint="eastAsia" w:ascii="宋体" w:hAnsi="宋体" w:cs="宋体"/>
          <w:color w:val="auto"/>
          <w:lang w:eastAsia="zh-CN"/>
        </w:rPr>
        <w:t>；</w:t>
      </w:r>
    </w:p>
    <w:p w14:paraId="24C2EB65">
      <w:pPr>
        <w:keepNext w:val="0"/>
        <w:keepLines w:val="0"/>
        <w:pageBreakBefore w:val="0"/>
        <w:kinsoku/>
        <w:wordWrap/>
        <w:overflowPunct/>
        <w:topLinePunct w:val="0"/>
        <w:autoSpaceDE/>
        <w:autoSpaceDN/>
        <w:bidi w:val="0"/>
        <w:spacing w:line="432" w:lineRule="auto"/>
        <w:jc w:val="both"/>
        <w:textAlignment w:val="auto"/>
        <w:rPr>
          <w:rFonts w:hint="eastAsia" w:ascii="宋体" w:hAnsi="宋体" w:eastAsia="宋体" w:cs="宋体"/>
          <w:color w:val="auto"/>
        </w:rPr>
      </w:pPr>
      <w:r>
        <w:rPr>
          <w:rFonts w:hint="eastAsia" w:ascii="宋体" w:hAnsi="宋体" w:eastAsia="宋体" w:cs="宋体"/>
          <w:color w:val="auto"/>
        </w:rPr>
        <w:t>的，其他</w:t>
      </w:r>
      <w:r>
        <w:rPr>
          <w:rFonts w:hint="eastAsia" w:ascii="宋体" w:hAnsi="宋体" w:eastAsia="宋体" w:cs="宋体"/>
          <w:color w:val="auto"/>
          <w:szCs w:val="21"/>
        </w:rPr>
        <w:t>委托代理人</w:t>
      </w:r>
      <w:r>
        <w:rPr>
          <w:rFonts w:hint="eastAsia" w:ascii="宋体" w:hAnsi="宋体" w:eastAsia="宋体" w:cs="宋体"/>
          <w:color w:val="auto"/>
        </w:rPr>
        <w:t>又无</w:t>
      </w:r>
      <w:r>
        <w:rPr>
          <w:rFonts w:hint="eastAsia" w:ascii="宋体" w:hAnsi="宋体" w:eastAsia="宋体" w:cs="宋体"/>
          <w:color w:val="auto"/>
          <w:szCs w:val="21"/>
        </w:rPr>
        <w:t>授权委托书原件和本人身份证原件</w:t>
      </w:r>
      <w:r>
        <w:rPr>
          <w:rFonts w:hint="eastAsia" w:ascii="宋体" w:hAnsi="宋体" w:eastAsia="宋体" w:cs="宋体"/>
          <w:color w:val="auto"/>
        </w:rPr>
        <w:t>的或</w:t>
      </w:r>
      <w:r>
        <w:rPr>
          <w:rFonts w:hint="eastAsia" w:ascii="宋体" w:hAnsi="宋体" w:eastAsia="宋体" w:cs="宋体"/>
          <w:color w:val="auto"/>
          <w:szCs w:val="21"/>
        </w:rPr>
        <w:t>委托代理人授权委托书原件的身份证复印件或扫描件与授权委托人身份证原件不一致时</w:t>
      </w:r>
      <w:r>
        <w:rPr>
          <w:rFonts w:hint="eastAsia" w:ascii="宋体" w:hAnsi="宋体" w:eastAsia="宋体" w:cs="宋体"/>
          <w:color w:val="auto"/>
        </w:rPr>
        <w:t>；</w:t>
      </w:r>
    </w:p>
    <w:p w14:paraId="2B77CC80">
      <w:pPr>
        <w:keepNext w:val="0"/>
        <w:keepLines w:val="0"/>
        <w:pageBreakBefore w:val="0"/>
        <w:kinsoku/>
        <w:wordWrap/>
        <w:overflowPunct/>
        <w:topLinePunct w:val="0"/>
        <w:autoSpaceDE/>
        <w:autoSpaceDN/>
        <w:bidi w:val="0"/>
        <w:spacing w:line="432" w:lineRule="auto"/>
        <w:jc w:val="both"/>
        <w:textAlignment w:val="auto"/>
        <w:rPr>
          <w:rFonts w:hint="eastAsia" w:ascii="宋体" w:hAnsi="宋体" w:eastAsia="宋体" w:cs="宋体"/>
          <w:color w:val="auto"/>
        </w:rPr>
      </w:pPr>
      <w:r>
        <w:rPr>
          <w:rFonts w:hint="eastAsia" w:ascii="宋体" w:hAnsi="宋体" w:eastAsia="宋体" w:cs="宋体"/>
          <w:color w:val="auto"/>
          <w:lang w:eastAsia="zh-CN"/>
        </w:rPr>
        <w:t>23.</w:t>
      </w:r>
      <w:r>
        <w:rPr>
          <w:rFonts w:hint="eastAsia" w:ascii="宋体" w:hAnsi="宋体" w:eastAsia="宋体" w:cs="宋体"/>
          <w:color w:val="auto"/>
        </w:rPr>
        <w:t>1.3 响应文件中的内容与</w:t>
      </w:r>
      <w:r>
        <w:rPr>
          <w:rFonts w:hint="eastAsia" w:ascii="宋体" w:hAnsi="宋体" w:cs="宋体"/>
          <w:color w:val="auto"/>
          <w:lang w:eastAsia="zh-CN"/>
        </w:rPr>
        <w:t>竞争性谈判</w:t>
      </w:r>
      <w:r>
        <w:rPr>
          <w:rFonts w:hint="eastAsia" w:ascii="宋体" w:hAnsi="宋体" w:eastAsia="宋体" w:cs="宋体"/>
          <w:color w:val="auto"/>
        </w:rPr>
        <w:t>文件内容不符的；</w:t>
      </w:r>
    </w:p>
    <w:p w14:paraId="422B0D90">
      <w:pPr>
        <w:keepNext w:val="0"/>
        <w:keepLines w:val="0"/>
        <w:pageBreakBefore w:val="0"/>
        <w:kinsoku/>
        <w:wordWrap/>
        <w:overflowPunct/>
        <w:topLinePunct w:val="0"/>
        <w:autoSpaceDE/>
        <w:autoSpaceDN/>
        <w:bidi w:val="0"/>
        <w:spacing w:line="432" w:lineRule="auto"/>
        <w:jc w:val="both"/>
        <w:textAlignment w:val="auto"/>
        <w:rPr>
          <w:rFonts w:hint="eastAsia" w:ascii="宋体" w:hAnsi="宋体" w:eastAsia="宋体" w:cs="宋体"/>
          <w:color w:val="auto"/>
        </w:rPr>
      </w:pPr>
      <w:r>
        <w:rPr>
          <w:rFonts w:hint="eastAsia" w:ascii="宋体" w:hAnsi="宋体" w:eastAsia="宋体" w:cs="宋体"/>
          <w:color w:val="auto"/>
          <w:lang w:eastAsia="zh-CN"/>
        </w:rPr>
        <w:t>23.</w:t>
      </w:r>
      <w:r>
        <w:rPr>
          <w:rFonts w:hint="eastAsia" w:ascii="宋体" w:hAnsi="宋体" w:eastAsia="宋体" w:cs="宋体"/>
          <w:color w:val="auto"/>
        </w:rPr>
        <w:t>1.4 供应商相互串通或恶意报价的；</w:t>
      </w:r>
    </w:p>
    <w:p w14:paraId="4475B462">
      <w:pPr>
        <w:keepNext w:val="0"/>
        <w:keepLines w:val="0"/>
        <w:pageBreakBefore w:val="0"/>
        <w:kinsoku/>
        <w:wordWrap/>
        <w:overflowPunct/>
        <w:topLinePunct w:val="0"/>
        <w:autoSpaceDE/>
        <w:autoSpaceDN/>
        <w:bidi w:val="0"/>
        <w:spacing w:line="432" w:lineRule="auto"/>
        <w:jc w:val="both"/>
        <w:textAlignment w:val="auto"/>
        <w:rPr>
          <w:rFonts w:hint="eastAsia" w:ascii="宋体" w:hAnsi="宋体" w:eastAsia="宋体" w:cs="宋体"/>
          <w:color w:val="auto"/>
        </w:rPr>
      </w:pPr>
      <w:r>
        <w:rPr>
          <w:rFonts w:hint="eastAsia" w:ascii="宋体" w:hAnsi="宋体" w:cs="宋体"/>
          <w:color w:val="auto"/>
          <w:lang w:eastAsia="zh-CN"/>
        </w:rPr>
        <w:t>23.1.</w:t>
      </w:r>
      <w:r>
        <w:rPr>
          <w:rFonts w:hint="eastAsia" w:ascii="宋体" w:hAnsi="宋体" w:eastAsia="宋体" w:cs="宋体"/>
          <w:color w:val="auto"/>
        </w:rPr>
        <w:t>5 提供虚假材料，骗取政府采购供应商资格的；</w:t>
      </w:r>
    </w:p>
    <w:p w14:paraId="2F88DED9">
      <w:pPr>
        <w:keepNext w:val="0"/>
        <w:keepLines w:val="0"/>
        <w:pageBreakBefore w:val="0"/>
        <w:kinsoku/>
        <w:wordWrap/>
        <w:overflowPunct/>
        <w:topLinePunct w:val="0"/>
        <w:autoSpaceDE/>
        <w:autoSpaceDN/>
        <w:bidi w:val="0"/>
        <w:spacing w:line="432" w:lineRule="auto"/>
        <w:jc w:val="both"/>
        <w:textAlignment w:val="auto"/>
        <w:rPr>
          <w:rFonts w:hint="eastAsia" w:ascii="宋体" w:hAnsi="宋体" w:eastAsia="宋体" w:cs="宋体"/>
          <w:color w:val="auto"/>
          <w:szCs w:val="21"/>
        </w:rPr>
      </w:pPr>
      <w:r>
        <w:rPr>
          <w:rFonts w:hint="eastAsia" w:ascii="宋体" w:hAnsi="宋体" w:cs="宋体"/>
          <w:color w:val="auto"/>
          <w:lang w:eastAsia="zh-CN"/>
        </w:rPr>
        <w:t>23.1.</w:t>
      </w:r>
      <w:r>
        <w:rPr>
          <w:rFonts w:hint="eastAsia" w:ascii="宋体" w:hAnsi="宋体" w:eastAsia="宋体" w:cs="宋体"/>
          <w:color w:val="auto"/>
        </w:rPr>
        <w:t>6</w:t>
      </w:r>
      <w:r>
        <w:rPr>
          <w:rFonts w:hint="eastAsia" w:ascii="宋体" w:hAnsi="宋体" w:eastAsia="宋体" w:cs="宋体"/>
          <w:color w:val="auto"/>
          <w:szCs w:val="21"/>
        </w:rPr>
        <w:t>供应商未提供：</w:t>
      </w:r>
      <w:r>
        <w:rPr>
          <w:rFonts w:hint="eastAsia" w:ascii="宋体" w:hAnsi="宋体" w:eastAsia="宋体" w:cs="宋体"/>
          <w:color w:val="auto"/>
        </w:rPr>
        <w:t>法定代表人未持法定代表人身份证明及本人身份证原件，或委托代理人未持授权委托书原件及本人身份证原件将响应文件递交至</w:t>
      </w:r>
      <w:r>
        <w:rPr>
          <w:rFonts w:hint="eastAsia" w:ascii="宋体" w:hAnsi="宋体" w:eastAsia="宋体" w:cs="宋体"/>
          <w:color w:val="auto"/>
          <w:szCs w:val="21"/>
        </w:rPr>
        <w:t>规定的时间地点。</w:t>
      </w:r>
    </w:p>
    <w:p w14:paraId="20DBEFBF">
      <w:pPr>
        <w:keepNext w:val="0"/>
        <w:keepLines w:val="0"/>
        <w:pageBreakBefore w:val="0"/>
        <w:kinsoku/>
        <w:wordWrap/>
        <w:overflowPunct/>
        <w:topLinePunct w:val="0"/>
        <w:autoSpaceDE/>
        <w:autoSpaceDN/>
        <w:bidi w:val="0"/>
        <w:spacing w:line="432" w:lineRule="auto"/>
        <w:jc w:val="both"/>
        <w:textAlignment w:val="auto"/>
        <w:rPr>
          <w:rFonts w:hint="eastAsia" w:ascii="宋体" w:hAnsi="宋体" w:eastAsia="宋体" w:cs="宋体"/>
          <w:color w:val="auto"/>
        </w:rPr>
      </w:pPr>
      <w:r>
        <w:rPr>
          <w:rFonts w:hint="eastAsia" w:ascii="宋体" w:hAnsi="宋体" w:cs="宋体"/>
          <w:color w:val="auto"/>
          <w:lang w:eastAsia="zh-CN"/>
        </w:rPr>
        <w:t>23.1.</w:t>
      </w:r>
      <w:r>
        <w:rPr>
          <w:rFonts w:hint="eastAsia" w:ascii="宋体" w:hAnsi="宋体" w:eastAsia="宋体" w:cs="宋体"/>
          <w:color w:val="auto"/>
        </w:rPr>
        <w:t>7 向采购主管单位、采购人等行贿或者提供其他不正当利益的；</w:t>
      </w:r>
    </w:p>
    <w:p w14:paraId="5CE466EA">
      <w:pPr>
        <w:keepNext w:val="0"/>
        <w:keepLines w:val="0"/>
        <w:pageBreakBefore w:val="0"/>
        <w:kinsoku/>
        <w:wordWrap/>
        <w:overflowPunct/>
        <w:topLinePunct w:val="0"/>
        <w:autoSpaceDE/>
        <w:autoSpaceDN/>
        <w:bidi w:val="0"/>
        <w:spacing w:line="432" w:lineRule="auto"/>
        <w:jc w:val="both"/>
        <w:textAlignment w:val="auto"/>
        <w:rPr>
          <w:rFonts w:hint="eastAsia" w:ascii="宋体" w:hAnsi="宋体" w:eastAsia="宋体" w:cs="宋体"/>
          <w:color w:val="auto"/>
        </w:rPr>
      </w:pPr>
      <w:r>
        <w:rPr>
          <w:rFonts w:hint="eastAsia" w:ascii="宋体" w:hAnsi="宋体" w:cs="宋体"/>
          <w:color w:val="auto"/>
          <w:lang w:eastAsia="zh-CN"/>
        </w:rPr>
        <w:t>23.1.</w:t>
      </w:r>
      <w:r>
        <w:rPr>
          <w:rFonts w:hint="eastAsia" w:ascii="宋体" w:hAnsi="宋体" w:eastAsia="宋体" w:cs="宋体"/>
          <w:color w:val="auto"/>
        </w:rPr>
        <w:t>8 拒绝财政及有关部门的检查或者不如实反映情况、提供材料的；</w:t>
      </w:r>
    </w:p>
    <w:p w14:paraId="1000F600">
      <w:pPr>
        <w:keepNext w:val="0"/>
        <w:keepLines w:val="0"/>
        <w:pageBreakBefore w:val="0"/>
        <w:kinsoku/>
        <w:wordWrap/>
        <w:overflowPunct/>
        <w:topLinePunct w:val="0"/>
        <w:autoSpaceDE/>
        <w:autoSpaceDN/>
        <w:bidi w:val="0"/>
        <w:spacing w:line="432" w:lineRule="auto"/>
        <w:jc w:val="both"/>
        <w:textAlignment w:val="auto"/>
        <w:rPr>
          <w:rFonts w:hint="eastAsia" w:ascii="宋体" w:hAnsi="宋体" w:eastAsia="宋体" w:cs="宋体"/>
          <w:color w:val="auto"/>
        </w:rPr>
      </w:pPr>
      <w:r>
        <w:rPr>
          <w:rFonts w:hint="eastAsia" w:ascii="宋体" w:hAnsi="宋体" w:cs="宋体"/>
          <w:color w:val="auto"/>
          <w:lang w:eastAsia="zh-CN"/>
        </w:rPr>
        <w:t>23.1.</w:t>
      </w:r>
      <w:r>
        <w:rPr>
          <w:rFonts w:hint="eastAsia" w:ascii="宋体" w:hAnsi="宋体" w:eastAsia="宋体" w:cs="宋体"/>
          <w:color w:val="auto"/>
        </w:rPr>
        <w:t>9 响应文件的密封破损能看到响应文件实质性文件；</w:t>
      </w:r>
    </w:p>
    <w:p w14:paraId="66A0C8CF">
      <w:pPr>
        <w:keepNext w:val="0"/>
        <w:keepLines w:val="0"/>
        <w:pageBreakBefore w:val="0"/>
        <w:kinsoku/>
        <w:wordWrap/>
        <w:overflowPunct/>
        <w:topLinePunct w:val="0"/>
        <w:autoSpaceDE/>
        <w:autoSpaceDN/>
        <w:bidi w:val="0"/>
        <w:spacing w:line="432" w:lineRule="auto"/>
        <w:jc w:val="both"/>
        <w:textAlignment w:val="auto"/>
        <w:rPr>
          <w:rFonts w:hint="eastAsia" w:ascii="宋体" w:hAnsi="宋体" w:eastAsia="宋体" w:cs="宋体"/>
          <w:color w:val="auto"/>
        </w:rPr>
      </w:pPr>
      <w:r>
        <w:rPr>
          <w:rFonts w:hint="eastAsia" w:ascii="宋体" w:hAnsi="宋体" w:cs="宋体"/>
          <w:color w:val="auto"/>
          <w:lang w:eastAsia="zh-CN"/>
        </w:rPr>
        <w:t>23.1.</w:t>
      </w:r>
      <w:r>
        <w:rPr>
          <w:rFonts w:hint="eastAsia" w:ascii="宋体" w:hAnsi="宋体" w:eastAsia="宋体" w:cs="宋体"/>
          <w:color w:val="auto"/>
        </w:rPr>
        <w:t>10响应文件承诺的</w:t>
      </w:r>
      <w:r>
        <w:rPr>
          <w:rFonts w:hint="eastAsia" w:ascii="宋体" w:hAnsi="宋体" w:eastAsia="宋体" w:cs="宋体"/>
          <w:color w:val="auto"/>
          <w:lang w:eastAsia="zh-CN"/>
        </w:rPr>
        <w:t>服务期</w:t>
      </w:r>
      <w:r>
        <w:rPr>
          <w:rFonts w:hint="eastAsia" w:ascii="宋体" w:hAnsi="宋体" w:eastAsia="宋体" w:cs="宋体"/>
          <w:color w:val="auto"/>
        </w:rPr>
        <w:t>不满足</w:t>
      </w:r>
      <w:r>
        <w:rPr>
          <w:rFonts w:hint="eastAsia" w:ascii="宋体" w:hAnsi="宋体" w:cs="宋体"/>
          <w:color w:val="auto"/>
          <w:lang w:eastAsia="zh-CN"/>
        </w:rPr>
        <w:t>竞争性谈判</w:t>
      </w:r>
      <w:r>
        <w:rPr>
          <w:rFonts w:hint="eastAsia" w:ascii="宋体" w:hAnsi="宋体" w:eastAsia="宋体" w:cs="宋体"/>
          <w:color w:val="auto"/>
        </w:rPr>
        <w:t>文件要求的；</w:t>
      </w:r>
    </w:p>
    <w:p w14:paraId="343C2E37">
      <w:pPr>
        <w:keepNext w:val="0"/>
        <w:keepLines w:val="0"/>
        <w:pageBreakBefore w:val="0"/>
        <w:kinsoku/>
        <w:wordWrap/>
        <w:overflowPunct/>
        <w:topLinePunct w:val="0"/>
        <w:autoSpaceDE/>
        <w:autoSpaceDN/>
        <w:bidi w:val="0"/>
        <w:spacing w:line="432" w:lineRule="auto"/>
        <w:jc w:val="both"/>
        <w:textAlignment w:val="auto"/>
        <w:rPr>
          <w:rStyle w:val="44"/>
          <w:rFonts w:hint="eastAsia" w:ascii="宋体" w:hAnsi="宋体" w:eastAsia="宋体" w:cs="宋体"/>
          <w:color w:val="auto"/>
          <w:u w:val="none"/>
        </w:rPr>
      </w:pPr>
      <w:r>
        <w:rPr>
          <w:rStyle w:val="44"/>
          <w:rFonts w:hint="eastAsia" w:ascii="宋体" w:hAnsi="宋体" w:cs="宋体"/>
          <w:color w:val="auto"/>
          <w:u w:val="none"/>
          <w:lang w:eastAsia="zh-CN"/>
        </w:rPr>
        <w:t>23.1.</w:t>
      </w:r>
      <w:r>
        <w:rPr>
          <w:rStyle w:val="44"/>
          <w:rFonts w:hint="eastAsia" w:ascii="宋体" w:hAnsi="宋体" w:eastAsia="宋体" w:cs="宋体"/>
          <w:color w:val="auto"/>
          <w:u w:val="none"/>
        </w:rPr>
        <w:t>11未经许可，私自更改、删除</w:t>
      </w:r>
      <w:r>
        <w:rPr>
          <w:rStyle w:val="44"/>
          <w:rFonts w:hint="eastAsia" w:ascii="宋体" w:hAnsi="宋体" w:cs="宋体"/>
          <w:color w:val="auto"/>
          <w:u w:val="none"/>
          <w:lang w:eastAsia="zh-CN"/>
        </w:rPr>
        <w:t>竞争性谈判</w:t>
      </w:r>
      <w:r>
        <w:rPr>
          <w:rStyle w:val="44"/>
          <w:rFonts w:hint="eastAsia" w:ascii="宋体" w:hAnsi="宋体" w:eastAsia="宋体" w:cs="宋体"/>
          <w:color w:val="auto"/>
          <w:u w:val="none"/>
        </w:rPr>
        <w:t>文件中内容：主要是指《采购项目的技术规格、数量、服务标准、验收等要求，包括附件、图纸等》中所要求的内容、数量、单位等。</w:t>
      </w:r>
    </w:p>
    <w:p w14:paraId="68111544">
      <w:pPr>
        <w:keepNext w:val="0"/>
        <w:keepLines w:val="0"/>
        <w:pageBreakBefore w:val="0"/>
        <w:kinsoku/>
        <w:wordWrap/>
        <w:overflowPunct/>
        <w:topLinePunct w:val="0"/>
        <w:autoSpaceDE/>
        <w:autoSpaceDN/>
        <w:bidi w:val="0"/>
        <w:spacing w:line="432" w:lineRule="auto"/>
        <w:jc w:val="both"/>
        <w:textAlignment w:val="auto"/>
        <w:rPr>
          <w:rStyle w:val="44"/>
          <w:rFonts w:hint="eastAsia" w:ascii="宋体" w:hAnsi="宋体" w:eastAsia="宋体" w:cs="宋体"/>
          <w:color w:val="auto"/>
          <w:u w:val="none"/>
        </w:rPr>
      </w:pPr>
      <w:r>
        <w:rPr>
          <w:rStyle w:val="44"/>
          <w:rFonts w:hint="eastAsia" w:ascii="宋体" w:hAnsi="宋体" w:cs="宋体"/>
          <w:color w:val="auto"/>
          <w:u w:val="none"/>
          <w:lang w:eastAsia="zh-CN"/>
        </w:rPr>
        <w:t>23.1.</w:t>
      </w:r>
      <w:r>
        <w:rPr>
          <w:rStyle w:val="44"/>
          <w:rFonts w:hint="eastAsia" w:ascii="宋体" w:hAnsi="宋体" w:eastAsia="宋体" w:cs="宋体"/>
          <w:color w:val="auto"/>
          <w:u w:val="none"/>
        </w:rPr>
        <w:t>12供应商未按规定提交</w:t>
      </w:r>
      <w:r>
        <w:rPr>
          <w:rStyle w:val="44"/>
          <w:rFonts w:hint="eastAsia" w:ascii="宋体" w:hAnsi="宋体" w:cs="宋体"/>
          <w:color w:val="auto"/>
          <w:u w:val="none"/>
          <w:lang w:eastAsia="zh-CN"/>
        </w:rPr>
        <w:t>谈判</w:t>
      </w:r>
      <w:r>
        <w:rPr>
          <w:rStyle w:val="44"/>
          <w:rFonts w:hint="eastAsia" w:ascii="宋体" w:hAnsi="宋体" w:eastAsia="宋体" w:cs="宋体"/>
          <w:color w:val="auto"/>
          <w:u w:val="none"/>
        </w:rPr>
        <w:t>保证金的</w:t>
      </w:r>
      <w:r>
        <w:rPr>
          <w:rStyle w:val="44"/>
          <w:rFonts w:hint="eastAsia" w:ascii="宋体" w:hAnsi="宋体" w:cs="宋体"/>
          <w:color w:val="auto"/>
          <w:u w:val="none"/>
          <w:lang w:val="en-US" w:eastAsia="zh-CN"/>
        </w:rPr>
        <w:t>(如有）</w:t>
      </w:r>
      <w:r>
        <w:rPr>
          <w:rStyle w:val="44"/>
          <w:rFonts w:hint="eastAsia" w:ascii="宋体" w:hAnsi="宋体" w:eastAsia="宋体" w:cs="宋体"/>
          <w:color w:val="auto"/>
          <w:u w:val="none"/>
        </w:rPr>
        <w:t>。</w:t>
      </w:r>
    </w:p>
    <w:p w14:paraId="616552FE">
      <w:pPr>
        <w:keepNext w:val="0"/>
        <w:keepLines w:val="0"/>
        <w:pageBreakBefore w:val="0"/>
        <w:kinsoku/>
        <w:wordWrap/>
        <w:overflowPunct/>
        <w:topLinePunct w:val="0"/>
        <w:autoSpaceDE/>
        <w:autoSpaceDN/>
        <w:bidi w:val="0"/>
        <w:spacing w:line="432" w:lineRule="auto"/>
        <w:jc w:val="both"/>
        <w:textAlignment w:val="auto"/>
        <w:rPr>
          <w:rStyle w:val="44"/>
          <w:rFonts w:hint="eastAsia" w:ascii="宋体" w:hAnsi="宋体" w:eastAsia="宋体" w:cs="宋体"/>
          <w:color w:val="auto"/>
          <w:u w:val="none"/>
        </w:rPr>
      </w:pPr>
      <w:r>
        <w:rPr>
          <w:rStyle w:val="44"/>
          <w:rFonts w:hint="eastAsia" w:ascii="宋体" w:hAnsi="宋体" w:cs="宋体"/>
          <w:color w:val="auto"/>
          <w:u w:val="none"/>
          <w:lang w:eastAsia="zh-CN"/>
        </w:rPr>
        <w:t>23.1.</w:t>
      </w:r>
      <w:r>
        <w:rPr>
          <w:rStyle w:val="44"/>
          <w:rFonts w:hint="eastAsia" w:ascii="宋体" w:hAnsi="宋体" w:eastAsia="宋体" w:cs="宋体"/>
          <w:color w:val="auto"/>
          <w:u w:val="none"/>
        </w:rPr>
        <w:t>13法律、法规规定的其他情形。</w:t>
      </w:r>
    </w:p>
    <w:p w14:paraId="00528F19">
      <w:pPr>
        <w:keepNext w:val="0"/>
        <w:keepLines w:val="0"/>
        <w:pageBreakBefore w:val="0"/>
        <w:kinsoku/>
        <w:wordWrap/>
        <w:overflowPunct/>
        <w:topLinePunct w:val="0"/>
        <w:autoSpaceDE/>
        <w:autoSpaceDN/>
        <w:bidi w:val="0"/>
        <w:spacing w:line="432" w:lineRule="auto"/>
        <w:jc w:val="both"/>
        <w:textAlignment w:val="auto"/>
        <w:rPr>
          <w:rStyle w:val="44"/>
          <w:rFonts w:hint="eastAsia" w:ascii="宋体" w:hAnsi="宋体" w:eastAsia="宋体" w:cs="宋体"/>
          <w:color w:val="auto"/>
          <w:u w:val="none"/>
        </w:rPr>
      </w:pPr>
      <w:r>
        <w:rPr>
          <w:rStyle w:val="44"/>
          <w:rFonts w:hint="eastAsia" w:ascii="宋体" w:hAnsi="宋体" w:cs="宋体"/>
          <w:color w:val="auto"/>
          <w:u w:val="none"/>
          <w:lang w:val="en-US" w:eastAsia="zh-CN"/>
        </w:rPr>
        <w:t>23.2</w:t>
      </w:r>
      <w:r>
        <w:rPr>
          <w:rStyle w:val="44"/>
          <w:rFonts w:hint="eastAsia" w:ascii="宋体" w:hAnsi="宋体" w:eastAsia="宋体" w:cs="宋体"/>
          <w:color w:val="auto"/>
          <w:u w:val="none"/>
        </w:rPr>
        <w:t xml:space="preserve">  重新开展采购活动确定原则：</w:t>
      </w:r>
    </w:p>
    <w:p w14:paraId="67F3251B">
      <w:pPr>
        <w:keepNext w:val="0"/>
        <w:keepLines w:val="0"/>
        <w:pageBreakBefore w:val="0"/>
        <w:kinsoku/>
        <w:wordWrap/>
        <w:overflowPunct/>
        <w:topLinePunct w:val="0"/>
        <w:autoSpaceDE/>
        <w:autoSpaceDN/>
        <w:bidi w:val="0"/>
        <w:spacing w:line="432" w:lineRule="auto"/>
        <w:jc w:val="both"/>
        <w:textAlignment w:val="auto"/>
        <w:rPr>
          <w:rFonts w:hint="eastAsia" w:ascii="宋体" w:hAnsi="宋体" w:eastAsia="宋体" w:cs="宋体"/>
          <w:color w:val="auto"/>
        </w:rPr>
      </w:pPr>
      <w:r>
        <w:rPr>
          <w:rStyle w:val="44"/>
          <w:rFonts w:hint="eastAsia" w:ascii="宋体" w:hAnsi="宋体" w:cs="宋体"/>
          <w:color w:val="auto"/>
          <w:u w:val="none"/>
          <w:lang w:eastAsia="zh-CN"/>
        </w:rPr>
        <w:t>23.2</w:t>
      </w:r>
      <w:r>
        <w:rPr>
          <w:rStyle w:val="44"/>
          <w:rFonts w:hint="eastAsia" w:ascii="宋体" w:hAnsi="宋体" w:eastAsia="宋体" w:cs="宋体"/>
          <w:color w:val="auto"/>
          <w:u w:val="none"/>
        </w:rPr>
        <w:t>.1因情况变化，不再符合规定的</w:t>
      </w:r>
      <w:r>
        <w:rPr>
          <w:rStyle w:val="44"/>
          <w:rFonts w:hint="eastAsia" w:ascii="宋体" w:hAnsi="宋体" w:cs="宋体"/>
          <w:color w:val="auto"/>
          <w:u w:val="none"/>
          <w:lang w:eastAsia="zh-CN"/>
        </w:rPr>
        <w:t>竞争性谈判</w:t>
      </w:r>
      <w:r>
        <w:rPr>
          <w:rFonts w:hint="eastAsia" w:ascii="宋体" w:hAnsi="宋体" w:eastAsia="宋体" w:cs="宋体"/>
          <w:color w:val="auto"/>
        </w:rPr>
        <w:t>采购方式适用情形的；</w:t>
      </w:r>
    </w:p>
    <w:p w14:paraId="547184AA">
      <w:pPr>
        <w:keepNext w:val="0"/>
        <w:keepLines w:val="0"/>
        <w:pageBreakBefore w:val="0"/>
        <w:kinsoku/>
        <w:wordWrap/>
        <w:overflowPunct/>
        <w:topLinePunct w:val="0"/>
        <w:autoSpaceDE/>
        <w:autoSpaceDN/>
        <w:bidi w:val="0"/>
        <w:spacing w:line="432" w:lineRule="auto"/>
        <w:jc w:val="both"/>
        <w:textAlignment w:val="auto"/>
        <w:rPr>
          <w:rFonts w:hint="eastAsia" w:ascii="宋体" w:hAnsi="宋体" w:eastAsia="宋体" w:cs="宋体"/>
          <w:color w:val="auto"/>
        </w:rPr>
      </w:pPr>
      <w:r>
        <w:rPr>
          <w:rFonts w:hint="eastAsia" w:ascii="宋体" w:hAnsi="宋体" w:cs="宋体"/>
          <w:color w:val="auto"/>
          <w:lang w:eastAsia="zh-CN"/>
        </w:rPr>
        <w:t>23.2</w:t>
      </w:r>
      <w:r>
        <w:rPr>
          <w:rFonts w:hint="eastAsia" w:ascii="宋体" w:hAnsi="宋体" w:eastAsia="宋体" w:cs="宋体"/>
          <w:color w:val="auto"/>
        </w:rPr>
        <w:t>.2出现影响采购公正的违法、违规行为的；</w:t>
      </w:r>
    </w:p>
    <w:p w14:paraId="284EE620">
      <w:pPr>
        <w:keepNext w:val="0"/>
        <w:keepLines w:val="0"/>
        <w:pageBreakBefore w:val="0"/>
        <w:kinsoku/>
        <w:wordWrap/>
        <w:overflowPunct/>
        <w:topLinePunct w:val="0"/>
        <w:autoSpaceDE/>
        <w:autoSpaceDN/>
        <w:bidi w:val="0"/>
        <w:spacing w:line="432" w:lineRule="auto"/>
        <w:jc w:val="both"/>
        <w:textAlignment w:val="auto"/>
        <w:rPr>
          <w:rFonts w:hint="eastAsia" w:ascii="宋体" w:hAnsi="宋体" w:eastAsia="宋体" w:cs="宋体"/>
          <w:color w:val="auto"/>
        </w:rPr>
      </w:pPr>
      <w:r>
        <w:rPr>
          <w:rFonts w:hint="eastAsia" w:ascii="宋体" w:hAnsi="宋体" w:cs="宋体"/>
          <w:color w:val="auto"/>
          <w:lang w:eastAsia="zh-CN"/>
        </w:rPr>
        <w:t>23.2</w:t>
      </w:r>
      <w:r>
        <w:rPr>
          <w:rFonts w:hint="eastAsia" w:ascii="宋体" w:hAnsi="宋体" w:eastAsia="宋体" w:cs="宋体"/>
          <w:color w:val="auto"/>
        </w:rPr>
        <w:t>.3在采购过程中符合要求的供应商或者报价未超过</w:t>
      </w:r>
      <w:r>
        <w:rPr>
          <w:rFonts w:hint="eastAsia" w:ascii="宋体" w:hAnsi="宋体" w:cs="宋体"/>
          <w:color w:val="auto"/>
          <w:lang w:val="en-US" w:eastAsia="zh-CN"/>
        </w:rPr>
        <w:t>控制价</w:t>
      </w:r>
      <w:r>
        <w:rPr>
          <w:rFonts w:hint="eastAsia" w:ascii="宋体" w:hAnsi="宋体" w:eastAsia="宋体" w:cs="宋体"/>
          <w:color w:val="auto"/>
        </w:rPr>
        <w:t>的供应商不足3家的。</w:t>
      </w:r>
    </w:p>
    <w:p w14:paraId="69F35E5F">
      <w:pPr>
        <w:keepNext w:val="0"/>
        <w:keepLines w:val="0"/>
        <w:pageBreakBefore w:val="0"/>
        <w:kinsoku/>
        <w:wordWrap/>
        <w:overflowPunct/>
        <w:topLinePunct w:val="0"/>
        <w:autoSpaceDE/>
        <w:autoSpaceDN/>
        <w:bidi w:val="0"/>
        <w:spacing w:line="432" w:lineRule="auto"/>
        <w:jc w:val="both"/>
        <w:textAlignment w:val="auto"/>
        <w:rPr>
          <w:rFonts w:hint="eastAsia" w:ascii="宋体" w:hAnsi="宋体" w:eastAsia="宋体" w:cs="宋体"/>
          <w:bCs/>
          <w:color w:val="auto"/>
        </w:rPr>
      </w:pPr>
      <w:r>
        <w:rPr>
          <w:rFonts w:hint="eastAsia" w:ascii="宋体" w:hAnsi="宋体" w:cs="宋体"/>
          <w:color w:val="auto"/>
          <w:lang w:eastAsia="zh-CN"/>
        </w:rPr>
        <w:t>23.2</w:t>
      </w:r>
      <w:r>
        <w:rPr>
          <w:rFonts w:hint="eastAsia" w:ascii="宋体" w:hAnsi="宋体" w:eastAsia="宋体" w:cs="宋体"/>
          <w:color w:val="auto"/>
        </w:rPr>
        <w:t>.4</w:t>
      </w:r>
      <w:r>
        <w:rPr>
          <w:rFonts w:hint="eastAsia" w:ascii="宋体" w:hAnsi="宋体" w:eastAsia="宋体" w:cs="宋体"/>
          <w:bCs/>
          <w:color w:val="auto"/>
        </w:rPr>
        <w:t>因重大变故，采购任务取消的；</w:t>
      </w:r>
    </w:p>
    <w:p w14:paraId="500265F5">
      <w:pPr>
        <w:keepNext w:val="0"/>
        <w:keepLines w:val="0"/>
        <w:pageBreakBefore w:val="0"/>
        <w:kinsoku/>
        <w:wordWrap/>
        <w:overflowPunct/>
        <w:topLinePunct w:val="0"/>
        <w:autoSpaceDE/>
        <w:autoSpaceDN/>
        <w:bidi w:val="0"/>
        <w:spacing w:line="432" w:lineRule="auto"/>
        <w:jc w:val="both"/>
        <w:textAlignment w:val="auto"/>
        <w:rPr>
          <w:rFonts w:hint="eastAsia" w:ascii="宋体" w:hAnsi="宋体" w:eastAsia="宋体" w:cs="宋体"/>
          <w:color w:val="auto"/>
        </w:rPr>
      </w:pPr>
      <w:r>
        <w:rPr>
          <w:rFonts w:hint="eastAsia" w:ascii="宋体" w:hAnsi="宋体" w:cs="宋体"/>
          <w:color w:val="auto"/>
          <w:lang w:eastAsia="zh-CN"/>
        </w:rPr>
        <w:t>23.2</w:t>
      </w:r>
      <w:r>
        <w:rPr>
          <w:rFonts w:hint="eastAsia" w:ascii="宋体" w:hAnsi="宋体" w:eastAsia="宋体" w:cs="宋体"/>
          <w:color w:val="auto"/>
        </w:rPr>
        <w:t>.5法律、法规规定的其他情形。</w:t>
      </w:r>
    </w:p>
    <w:p w14:paraId="674AD1D7">
      <w:pPr>
        <w:rPr>
          <w:rFonts w:hint="eastAsia" w:ascii="宋体" w:hAnsi="宋体" w:eastAsia="宋体" w:cs="宋体"/>
          <w:b/>
          <w:bCs/>
          <w:color w:val="auto"/>
          <w:szCs w:val="21"/>
        </w:rPr>
      </w:pPr>
    </w:p>
    <w:p w14:paraId="5E54FB3A">
      <w:pPr>
        <w:keepNext w:val="0"/>
        <w:keepLines w:val="0"/>
        <w:pageBreakBefore w:val="0"/>
        <w:kinsoku/>
        <w:wordWrap/>
        <w:overflowPunct/>
        <w:topLinePunct w:val="0"/>
        <w:autoSpaceDE/>
        <w:autoSpaceDN/>
        <w:bidi w:val="0"/>
        <w:spacing w:line="432" w:lineRule="auto"/>
        <w:jc w:val="center"/>
        <w:textAlignment w:val="auto"/>
        <w:outlineLvl w:val="9"/>
        <w:rPr>
          <w:rFonts w:hint="eastAsia" w:ascii="宋体" w:hAnsi="宋体" w:eastAsia="宋体" w:cs="宋体"/>
          <w:b/>
          <w:bCs/>
          <w:color w:val="auto"/>
          <w:szCs w:val="21"/>
        </w:rPr>
      </w:pPr>
      <w:r>
        <w:rPr>
          <w:rFonts w:hint="eastAsia" w:ascii="宋体" w:hAnsi="宋体" w:cs="宋体"/>
          <w:b/>
          <w:bCs/>
          <w:color w:val="auto"/>
          <w:szCs w:val="21"/>
          <w:lang w:val="en-US" w:eastAsia="zh-CN"/>
        </w:rPr>
        <w:t>G</w:t>
      </w:r>
      <w:r>
        <w:rPr>
          <w:rFonts w:hint="eastAsia" w:ascii="宋体" w:hAnsi="宋体" w:eastAsia="宋体" w:cs="宋体"/>
          <w:b/>
          <w:bCs/>
          <w:color w:val="auto"/>
          <w:szCs w:val="21"/>
        </w:rPr>
        <w:t>成交</w:t>
      </w:r>
    </w:p>
    <w:p w14:paraId="579EDA0C">
      <w:pPr>
        <w:keepNext w:val="0"/>
        <w:keepLines w:val="0"/>
        <w:pageBreakBefore w:val="0"/>
        <w:numPr>
          <w:ilvl w:val="0"/>
          <w:numId w:val="0"/>
        </w:numPr>
        <w:kinsoku/>
        <w:wordWrap/>
        <w:overflowPunct/>
        <w:topLinePunct w:val="0"/>
        <w:autoSpaceDE/>
        <w:autoSpaceDN/>
        <w:bidi w:val="0"/>
        <w:spacing w:line="432" w:lineRule="auto"/>
        <w:jc w:val="both"/>
        <w:textAlignment w:val="auto"/>
        <w:outlineLvl w:val="9"/>
        <w:rPr>
          <w:rFonts w:hint="eastAsia" w:ascii="宋体" w:hAnsi="宋体" w:eastAsia="宋体" w:cs="宋体"/>
          <w:color w:val="auto"/>
          <w:szCs w:val="21"/>
        </w:rPr>
      </w:pPr>
      <w:r>
        <w:rPr>
          <w:rFonts w:hint="eastAsia" w:ascii="宋体" w:hAnsi="宋体" w:cs="宋体"/>
          <w:color w:val="auto"/>
          <w:lang w:val="en-US" w:eastAsia="zh-CN"/>
        </w:rPr>
        <w:t>24.</w:t>
      </w:r>
      <w:r>
        <w:rPr>
          <w:rFonts w:hint="eastAsia" w:ascii="宋体" w:hAnsi="宋体" w:eastAsia="宋体" w:cs="宋体"/>
          <w:color w:val="auto"/>
        </w:rPr>
        <w:t>成交：</w:t>
      </w:r>
    </w:p>
    <w:p w14:paraId="42A22125">
      <w:pPr>
        <w:keepNext w:val="0"/>
        <w:keepLines w:val="0"/>
        <w:pageBreakBefore w:val="0"/>
        <w:kinsoku/>
        <w:wordWrap/>
        <w:overflowPunct/>
        <w:topLinePunct w:val="0"/>
        <w:autoSpaceDE/>
        <w:autoSpaceDN/>
        <w:bidi w:val="0"/>
        <w:spacing w:line="432" w:lineRule="auto"/>
        <w:jc w:val="both"/>
        <w:textAlignment w:val="auto"/>
        <w:outlineLvl w:val="9"/>
        <w:rPr>
          <w:rFonts w:hint="eastAsia" w:ascii="宋体" w:hAnsi="宋体" w:eastAsia="宋体" w:cs="宋体"/>
          <w:color w:val="auto"/>
          <w:szCs w:val="21"/>
        </w:rPr>
      </w:pPr>
      <w:r>
        <w:rPr>
          <w:rFonts w:hint="eastAsia" w:ascii="宋体" w:hAnsi="宋体" w:cs="宋体"/>
          <w:color w:val="auto"/>
          <w:szCs w:val="21"/>
          <w:lang w:eastAsia="zh-CN"/>
        </w:rPr>
        <w:t>24.</w:t>
      </w:r>
      <w:r>
        <w:rPr>
          <w:rFonts w:hint="eastAsia" w:ascii="宋体" w:hAnsi="宋体" w:eastAsia="宋体" w:cs="宋体"/>
          <w:color w:val="auto"/>
          <w:szCs w:val="21"/>
        </w:rPr>
        <w:t xml:space="preserve">1 </w:t>
      </w:r>
      <w:r>
        <w:rPr>
          <w:rFonts w:hint="eastAsia" w:ascii="宋体" w:hAnsi="宋体" w:cs="宋体"/>
          <w:color w:val="auto"/>
          <w:szCs w:val="21"/>
          <w:lang w:eastAsia="zh-CN"/>
        </w:rPr>
        <w:t>竞争性谈判</w:t>
      </w:r>
      <w:r>
        <w:rPr>
          <w:rFonts w:hint="eastAsia" w:ascii="宋体" w:hAnsi="宋体" w:eastAsia="宋体" w:cs="宋体"/>
          <w:color w:val="auto"/>
          <w:szCs w:val="21"/>
        </w:rPr>
        <w:t>小组将评审情况写出书面报告，推荐成交候选供应商。</w:t>
      </w:r>
    </w:p>
    <w:p w14:paraId="51A3CD72">
      <w:pPr>
        <w:keepNext w:val="0"/>
        <w:keepLines w:val="0"/>
        <w:pageBreakBefore w:val="0"/>
        <w:kinsoku/>
        <w:wordWrap/>
        <w:overflowPunct/>
        <w:topLinePunct w:val="0"/>
        <w:autoSpaceDE/>
        <w:autoSpaceDN/>
        <w:bidi w:val="0"/>
        <w:spacing w:line="432" w:lineRule="auto"/>
        <w:jc w:val="both"/>
        <w:textAlignment w:val="auto"/>
        <w:outlineLvl w:val="9"/>
        <w:rPr>
          <w:rFonts w:hint="eastAsia" w:ascii="宋体" w:hAnsi="宋体" w:eastAsia="宋体" w:cs="宋体"/>
          <w:color w:val="auto"/>
        </w:rPr>
      </w:pPr>
      <w:r>
        <w:rPr>
          <w:rFonts w:hint="eastAsia" w:ascii="宋体" w:hAnsi="宋体" w:cs="宋体"/>
          <w:color w:val="auto"/>
          <w:szCs w:val="21"/>
          <w:lang w:eastAsia="zh-CN"/>
        </w:rPr>
        <w:t>24.</w:t>
      </w:r>
      <w:r>
        <w:rPr>
          <w:rFonts w:hint="eastAsia" w:ascii="宋体" w:hAnsi="宋体" w:cs="宋体"/>
          <w:color w:val="auto"/>
          <w:szCs w:val="21"/>
          <w:lang w:val="en-US" w:eastAsia="zh-CN"/>
        </w:rPr>
        <w:t>2</w:t>
      </w:r>
      <w:r>
        <w:rPr>
          <w:rFonts w:hint="eastAsia" w:ascii="宋体" w:hAnsi="宋体" w:eastAsia="宋体" w:cs="宋体"/>
          <w:color w:val="auto"/>
          <w:szCs w:val="21"/>
        </w:rPr>
        <w:t>采购</w:t>
      </w:r>
      <w:r>
        <w:rPr>
          <w:rFonts w:hint="eastAsia" w:ascii="宋体" w:hAnsi="宋体" w:cs="宋体"/>
          <w:color w:val="auto"/>
          <w:szCs w:val="21"/>
          <w:lang w:val="en-US" w:eastAsia="zh-CN"/>
        </w:rPr>
        <w:t>人</w:t>
      </w:r>
      <w:r>
        <w:rPr>
          <w:rFonts w:hint="eastAsia" w:ascii="宋体" w:hAnsi="宋体" w:eastAsia="宋体" w:cs="宋体"/>
          <w:color w:val="auto"/>
          <w:szCs w:val="21"/>
        </w:rPr>
        <w:t>不退回响应供应商响应文件和其他响应资料。</w:t>
      </w:r>
    </w:p>
    <w:p w14:paraId="337D36A7">
      <w:pPr>
        <w:keepNext w:val="0"/>
        <w:keepLines w:val="0"/>
        <w:pageBreakBefore w:val="0"/>
        <w:kinsoku/>
        <w:wordWrap/>
        <w:overflowPunct/>
        <w:topLinePunct w:val="0"/>
        <w:autoSpaceDE/>
        <w:autoSpaceDN/>
        <w:bidi w:val="0"/>
        <w:spacing w:line="432" w:lineRule="auto"/>
        <w:jc w:val="both"/>
        <w:textAlignment w:val="auto"/>
        <w:rPr>
          <w:rFonts w:hint="eastAsia" w:ascii="宋体" w:hAnsi="宋体" w:eastAsia="宋体" w:cs="宋体"/>
          <w:color w:val="auto"/>
        </w:rPr>
      </w:pPr>
      <w:r>
        <w:rPr>
          <w:rFonts w:hint="eastAsia" w:ascii="宋体" w:hAnsi="宋体" w:cs="宋体"/>
          <w:color w:val="auto"/>
          <w:lang w:val="en-US" w:eastAsia="zh-CN"/>
        </w:rPr>
        <w:t>25.</w:t>
      </w:r>
      <w:r>
        <w:rPr>
          <w:rFonts w:hint="eastAsia" w:ascii="宋体" w:hAnsi="宋体" w:eastAsia="宋体" w:cs="宋体"/>
          <w:color w:val="auto"/>
        </w:rPr>
        <w:t>成交通知：</w:t>
      </w:r>
    </w:p>
    <w:p w14:paraId="180C0FE3">
      <w:pPr>
        <w:keepNext w:val="0"/>
        <w:keepLines w:val="0"/>
        <w:pageBreakBefore w:val="0"/>
        <w:kinsoku/>
        <w:wordWrap/>
        <w:overflowPunct/>
        <w:topLinePunct w:val="0"/>
        <w:autoSpaceDE/>
        <w:autoSpaceDN/>
        <w:bidi w:val="0"/>
        <w:spacing w:line="432" w:lineRule="auto"/>
        <w:jc w:val="both"/>
        <w:textAlignment w:val="auto"/>
        <w:rPr>
          <w:rFonts w:hint="eastAsia" w:ascii="宋体" w:hAnsi="宋体" w:eastAsia="宋体" w:cs="宋体"/>
          <w:color w:val="auto"/>
        </w:rPr>
      </w:pPr>
      <w:r>
        <w:rPr>
          <w:rFonts w:hint="eastAsia" w:ascii="宋体" w:hAnsi="宋体" w:eastAsia="宋体" w:cs="宋体"/>
          <w:color w:val="auto"/>
        </w:rPr>
        <w:t>2</w:t>
      </w:r>
      <w:r>
        <w:rPr>
          <w:rFonts w:hint="eastAsia" w:ascii="宋体" w:hAnsi="宋体" w:cs="宋体"/>
          <w:color w:val="auto"/>
          <w:lang w:val="en-US" w:eastAsia="zh-CN"/>
        </w:rPr>
        <w:t>5</w:t>
      </w:r>
      <w:r>
        <w:rPr>
          <w:rFonts w:hint="eastAsia" w:ascii="宋体" w:hAnsi="宋体" w:eastAsia="宋体" w:cs="宋体"/>
          <w:color w:val="auto"/>
        </w:rPr>
        <w:t>.1 确定出成交单位后，将以书面形式发出《</w:t>
      </w:r>
      <w:r>
        <w:rPr>
          <w:rFonts w:hint="eastAsia" w:ascii="宋体" w:hAnsi="宋体" w:cs="宋体"/>
          <w:color w:val="auto"/>
          <w:lang w:eastAsia="zh-CN"/>
        </w:rPr>
        <w:t>中标通知书</w:t>
      </w:r>
      <w:r>
        <w:rPr>
          <w:rFonts w:hint="eastAsia" w:ascii="宋体" w:hAnsi="宋体" w:eastAsia="宋体" w:cs="宋体"/>
          <w:color w:val="auto"/>
        </w:rPr>
        <w:t>》。《</w:t>
      </w:r>
      <w:r>
        <w:rPr>
          <w:rFonts w:hint="eastAsia" w:ascii="宋体" w:hAnsi="宋体" w:cs="宋体"/>
          <w:color w:val="auto"/>
          <w:lang w:eastAsia="zh-CN"/>
        </w:rPr>
        <w:t>中标通知书</w:t>
      </w:r>
      <w:r>
        <w:rPr>
          <w:rFonts w:hint="eastAsia" w:ascii="宋体" w:hAnsi="宋体" w:eastAsia="宋体" w:cs="宋体"/>
          <w:color w:val="auto"/>
        </w:rPr>
        <w:t>》一经发出即发生法律效力。</w:t>
      </w:r>
    </w:p>
    <w:p w14:paraId="56250CFE">
      <w:pPr>
        <w:keepNext w:val="0"/>
        <w:keepLines w:val="0"/>
        <w:pageBreakBefore w:val="0"/>
        <w:kinsoku/>
        <w:wordWrap/>
        <w:overflowPunct/>
        <w:topLinePunct w:val="0"/>
        <w:autoSpaceDE/>
        <w:autoSpaceDN/>
        <w:bidi w:val="0"/>
        <w:spacing w:line="432" w:lineRule="auto"/>
        <w:jc w:val="both"/>
        <w:textAlignment w:val="auto"/>
        <w:rPr>
          <w:rFonts w:hint="eastAsia" w:ascii="宋体" w:hAnsi="宋体" w:eastAsia="宋体" w:cs="宋体"/>
          <w:color w:val="auto"/>
        </w:rPr>
      </w:pPr>
      <w:r>
        <w:rPr>
          <w:rFonts w:hint="eastAsia" w:ascii="宋体" w:hAnsi="宋体" w:eastAsia="宋体" w:cs="宋体"/>
          <w:color w:val="auto"/>
        </w:rPr>
        <w:t>2</w:t>
      </w:r>
      <w:r>
        <w:rPr>
          <w:rFonts w:hint="eastAsia" w:ascii="宋体" w:hAnsi="宋体" w:cs="宋体"/>
          <w:color w:val="auto"/>
          <w:lang w:val="en-US" w:eastAsia="zh-CN"/>
        </w:rPr>
        <w:t>5</w:t>
      </w:r>
      <w:r>
        <w:rPr>
          <w:rFonts w:hint="eastAsia" w:ascii="宋体" w:hAnsi="宋体" w:eastAsia="宋体" w:cs="宋体"/>
          <w:color w:val="auto"/>
        </w:rPr>
        <w:t>.</w:t>
      </w:r>
      <w:r>
        <w:rPr>
          <w:rFonts w:hint="eastAsia" w:ascii="宋体" w:hAnsi="宋体" w:cs="宋体"/>
          <w:color w:val="auto"/>
          <w:lang w:val="en-US" w:eastAsia="zh-CN"/>
        </w:rPr>
        <w:t>2</w:t>
      </w:r>
      <w:r>
        <w:rPr>
          <w:rFonts w:hint="eastAsia" w:ascii="宋体" w:hAnsi="宋体" w:eastAsia="宋体" w:cs="宋体"/>
          <w:color w:val="auto"/>
        </w:rPr>
        <w:t xml:space="preserve"> 《</w:t>
      </w:r>
      <w:r>
        <w:rPr>
          <w:rFonts w:hint="eastAsia" w:ascii="宋体" w:hAnsi="宋体" w:cs="宋体"/>
          <w:color w:val="auto"/>
          <w:lang w:eastAsia="zh-CN"/>
        </w:rPr>
        <w:t>中标通知书</w:t>
      </w:r>
      <w:r>
        <w:rPr>
          <w:rFonts w:hint="eastAsia" w:ascii="宋体" w:hAnsi="宋体" w:eastAsia="宋体" w:cs="宋体"/>
          <w:color w:val="auto"/>
        </w:rPr>
        <w:t>》将作为签订合同的依据。</w:t>
      </w:r>
    </w:p>
    <w:p w14:paraId="1C0C085F">
      <w:pPr>
        <w:keepNext w:val="0"/>
        <w:keepLines w:val="0"/>
        <w:pageBreakBefore w:val="0"/>
        <w:kinsoku/>
        <w:wordWrap/>
        <w:overflowPunct/>
        <w:topLinePunct w:val="0"/>
        <w:autoSpaceDE/>
        <w:autoSpaceDN/>
        <w:bidi w:val="0"/>
        <w:spacing w:line="432" w:lineRule="auto"/>
        <w:jc w:val="both"/>
        <w:textAlignment w:val="auto"/>
        <w:rPr>
          <w:rFonts w:hint="eastAsia" w:ascii="宋体" w:hAnsi="宋体" w:eastAsia="宋体" w:cs="宋体"/>
          <w:color w:val="auto"/>
        </w:rPr>
      </w:pPr>
      <w:r>
        <w:rPr>
          <w:rFonts w:hint="eastAsia" w:ascii="宋体" w:hAnsi="宋体" w:eastAsia="宋体" w:cs="宋体"/>
          <w:color w:val="auto"/>
        </w:rPr>
        <w:t>2</w:t>
      </w:r>
      <w:r>
        <w:rPr>
          <w:rFonts w:hint="eastAsia" w:ascii="宋体" w:hAnsi="宋体" w:cs="宋体"/>
          <w:color w:val="auto"/>
          <w:lang w:val="en-US" w:eastAsia="zh-CN"/>
        </w:rPr>
        <w:t>6</w:t>
      </w:r>
      <w:r>
        <w:rPr>
          <w:rFonts w:hint="eastAsia" w:ascii="宋体" w:hAnsi="宋体" w:eastAsia="宋体" w:cs="宋体"/>
          <w:color w:val="auto"/>
        </w:rPr>
        <w:t>．签订合同：</w:t>
      </w:r>
    </w:p>
    <w:p w14:paraId="02A0AF9E">
      <w:pPr>
        <w:keepNext w:val="0"/>
        <w:keepLines w:val="0"/>
        <w:pageBreakBefore w:val="0"/>
        <w:kinsoku/>
        <w:wordWrap/>
        <w:overflowPunct/>
        <w:topLinePunct w:val="0"/>
        <w:autoSpaceDE/>
        <w:autoSpaceDN/>
        <w:bidi w:val="0"/>
        <w:spacing w:line="432" w:lineRule="auto"/>
        <w:jc w:val="both"/>
        <w:textAlignment w:val="auto"/>
        <w:rPr>
          <w:rFonts w:hint="eastAsia" w:ascii="宋体" w:hAnsi="宋体" w:eastAsia="宋体" w:cs="宋体"/>
          <w:color w:val="auto"/>
        </w:rPr>
      </w:pPr>
      <w:r>
        <w:rPr>
          <w:rFonts w:hint="eastAsia" w:ascii="宋体" w:hAnsi="宋体" w:eastAsia="宋体" w:cs="宋体"/>
          <w:color w:val="auto"/>
        </w:rPr>
        <w:t>2</w:t>
      </w:r>
      <w:r>
        <w:rPr>
          <w:rFonts w:hint="eastAsia" w:ascii="宋体" w:hAnsi="宋体" w:cs="宋体"/>
          <w:color w:val="auto"/>
          <w:lang w:val="en-US" w:eastAsia="zh-CN"/>
        </w:rPr>
        <w:t>6</w:t>
      </w:r>
      <w:r>
        <w:rPr>
          <w:rFonts w:hint="eastAsia" w:ascii="宋体" w:hAnsi="宋体" w:eastAsia="宋体" w:cs="宋体"/>
          <w:color w:val="auto"/>
        </w:rPr>
        <w:t>.1 成交供应商应当按照《</w:t>
      </w:r>
      <w:r>
        <w:rPr>
          <w:rFonts w:hint="eastAsia" w:ascii="宋体" w:hAnsi="宋体" w:cs="宋体"/>
          <w:color w:val="auto"/>
          <w:lang w:eastAsia="zh-CN"/>
        </w:rPr>
        <w:t>中标通知书</w:t>
      </w:r>
      <w:r>
        <w:rPr>
          <w:rFonts w:hint="eastAsia" w:ascii="宋体" w:hAnsi="宋体" w:eastAsia="宋体" w:cs="宋体"/>
          <w:color w:val="auto"/>
        </w:rPr>
        <w:t>》中指定的时间、地点与采购人按照</w:t>
      </w:r>
      <w:r>
        <w:rPr>
          <w:rFonts w:hint="eastAsia" w:ascii="宋体" w:hAnsi="宋体" w:cs="宋体"/>
          <w:color w:val="auto"/>
          <w:lang w:eastAsia="zh-CN"/>
        </w:rPr>
        <w:t>竞争性谈判</w:t>
      </w:r>
      <w:r>
        <w:rPr>
          <w:rFonts w:hint="eastAsia" w:ascii="宋体" w:hAnsi="宋体" w:eastAsia="宋体" w:cs="宋体"/>
          <w:color w:val="auto"/>
        </w:rPr>
        <w:t>文件和成交供应的响应文件订立书面合同，所订的合同不得对</w:t>
      </w:r>
      <w:r>
        <w:rPr>
          <w:rFonts w:hint="eastAsia" w:ascii="宋体" w:hAnsi="宋体" w:cs="宋体"/>
          <w:color w:val="auto"/>
          <w:lang w:eastAsia="zh-CN"/>
        </w:rPr>
        <w:t>竞争性谈判</w:t>
      </w:r>
      <w:r>
        <w:rPr>
          <w:rFonts w:hint="eastAsia" w:ascii="宋体" w:hAnsi="宋体" w:eastAsia="宋体" w:cs="宋体"/>
          <w:color w:val="auto"/>
        </w:rPr>
        <w:t>文件和成交供应商的响应文件作实质性修改。</w:t>
      </w:r>
    </w:p>
    <w:p w14:paraId="7A36C7C1">
      <w:pPr>
        <w:keepNext w:val="0"/>
        <w:keepLines w:val="0"/>
        <w:pageBreakBefore w:val="0"/>
        <w:kinsoku/>
        <w:wordWrap/>
        <w:overflowPunct/>
        <w:topLinePunct w:val="0"/>
        <w:autoSpaceDE/>
        <w:autoSpaceDN/>
        <w:bidi w:val="0"/>
        <w:spacing w:line="432" w:lineRule="auto"/>
        <w:jc w:val="both"/>
        <w:textAlignment w:val="auto"/>
        <w:rPr>
          <w:rFonts w:hint="eastAsia" w:ascii="宋体" w:hAnsi="宋体" w:eastAsia="宋体" w:cs="宋体"/>
          <w:color w:val="auto"/>
        </w:rPr>
      </w:pPr>
      <w:r>
        <w:rPr>
          <w:rFonts w:hint="eastAsia" w:ascii="宋体" w:hAnsi="宋体" w:eastAsia="宋体" w:cs="宋体"/>
          <w:color w:val="auto"/>
        </w:rPr>
        <w:t xml:space="preserve">25.2 </w:t>
      </w:r>
      <w:r>
        <w:rPr>
          <w:rFonts w:hint="eastAsia" w:ascii="宋体" w:hAnsi="宋体" w:cs="宋体"/>
          <w:color w:val="auto"/>
          <w:lang w:eastAsia="zh-CN"/>
        </w:rPr>
        <w:t>竞争性谈判</w:t>
      </w:r>
      <w:r>
        <w:rPr>
          <w:rFonts w:hint="eastAsia" w:ascii="宋体" w:hAnsi="宋体" w:eastAsia="宋体" w:cs="宋体"/>
          <w:color w:val="auto"/>
        </w:rPr>
        <w:t>文件、成交供应商的响应文件及其澄清文件等，均为签订采购合同的依据。</w:t>
      </w:r>
    </w:p>
    <w:p w14:paraId="2BF14611">
      <w:pPr>
        <w:keepNext w:val="0"/>
        <w:keepLines w:val="0"/>
        <w:pageBreakBefore w:val="0"/>
        <w:kinsoku/>
        <w:wordWrap/>
        <w:overflowPunct/>
        <w:topLinePunct w:val="0"/>
        <w:autoSpaceDE/>
        <w:autoSpaceDN/>
        <w:bidi w:val="0"/>
        <w:spacing w:line="432" w:lineRule="auto"/>
        <w:jc w:val="both"/>
        <w:textAlignment w:val="auto"/>
        <w:rPr>
          <w:rFonts w:hint="eastAsia" w:ascii="宋体" w:hAnsi="宋体" w:eastAsia="宋体" w:cs="宋体"/>
          <w:color w:val="auto"/>
        </w:rPr>
      </w:pPr>
      <w:r>
        <w:rPr>
          <w:rFonts w:hint="eastAsia" w:ascii="宋体" w:hAnsi="宋体" w:eastAsia="宋体" w:cs="宋体"/>
          <w:color w:val="auto"/>
        </w:rPr>
        <w:t>25.3 采购人与成交供应商应当按照</w:t>
      </w:r>
      <w:r>
        <w:rPr>
          <w:rFonts w:hint="eastAsia" w:ascii="宋体" w:hAnsi="宋体" w:cs="宋体"/>
          <w:color w:val="auto"/>
          <w:lang w:eastAsia="zh-CN"/>
        </w:rPr>
        <w:t>竞争性谈判</w:t>
      </w:r>
      <w:r>
        <w:rPr>
          <w:rFonts w:hint="eastAsia" w:ascii="宋体" w:hAnsi="宋体" w:eastAsia="宋体" w:cs="宋体"/>
          <w:color w:val="auto"/>
        </w:rPr>
        <w:t>文件确定的合同文本格式（参考）以及采购标的、品牌、规格型号、采购金额、采购数量、技术服务要求等事项签订</w:t>
      </w:r>
      <w:r>
        <w:rPr>
          <w:rFonts w:hint="eastAsia" w:ascii="宋体" w:hAnsi="宋体" w:eastAsia="宋体" w:cs="宋体"/>
          <w:color w:val="auto"/>
          <w:lang w:eastAsia="zh-CN"/>
        </w:rPr>
        <w:t>采购合同</w:t>
      </w:r>
      <w:r>
        <w:rPr>
          <w:rFonts w:hint="eastAsia" w:ascii="宋体" w:hAnsi="宋体" w:eastAsia="宋体" w:cs="宋体"/>
          <w:color w:val="auto"/>
        </w:rPr>
        <w:t>。采购人不得向成交供应商提出超出</w:t>
      </w:r>
      <w:r>
        <w:rPr>
          <w:rFonts w:hint="eastAsia" w:ascii="宋体" w:hAnsi="宋体" w:cs="宋体"/>
          <w:color w:val="auto"/>
          <w:lang w:eastAsia="zh-CN"/>
        </w:rPr>
        <w:t>竞争性谈判</w:t>
      </w:r>
      <w:r>
        <w:rPr>
          <w:rFonts w:hint="eastAsia" w:ascii="宋体" w:hAnsi="宋体" w:eastAsia="宋体" w:cs="宋体"/>
          <w:color w:val="auto"/>
        </w:rPr>
        <w:t>文件以外的任何要求作为签订合同的条件，不得与成交供应商订立背离</w:t>
      </w:r>
      <w:r>
        <w:rPr>
          <w:rFonts w:hint="eastAsia" w:ascii="宋体" w:hAnsi="宋体" w:cs="宋体"/>
          <w:color w:val="auto"/>
          <w:lang w:eastAsia="zh-CN"/>
        </w:rPr>
        <w:t>竞争性谈判</w:t>
      </w:r>
      <w:r>
        <w:rPr>
          <w:rFonts w:hint="eastAsia" w:ascii="宋体" w:hAnsi="宋体" w:eastAsia="宋体" w:cs="宋体"/>
          <w:color w:val="auto"/>
        </w:rPr>
        <w:t>文件确定的采购标的、规格型号、采购金额、采购数量、技术服务要求等实质性内容的合同。</w:t>
      </w:r>
    </w:p>
    <w:p w14:paraId="276AA001">
      <w:pPr>
        <w:keepNext w:val="0"/>
        <w:keepLines w:val="0"/>
        <w:pageBreakBefore w:val="0"/>
        <w:kinsoku/>
        <w:wordWrap/>
        <w:overflowPunct/>
        <w:topLinePunct w:val="0"/>
        <w:autoSpaceDE/>
        <w:autoSpaceDN/>
        <w:bidi w:val="0"/>
        <w:spacing w:line="432" w:lineRule="auto"/>
        <w:jc w:val="both"/>
        <w:textAlignment w:val="auto"/>
        <w:rPr>
          <w:rFonts w:hint="eastAsia" w:ascii="宋体" w:hAnsi="宋体" w:eastAsia="宋体" w:cs="宋体"/>
          <w:color w:val="auto"/>
        </w:rPr>
      </w:pPr>
      <w:r>
        <w:rPr>
          <w:rFonts w:hint="eastAsia" w:ascii="宋体" w:hAnsi="宋体" w:cs="宋体"/>
          <w:color w:val="auto"/>
          <w:lang w:val="en-US" w:eastAsia="zh-CN"/>
        </w:rPr>
        <w:t>27.</w:t>
      </w:r>
      <w:r>
        <w:rPr>
          <w:rFonts w:hint="eastAsia" w:ascii="宋体" w:hAnsi="宋体" w:eastAsia="宋体" w:cs="宋体"/>
          <w:color w:val="auto"/>
        </w:rPr>
        <w:t>除资格性检查认定错误、分值汇总计算错误、分项评分超出评分标准范围、客观分评分不一致、经</w:t>
      </w:r>
      <w:r>
        <w:rPr>
          <w:rFonts w:hint="eastAsia" w:ascii="宋体" w:hAnsi="宋体" w:cs="宋体"/>
          <w:color w:val="auto"/>
          <w:lang w:eastAsia="zh-CN"/>
        </w:rPr>
        <w:t>谈判</w:t>
      </w:r>
      <w:r>
        <w:rPr>
          <w:rFonts w:hint="eastAsia" w:ascii="宋体" w:hAnsi="宋体" w:eastAsia="宋体" w:cs="宋体"/>
          <w:color w:val="auto"/>
        </w:rPr>
        <w:t>小组一致认定评分畸高、畸低的情形外，采购人不得以任何理由组织重新评审。采购人发现</w:t>
      </w:r>
      <w:r>
        <w:rPr>
          <w:rFonts w:hint="eastAsia" w:ascii="宋体" w:hAnsi="宋体" w:cs="宋体"/>
          <w:color w:val="auto"/>
          <w:lang w:eastAsia="zh-CN"/>
        </w:rPr>
        <w:t>谈判</w:t>
      </w:r>
      <w:r>
        <w:rPr>
          <w:rFonts w:hint="eastAsia" w:ascii="宋体" w:hAnsi="宋体" w:eastAsia="宋体" w:cs="宋体"/>
          <w:color w:val="auto"/>
        </w:rPr>
        <w:t>小组未按照</w:t>
      </w:r>
      <w:r>
        <w:rPr>
          <w:rFonts w:hint="eastAsia" w:ascii="宋体" w:hAnsi="宋体" w:cs="宋体"/>
          <w:color w:val="auto"/>
          <w:lang w:eastAsia="zh-CN"/>
        </w:rPr>
        <w:t>谈判</w:t>
      </w:r>
      <w:r>
        <w:rPr>
          <w:rFonts w:hint="eastAsia" w:ascii="宋体" w:hAnsi="宋体" w:eastAsia="宋体" w:cs="宋体"/>
          <w:color w:val="auto"/>
        </w:rPr>
        <w:t>文件规定的评审标准进行评审的，应当重新开展采购活动，并同时书面报告本级主管部门。</w:t>
      </w:r>
    </w:p>
    <w:p w14:paraId="7173E15D">
      <w:pPr>
        <w:keepNext w:val="0"/>
        <w:keepLines w:val="0"/>
        <w:pageBreakBefore w:val="0"/>
        <w:kinsoku/>
        <w:wordWrap/>
        <w:overflowPunct/>
        <w:topLinePunct w:val="0"/>
        <w:autoSpaceDE/>
        <w:autoSpaceDN/>
        <w:bidi w:val="0"/>
        <w:spacing w:line="432" w:lineRule="auto"/>
        <w:jc w:val="both"/>
        <w:textAlignment w:val="auto"/>
        <w:rPr>
          <w:rFonts w:hint="eastAsia" w:ascii="宋体" w:hAnsi="宋体" w:eastAsia="宋体" w:cs="宋体"/>
          <w:color w:val="auto"/>
        </w:rPr>
      </w:pPr>
      <w:r>
        <w:rPr>
          <w:rFonts w:hint="eastAsia" w:ascii="宋体" w:hAnsi="宋体" w:cs="宋体"/>
          <w:color w:val="auto"/>
          <w:lang w:val="en-US" w:eastAsia="zh-CN"/>
        </w:rPr>
        <w:t>28.</w:t>
      </w:r>
      <w:r>
        <w:rPr>
          <w:rFonts w:hint="eastAsia" w:ascii="宋体" w:hAnsi="宋体" w:eastAsia="宋体" w:cs="宋体"/>
          <w:color w:val="auto"/>
        </w:rPr>
        <w:t>除不可抗力等因素外，</w:t>
      </w:r>
      <w:r>
        <w:rPr>
          <w:rFonts w:hint="eastAsia" w:ascii="宋体" w:hAnsi="宋体" w:cs="宋体"/>
          <w:color w:val="auto"/>
          <w:lang w:eastAsia="zh-CN"/>
        </w:rPr>
        <w:t>中标通知书</w:t>
      </w:r>
      <w:r>
        <w:rPr>
          <w:rFonts w:hint="eastAsia" w:ascii="宋体" w:hAnsi="宋体" w:eastAsia="宋体" w:cs="宋体"/>
          <w:color w:val="auto"/>
        </w:rPr>
        <w:t>发出后，采购人改变成交结果，或者成交供应商拒绝签订</w:t>
      </w:r>
      <w:r>
        <w:rPr>
          <w:rFonts w:hint="eastAsia" w:ascii="宋体" w:hAnsi="宋体" w:eastAsia="宋体" w:cs="宋体"/>
          <w:color w:val="auto"/>
          <w:lang w:eastAsia="zh-CN"/>
        </w:rPr>
        <w:t>采购合同</w:t>
      </w:r>
      <w:r>
        <w:rPr>
          <w:rFonts w:hint="eastAsia" w:ascii="宋体" w:hAnsi="宋体" w:eastAsia="宋体" w:cs="宋体"/>
          <w:color w:val="auto"/>
        </w:rPr>
        <w:t>的，应当</w:t>
      </w:r>
      <w:r>
        <w:rPr>
          <w:rFonts w:hint="eastAsia" w:ascii="宋体" w:hAnsi="宋体" w:eastAsia="宋体" w:cs="宋体"/>
          <w:color w:val="auto"/>
          <w:lang w:eastAsia="zh-CN"/>
        </w:rPr>
        <w:t>承担相应的</w:t>
      </w:r>
      <w:r>
        <w:rPr>
          <w:rFonts w:hint="eastAsia" w:ascii="宋体" w:hAnsi="宋体" w:eastAsia="宋体" w:cs="宋体"/>
          <w:color w:val="auto"/>
        </w:rPr>
        <w:t>法律责任。</w:t>
      </w:r>
    </w:p>
    <w:p w14:paraId="4CE168B3">
      <w:pPr>
        <w:keepNext w:val="0"/>
        <w:keepLines w:val="0"/>
        <w:pageBreakBefore w:val="0"/>
        <w:kinsoku/>
        <w:wordWrap/>
        <w:overflowPunct/>
        <w:topLinePunct w:val="0"/>
        <w:autoSpaceDE/>
        <w:autoSpaceDN/>
        <w:bidi w:val="0"/>
        <w:spacing w:line="432" w:lineRule="auto"/>
        <w:jc w:val="both"/>
        <w:textAlignment w:val="auto"/>
        <w:rPr>
          <w:rFonts w:hint="eastAsia" w:ascii="宋体" w:hAnsi="宋体" w:eastAsia="宋体" w:cs="宋体"/>
          <w:color w:val="auto"/>
        </w:rPr>
      </w:pPr>
      <w:r>
        <w:rPr>
          <w:rFonts w:hint="eastAsia" w:ascii="宋体" w:hAnsi="宋体" w:cs="宋体"/>
          <w:color w:val="auto"/>
          <w:lang w:val="en-US" w:eastAsia="zh-CN"/>
        </w:rPr>
        <w:t>29.</w:t>
      </w:r>
      <w:r>
        <w:rPr>
          <w:rFonts w:hint="eastAsia" w:ascii="宋体" w:hAnsi="宋体" w:eastAsia="宋体" w:cs="宋体"/>
          <w:color w:val="auto"/>
        </w:rPr>
        <w:t>成交供应商拒绝签订合同的处理原则：</w:t>
      </w:r>
    </w:p>
    <w:p w14:paraId="7751BE7F">
      <w:pPr>
        <w:keepNext w:val="0"/>
        <w:keepLines w:val="0"/>
        <w:pageBreakBefore w:val="0"/>
        <w:kinsoku/>
        <w:wordWrap/>
        <w:overflowPunct/>
        <w:topLinePunct w:val="0"/>
        <w:autoSpaceDE/>
        <w:autoSpaceDN/>
        <w:bidi w:val="0"/>
        <w:spacing w:line="432" w:lineRule="auto"/>
        <w:jc w:val="both"/>
        <w:textAlignment w:val="auto"/>
        <w:rPr>
          <w:rFonts w:hint="eastAsia" w:ascii="宋体" w:hAnsi="宋体" w:eastAsia="宋体" w:cs="宋体"/>
          <w:color w:val="auto"/>
        </w:rPr>
      </w:pPr>
      <w:r>
        <w:rPr>
          <w:rFonts w:hint="eastAsia" w:ascii="宋体" w:hAnsi="宋体" w:eastAsia="宋体" w:cs="宋体"/>
          <w:color w:val="auto"/>
        </w:rPr>
        <w:t>2</w:t>
      </w:r>
      <w:r>
        <w:rPr>
          <w:rFonts w:hint="eastAsia" w:ascii="宋体" w:hAnsi="宋体" w:cs="宋体"/>
          <w:color w:val="auto"/>
          <w:lang w:val="en-US" w:eastAsia="zh-CN"/>
        </w:rPr>
        <w:t>9</w:t>
      </w:r>
      <w:r>
        <w:rPr>
          <w:rFonts w:hint="eastAsia" w:ascii="宋体" w:hAnsi="宋体" w:eastAsia="宋体" w:cs="宋体"/>
          <w:color w:val="auto"/>
        </w:rPr>
        <w:t>.1 成交供应商拒绝签订</w:t>
      </w:r>
      <w:r>
        <w:rPr>
          <w:rFonts w:hint="eastAsia" w:ascii="宋体" w:hAnsi="宋体" w:eastAsia="宋体" w:cs="宋体"/>
          <w:color w:val="auto"/>
          <w:lang w:eastAsia="zh-CN"/>
        </w:rPr>
        <w:t>采购合同</w:t>
      </w:r>
      <w:r>
        <w:rPr>
          <w:rFonts w:hint="eastAsia" w:ascii="宋体" w:hAnsi="宋体" w:eastAsia="宋体" w:cs="宋体"/>
          <w:color w:val="auto"/>
        </w:rPr>
        <w:t>的，采购人可以顺延第二成交候选供应商为成交供应商并与其签订合同，第二成交候选供应商也拒绝签订</w:t>
      </w:r>
      <w:r>
        <w:rPr>
          <w:rFonts w:hint="eastAsia" w:ascii="宋体" w:hAnsi="宋体" w:eastAsia="宋体" w:cs="宋体"/>
          <w:color w:val="auto"/>
          <w:lang w:eastAsia="zh-CN"/>
        </w:rPr>
        <w:t>采购合同</w:t>
      </w:r>
      <w:r>
        <w:rPr>
          <w:rFonts w:hint="eastAsia" w:ascii="宋体" w:hAnsi="宋体" w:eastAsia="宋体" w:cs="宋体"/>
          <w:color w:val="auto"/>
        </w:rPr>
        <w:t>的，采购人可以顺延第三成交候选供应商为成交供应商并与其签订合同；</w:t>
      </w:r>
    </w:p>
    <w:p w14:paraId="13E485E0">
      <w:pPr>
        <w:keepNext w:val="0"/>
        <w:keepLines w:val="0"/>
        <w:pageBreakBefore w:val="0"/>
        <w:kinsoku/>
        <w:wordWrap/>
        <w:overflowPunct/>
        <w:topLinePunct w:val="0"/>
        <w:autoSpaceDE/>
        <w:autoSpaceDN/>
        <w:bidi w:val="0"/>
        <w:spacing w:line="432" w:lineRule="auto"/>
        <w:textAlignment w:val="auto"/>
        <w:rPr>
          <w:rFonts w:hint="eastAsia" w:ascii="宋体" w:hAnsi="宋体" w:eastAsia="宋体" w:cs="宋体"/>
          <w:color w:val="auto"/>
        </w:rPr>
      </w:pPr>
      <w:r>
        <w:rPr>
          <w:rFonts w:hint="eastAsia" w:ascii="宋体" w:hAnsi="宋体" w:eastAsia="宋体" w:cs="宋体"/>
          <w:color w:val="auto"/>
        </w:rPr>
        <w:t>2</w:t>
      </w:r>
      <w:r>
        <w:rPr>
          <w:rFonts w:hint="eastAsia" w:ascii="宋体" w:hAnsi="宋体" w:cs="宋体"/>
          <w:color w:val="auto"/>
          <w:lang w:val="en-US" w:eastAsia="zh-CN"/>
        </w:rPr>
        <w:t>9</w:t>
      </w:r>
      <w:r>
        <w:rPr>
          <w:rFonts w:hint="eastAsia" w:ascii="宋体" w:hAnsi="宋体" w:eastAsia="宋体" w:cs="宋体"/>
          <w:color w:val="auto"/>
        </w:rPr>
        <w:t>.2 采购人也可以重新开展采购活动；</w:t>
      </w:r>
    </w:p>
    <w:p w14:paraId="26122D80">
      <w:pPr>
        <w:keepNext w:val="0"/>
        <w:keepLines w:val="0"/>
        <w:pageBreakBefore w:val="0"/>
        <w:kinsoku/>
        <w:wordWrap/>
        <w:overflowPunct/>
        <w:topLinePunct w:val="0"/>
        <w:autoSpaceDE/>
        <w:autoSpaceDN/>
        <w:bidi w:val="0"/>
        <w:spacing w:line="432" w:lineRule="auto"/>
        <w:textAlignment w:val="auto"/>
        <w:rPr>
          <w:rFonts w:hint="eastAsia" w:ascii="宋体" w:hAnsi="宋体" w:eastAsia="宋体" w:cs="宋体"/>
          <w:color w:val="auto"/>
        </w:rPr>
      </w:pPr>
      <w:r>
        <w:rPr>
          <w:rFonts w:hint="eastAsia" w:ascii="宋体" w:hAnsi="宋体" w:eastAsia="宋体" w:cs="宋体"/>
          <w:color w:val="auto"/>
        </w:rPr>
        <w:t>2</w:t>
      </w:r>
      <w:r>
        <w:rPr>
          <w:rFonts w:hint="eastAsia" w:ascii="宋体" w:hAnsi="宋体" w:cs="宋体"/>
          <w:color w:val="auto"/>
          <w:lang w:val="en-US" w:eastAsia="zh-CN"/>
        </w:rPr>
        <w:t>9</w:t>
      </w:r>
      <w:r>
        <w:rPr>
          <w:rFonts w:hint="eastAsia" w:ascii="宋体" w:hAnsi="宋体" w:eastAsia="宋体" w:cs="宋体"/>
          <w:color w:val="auto"/>
        </w:rPr>
        <w:t>.3 拒绝签订</w:t>
      </w:r>
      <w:r>
        <w:rPr>
          <w:rFonts w:hint="eastAsia" w:ascii="宋体" w:hAnsi="宋体" w:eastAsia="宋体" w:cs="宋体"/>
          <w:color w:val="auto"/>
          <w:lang w:eastAsia="zh-CN"/>
        </w:rPr>
        <w:t>采购合同</w:t>
      </w:r>
      <w:r>
        <w:rPr>
          <w:rFonts w:hint="eastAsia" w:ascii="宋体" w:hAnsi="宋体" w:eastAsia="宋体" w:cs="宋体"/>
          <w:color w:val="auto"/>
        </w:rPr>
        <w:t>的成交供应商不得参加对该项目重新开展的采购活动</w:t>
      </w:r>
      <w:r>
        <w:rPr>
          <w:rFonts w:hint="eastAsia" w:ascii="宋体" w:hAnsi="宋体" w:cs="宋体"/>
          <w:color w:val="auto"/>
          <w:lang w:eastAsia="zh-CN"/>
        </w:rPr>
        <w:t>，</w:t>
      </w:r>
      <w:r>
        <w:rPr>
          <w:rFonts w:hint="eastAsia" w:ascii="宋体" w:hAnsi="宋体" w:cs="宋体"/>
          <w:color w:val="auto"/>
          <w:lang w:val="en-US" w:eastAsia="zh-CN"/>
        </w:rPr>
        <w:t>并在6个月内不得参与采购人组织的任何采购活动</w:t>
      </w:r>
      <w:r>
        <w:rPr>
          <w:rFonts w:hint="eastAsia" w:ascii="宋体" w:hAnsi="宋体" w:eastAsia="宋体" w:cs="宋体"/>
          <w:color w:val="auto"/>
        </w:rPr>
        <w:t>。</w:t>
      </w:r>
    </w:p>
    <w:p w14:paraId="2BA0E0FD">
      <w:pPr>
        <w:keepNext w:val="0"/>
        <w:keepLines w:val="0"/>
        <w:pageBreakBefore w:val="0"/>
        <w:kinsoku/>
        <w:wordWrap/>
        <w:overflowPunct/>
        <w:topLinePunct w:val="0"/>
        <w:autoSpaceDE/>
        <w:autoSpaceDN/>
        <w:bidi w:val="0"/>
        <w:spacing w:line="432" w:lineRule="auto"/>
        <w:textAlignment w:val="auto"/>
        <w:rPr>
          <w:rFonts w:hint="eastAsia" w:ascii="宋体" w:hAnsi="宋体" w:eastAsia="宋体" w:cs="宋体"/>
          <w:color w:val="auto"/>
        </w:rPr>
      </w:pPr>
      <w:r>
        <w:rPr>
          <w:rFonts w:hint="eastAsia" w:ascii="宋体" w:hAnsi="宋体" w:cs="宋体"/>
          <w:color w:val="auto"/>
          <w:lang w:val="en-US" w:eastAsia="zh-CN"/>
        </w:rPr>
        <w:t>30.</w:t>
      </w:r>
      <w:r>
        <w:rPr>
          <w:rFonts w:hint="eastAsia" w:ascii="宋体" w:hAnsi="宋体" w:eastAsia="宋体" w:cs="宋体"/>
          <w:color w:val="auto"/>
        </w:rPr>
        <w:t xml:space="preserve"> 在采购活动中因重大变故，采购任务取消的，</w:t>
      </w:r>
      <w:r>
        <w:rPr>
          <w:rFonts w:hint="eastAsia" w:ascii="宋体" w:hAnsi="宋体" w:cs="宋体"/>
          <w:color w:val="auto"/>
          <w:lang w:val="en-US" w:eastAsia="zh-CN"/>
        </w:rPr>
        <w:t>采购人</w:t>
      </w:r>
      <w:r>
        <w:rPr>
          <w:rFonts w:hint="eastAsia" w:ascii="宋体" w:hAnsi="宋体" w:eastAsia="宋体" w:cs="宋体"/>
          <w:color w:val="auto"/>
        </w:rPr>
        <w:t>应当终止采购活动，通知所有参加采购活动的供应商，并将项目实施情况和采购任务取消的原因报送同级主管部门。</w:t>
      </w:r>
    </w:p>
    <w:p w14:paraId="7323E36C">
      <w:pPr>
        <w:pStyle w:val="12"/>
        <w:rPr>
          <w:rFonts w:hint="eastAsia" w:ascii="宋体" w:hAnsi="宋体" w:eastAsia="宋体" w:cs="宋体"/>
        </w:rPr>
      </w:pPr>
    </w:p>
    <w:p w14:paraId="3076E4EE">
      <w:pPr>
        <w:keepNext w:val="0"/>
        <w:keepLines w:val="0"/>
        <w:pageBreakBefore w:val="0"/>
        <w:kinsoku/>
        <w:wordWrap/>
        <w:overflowPunct/>
        <w:topLinePunct w:val="0"/>
        <w:autoSpaceDE/>
        <w:autoSpaceDN/>
        <w:bidi w:val="0"/>
        <w:adjustRightInd w:val="0"/>
        <w:snapToGrid w:val="0"/>
        <w:spacing w:line="432" w:lineRule="auto"/>
        <w:jc w:val="center"/>
        <w:textAlignment w:val="auto"/>
        <w:rPr>
          <w:rFonts w:hint="eastAsia" w:ascii="宋体" w:hAnsi="宋体" w:eastAsia="宋体" w:cs="宋体"/>
          <w:b/>
          <w:color w:val="auto"/>
          <w:szCs w:val="21"/>
        </w:rPr>
      </w:pPr>
      <w:r>
        <w:rPr>
          <w:rFonts w:hint="eastAsia" w:ascii="宋体" w:hAnsi="宋体" w:cs="宋体"/>
          <w:b/>
          <w:color w:val="auto"/>
          <w:szCs w:val="21"/>
          <w:lang w:val="en-US" w:eastAsia="zh-CN"/>
        </w:rPr>
        <w:t>H</w:t>
      </w:r>
      <w:r>
        <w:rPr>
          <w:rFonts w:hint="eastAsia" w:ascii="宋体" w:hAnsi="宋体" w:eastAsia="宋体" w:cs="宋体"/>
          <w:b/>
          <w:color w:val="auto"/>
          <w:szCs w:val="21"/>
        </w:rPr>
        <w:t>供应商</w:t>
      </w:r>
      <w:r>
        <w:rPr>
          <w:rFonts w:hint="eastAsia" w:ascii="宋体" w:hAnsi="宋体" w:cs="宋体"/>
          <w:b/>
          <w:color w:val="auto"/>
          <w:szCs w:val="21"/>
          <w:lang w:eastAsia="zh-CN"/>
        </w:rPr>
        <w:t>谈判</w:t>
      </w:r>
      <w:r>
        <w:rPr>
          <w:rFonts w:hint="eastAsia" w:ascii="宋体" w:hAnsi="宋体" w:eastAsia="宋体" w:cs="宋体"/>
          <w:b/>
          <w:color w:val="auto"/>
          <w:szCs w:val="21"/>
        </w:rPr>
        <w:t>纪律要求</w:t>
      </w:r>
    </w:p>
    <w:p w14:paraId="41C46F68">
      <w:pPr>
        <w:keepNext w:val="0"/>
        <w:keepLines w:val="0"/>
        <w:pageBreakBefore w:val="0"/>
        <w:kinsoku/>
        <w:wordWrap/>
        <w:overflowPunct/>
        <w:topLinePunct w:val="0"/>
        <w:autoSpaceDE/>
        <w:autoSpaceDN/>
        <w:bidi w:val="0"/>
        <w:adjustRightInd w:val="0"/>
        <w:snapToGrid w:val="0"/>
        <w:spacing w:line="432" w:lineRule="auto"/>
        <w:jc w:val="left"/>
        <w:textAlignment w:val="auto"/>
        <w:rPr>
          <w:rFonts w:hint="eastAsia" w:ascii="宋体" w:hAnsi="宋体" w:eastAsia="宋体" w:cs="宋体"/>
          <w:bCs/>
          <w:color w:val="auto"/>
          <w:szCs w:val="21"/>
        </w:rPr>
      </w:pPr>
      <w:r>
        <w:rPr>
          <w:rFonts w:hint="eastAsia" w:ascii="宋体" w:hAnsi="宋体" w:eastAsia="宋体" w:cs="宋体"/>
          <w:bCs/>
          <w:color w:val="auto"/>
          <w:szCs w:val="21"/>
        </w:rPr>
        <w:t>31.供应商不得具有的情形</w:t>
      </w:r>
    </w:p>
    <w:p w14:paraId="5BB197E3">
      <w:pPr>
        <w:keepNext w:val="0"/>
        <w:keepLines w:val="0"/>
        <w:pageBreakBefore w:val="0"/>
        <w:kinsoku/>
        <w:wordWrap/>
        <w:overflowPunct/>
        <w:topLinePunct w:val="0"/>
        <w:autoSpaceDE/>
        <w:autoSpaceDN/>
        <w:bidi w:val="0"/>
        <w:adjustRightInd w:val="0"/>
        <w:snapToGrid w:val="0"/>
        <w:spacing w:line="432" w:lineRule="auto"/>
        <w:jc w:val="left"/>
        <w:textAlignment w:val="auto"/>
        <w:rPr>
          <w:rFonts w:hint="eastAsia" w:ascii="宋体" w:hAnsi="宋体" w:eastAsia="宋体" w:cs="宋体"/>
          <w:bCs/>
          <w:color w:val="auto"/>
          <w:szCs w:val="21"/>
        </w:rPr>
      </w:pPr>
      <w:r>
        <w:rPr>
          <w:rFonts w:hint="eastAsia" w:ascii="宋体" w:hAnsi="宋体" w:eastAsia="宋体" w:cs="宋体"/>
          <w:bCs/>
          <w:color w:val="auto"/>
          <w:szCs w:val="21"/>
        </w:rPr>
        <w:t>供应商参加本项目</w:t>
      </w:r>
      <w:r>
        <w:rPr>
          <w:rFonts w:hint="eastAsia" w:ascii="宋体" w:hAnsi="宋体" w:cs="宋体"/>
          <w:bCs/>
          <w:color w:val="auto"/>
          <w:szCs w:val="21"/>
          <w:lang w:eastAsia="zh-CN"/>
        </w:rPr>
        <w:t>谈判</w:t>
      </w:r>
      <w:r>
        <w:rPr>
          <w:rFonts w:hint="eastAsia" w:ascii="宋体" w:hAnsi="宋体" w:eastAsia="宋体" w:cs="宋体"/>
          <w:bCs/>
          <w:color w:val="auto"/>
          <w:szCs w:val="21"/>
        </w:rPr>
        <w:t>不得有下列情形：</w:t>
      </w:r>
    </w:p>
    <w:p w14:paraId="2C51B1DA">
      <w:pPr>
        <w:keepNext w:val="0"/>
        <w:keepLines w:val="0"/>
        <w:pageBreakBefore w:val="0"/>
        <w:kinsoku/>
        <w:wordWrap/>
        <w:overflowPunct/>
        <w:topLinePunct w:val="0"/>
        <w:autoSpaceDE/>
        <w:autoSpaceDN/>
        <w:bidi w:val="0"/>
        <w:adjustRightInd w:val="0"/>
        <w:snapToGrid w:val="0"/>
        <w:spacing w:line="432" w:lineRule="auto"/>
        <w:jc w:val="left"/>
        <w:textAlignment w:val="auto"/>
        <w:rPr>
          <w:rFonts w:hint="eastAsia" w:ascii="宋体" w:hAnsi="宋体" w:eastAsia="宋体" w:cs="宋体"/>
          <w:bCs/>
          <w:color w:val="auto"/>
          <w:szCs w:val="21"/>
        </w:rPr>
      </w:pPr>
      <w:r>
        <w:rPr>
          <w:rFonts w:hint="eastAsia" w:ascii="宋体" w:hAnsi="宋体" w:eastAsia="宋体" w:cs="宋体"/>
          <w:bCs/>
          <w:color w:val="auto"/>
          <w:szCs w:val="21"/>
        </w:rPr>
        <w:t>（1）提供虚假材料谋取成交；</w:t>
      </w:r>
    </w:p>
    <w:p w14:paraId="22C3FAAF">
      <w:pPr>
        <w:keepNext w:val="0"/>
        <w:keepLines w:val="0"/>
        <w:pageBreakBefore w:val="0"/>
        <w:kinsoku/>
        <w:wordWrap/>
        <w:overflowPunct/>
        <w:topLinePunct w:val="0"/>
        <w:autoSpaceDE/>
        <w:autoSpaceDN/>
        <w:bidi w:val="0"/>
        <w:adjustRightInd w:val="0"/>
        <w:snapToGrid w:val="0"/>
        <w:spacing w:line="432" w:lineRule="auto"/>
        <w:jc w:val="left"/>
        <w:textAlignment w:val="auto"/>
        <w:rPr>
          <w:rFonts w:hint="eastAsia" w:ascii="宋体" w:hAnsi="宋体" w:eastAsia="宋体" w:cs="宋体"/>
          <w:bCs/>
          <w:color w:val="auto"/>
          <w:szCs w:val="21"/>
        </w:rPr>
      </w:pPr>
      <w:r>
        <w:rPr>
          <w:rFonts w:hint="eastAsia" w:ascii="宋体" w:hAnsi="宋体" w:eastAsia="宋体" w:cs="宋体"/>
          <w:bCs/>
          <w:color w:val="auto"/>
          <w:szCs w:val="21"/>
        </w:rPr>
        <w:t>（2）采取不正当手段诋毁、排挤其他供应商；</w:t>
      </w:r>
    </w:p>
    <w:p w14:paraId="0BBB7B09">
      <w:pPr>
        <w:keepNext w:val="0"/>
        <w:keepLines w:val="0"/>
        <w:pageBreakBefore w:val="0"/>
        <w:kinsoku/>
        <w:wordWrap/>
        <w:overflowPunct/>
        <w:topLinePunct w:val="0"/>
        <w:autoSpaceDE/>
        <w:autoSpaceDN/>
        <w:bidi w:val="0"/>
        <w:adjustRightInd w:val="0"/>
        <w:snapToGrid w:val="0"/>
        <w:spacing w:line="432" w:lineRule="auto"/>
        <w:jc w:val="left"/>
        <w:textAlignment w:val="auto"/>
        <w:rPr>
          <w:rFonts w:hint="eastAsia" w:ascii="宋体" w:hAnsi="宋体" w:eastAsia="宋体" w:cs="宋体"/>
          <w:bCs/>
          <w:color w:val="auto"/>
          <w:szCs w:val="21"/>
        </w:rPr>
      </w:pPr>
      <w:r>
        <w:rPr>
          <w:rFonts w:hint="eastAsia" w:ascii="宋体" w:hAnsi="宋体" w:eastAsia="宋体" w:cs="宋体"/>
          <w:bCs/>
          <w:color w:val="auto"/>
          <w:szCs w:val="21"/>
        </w:rPr>
        <w:t>（3）与采购人、其他供应商恶意串通；</w:t>
      </w:r>
    </w:p>
    <w:p w14:paraId="32FB3025">
      <w:pPr>
        <w:keepNext w:val="0"/>
        <w:keepLines w:val="0"/>
        <w:pageBreakBefore w:val="0"/>
        <w:kinsoku/>
        <w:wordWrap/>
        <w:overflowPunct/>
        <w:topLinePunct w:val="0"/>
        <w:autoSpaceDE/>
        <w:autoSpaceDN/>
        <w:bidi w:val="0"/>
        <w:adjustRightInd w:val="0"/>
        <w:snapToGrid w:val="0"/>
        <w:spacing w:line="432" w:lineRule="auto"/>
        <w:jc w:val="left"/>
        <w:textAlignment w:val="auto"/>
        <w:rPr>
          <w:rFonts w:hint="eastAsia" w:ascii="宋体" w:hAnsi="宋体" w:eastAsia="宋体" w:cs="宋体"/>
          <w:bCs/>
          <w:color w:val="auto"/>
          <w:szCs w:val="21"/>
        </w:rPr>
      </w:pPr>
      <w:r>
        <w:rPr>
          <w:rFonts w:hint="eastAsia" w:ascii="宋体" w:hAnsi="宋体" w:eastAsia="宋体" w:cs="宋体"/>
          <w:bCs/>
          <w:color w:val="auto"/>
          <w:szCs w:val="21"/>
        </w:rPr>
        <w:t>（4）向采购人或采购代理机构、评审委员会成员行贿或者提供其他不正当利益；</w:t>
      </w:r>
    </w:p>
    <w:p w14:paraId="0FD26CB8">
      <w:pPr>
        <w:keepNext w:val="0"/>
        <w:keepLines w:val="0"/>
        <w:pageBreakBefore w:val="0"/>
        <w:kinsoku/>
        <w:wordWrap/>
        <w:overflowPunct/>
        <w:topLinePunct w:val="0"/>
        <w:autoSpaceDE/>
        <w:autoSpaceDN/>
        <w:bidi w:val="0"/>
        <w:adjustRightInd w:val="0"/>
        <w:snapToGrid w:val="0"/>
        <w:spacing w:line="432" w:lineRule="auto"/>
        <w:jc w:val="left"/>
        <w:textAlignment w:val="auto"/>
        <w:rPr>
          <w:rFonts w:hint="eastAsia" w:ascii="宋体" w:hAnsi="宋体" w:eastAsia="宋体" w:cs="宋体"/>
          <w:bCs/>
          <w:color w:val="auto"/>
          <w:szCs w:val="21"/>
        </w:rPr>
      </w:pPr>
      <w:r>
        <w:rPr>
          <w:rFonts w:hint="eastAsia" w:ascii="宋体" w:hAnsi="宋体" w:eastAsia="宋体" w:cs="宋体"/>
          <w:bCs/>
          <w:color w:val="auto"/>
          <w:szCs w:val="21"/>
        </w:rPr>
        <w:t>（5）在</w:t>
      </w:r>
      <w:r>
        <w:rPr>
          <w:rFonts w:hint="eastAsia" w:ascii="宋体" w:hAnsi="宋体" w:cs="宋体"/>
          <w:bCs/>
          <w:color w:val="auto"/>
          <w:szCs w:val="21"/>
          <w:lang w:eastAsia="zh-CN"/>
        </w:rPr>
        <w:t>谈判</w:t>
      </w:r>
      <w:r>
        <w:rPr>
          <w:rFonts w:hint="eastAsia" w:ascii="宋体" w:hAnsi="宋体" w:eastAsia="宋体" w:cs="宋体"/>
          <w:bCs/>
          <w:color w:val="auto"/>
          <w:szCs w:val="21"/>
        </w:rPr>
        <w:t>过程中与采购人或采购代理机构进行协商</w:t>
      </w:r>
      <w:r>
        <w:rPr>
          <w:rFonts w:hint="eastAsia" w:ascii="宋体" w:hAnsi="宋体" w:cs="宋体"/>
          <w:bCs/>
          <w:color w:val="auto"/>
          <w:szCs w:val="21"/>
          <w:lang w:eastAsia="zh-CN"/>
        </w:rPr>
        <w:t>谈判</w:t>
      </w:r>
      <w:r>
        <w:rPr>
          <w:rFonts w:hint="eastAsia" w:ascii="宋体" w:hAnsi="宋体" w:eastAsia="宋体" w:cs="宋体"/>
          <w:bCs/>
          <w:color w:val="auto"/>
          <w:szCs w:val="21"/>
        </w:rPr>
        <w:t>；</w:t>
      </w:r>
    </w:p>
    <w:p w14:paraId="44E7F524">
      <w:pPr>
        <w:keepNext w:val="0"/>
        <w:keepLines w:val="0"/>
        <w:pageBreakBefore w:val="0"/>
        <w:kinsoku/>
        <w:wordWrap/>
        <w:overflowPunct/>
        <w:topLinePunct w:val="0"/>
        <w:autoSpaceDE/>
        <w:autoSpaceDN/>
        <w:bidi w:val="0"/>
        <w:adjustRightInd w:val="0"/>
        <w:snapToGrid w:val="0"/>
        <w:spacing w:line="432" w:lineRule="auto"/>
        <w:jc w:val="left"/>
        <w:textAlignment w:val="auto"/>
        <w:rPr>
          <w:rFonts w:hint="eastAsia" w:ascii="宋体" w:hAnsi="宋体" w:eastAsia="宋体" w:cs="宋体"/>
          <w:bCs/>
          <w:color w:val="auto"/>
          <w:szCs w:val="21"/>
        </w:rPr>
      </w:pPr>
      <w:r>
        <w:rPr>
          <w:rFonts w:hint="eastAsia" w:ascii="宋体" w:hAnsi="宋体" w:eastAsia="宋体" w:cs="宋体"/>
          <w:bCs/>
          <w:color w:val="auto"/>
          <w:szCs w:val="21"/>
        </w:rPr>
        <w:t>（6）成交后无正当理由拒不与采购人签订</w:t>
      </w:r>
      <w:r>
        <w:rPr>
          <w:rFonts w:hint="eastAsia" w:ascii="宋体" w:hAnsi="宋体" w:eastAsia="宋体" w:cs="宋体"/>
          <w:bCs/>
          <w:color w:val="auto"/>
          <w:szCs w:val="21"/>
          <w:lang w:eastAsia="zh-CN"/>
        </w:rPr>
        <w:t>采购合同</w:t>
      </w:r>
      <w:r>
        <w:rPr>
          <w:rFonts w:hint="eastAsia" w:ascii="宋体" w:hAnsi="宋体" w:eastAsia="宋体" w:cs="宋体"/>
          <w:bCs/>
          <w:color w:val="auto"/>
          <w:szCs w:val="21"/>
        </w:rPr>
        <w:t>；</w:t>
      </w:r>
    </w:p>
    <w:p w14:paraId="074556CE">
      <w:pPr>
        <w:keepNext w:val="0"/>
        <w:keepLines w:val="0"/>
        <w:pageBreakBefore w:val="0"/>
        <w:kinsoku/>
        <w:wordWrap/>
        <w:overflowPunct/>
        <w:topLinePunct w:val="0"/>
        <w:autoSpaceDE/>
        <w:autoSpaceDN/>
        <w:bidi w:val="0"/>
        <w:adjustRightInd w:val="0"/>
        <w:snapToGrid w:val="0"/>
        <w:spacing w:line="432" w:lineRule="auto"/>
        <w:jc w:val="left"/>
        <w:textAlignment w:val="auto"/>
        <w:rPr>
          <w:rFonts w:hint="eastAsia" w:ascii="宋体" w:hAnsi="宋体" w:eastAsia="宋体" w:cs="宋体"/>
          <w:bCs/>
          <w:color w:val="auto"/>
          <w:szCs w:val="21"/>
        </w:rPr>
      </w:pPr>
      <w:r>
        <w:rPr>
          <w:rFonts w:hint="eastAsia" w:ascii="宋体" w:hAnsi="宋体" w:eastAsia="宋体" w:cs="宋体"/>
          <w:bCs/>
          <w:color w:val="auto"/>
          <w:szCs w:val="21"/>
        </w:rPr>
        <w:t>（7）未按照</w:t>
      </w:r>
      <w:r>
        <w:rPr>
          <w:rFonts w:hint="eastAsia" w:ascii="宋体" w:hAnsi="宋体" w:cs="宋体"/>
          <w:bCs/>
          <w:color w:val="auto"/>
          <w:szCs w:val="21"/>
          <w:lang w:eastAsia="zh-CN"/>
        </w:rPr>
        <w:t>竞争性谈判</w:t>
      </w:r>
      <w:r>
        <w:rPr>
          <w:rFonts w:hint="eastAsia" w:ascii="宋体" w:hAnsi="宋体" w:eastAsia="宋体" w:cs="宋体"/>
          <w:bCs/>
          <w:color w:val="auto"/>
          <w:szCs w:val="21"/>
        </w:rPr>
        <w:t>文件确定的事项签订</w:t>
      </w:r>
      <w:r>
        <w:rPr>
          <w:rFonts w:hint="eastAsia" w:ascii="宋体" w:hAnsi="宋体" w:eastAsia="宋体" w:cs="宋体"/>
          <w:bCs/>
          <w:color w:val="auto"/>
          <w:szCs w:val="21"/>
          <w:lang w:eastAsia="zh-CN"/>
        </w:rPr>
        <w:t>采购合同</w:t>
      </w:r>
      <w:r>
        <w:rPr>
          <w:rFonts w:hint="eastAsia" w:ascii="宋体" w:hAnsi="宋体" w:eastAsia="宋体" w:cs="宋体"/>
          <w:bCs/>
          <w:color w:val="auto"/>
          <w:szCs w:val="21"/>
        </w:rPr>
        <w:t>；</w:t>
      </w:r>
    </w:p>
    <w:p w14:paraId="296F3FDF">
      <w:pPr>
        <w:keepNext w:val="0"/>
        <w:keepLines w:val="0"/>
        <w:pageBreakBefore w:val="0"/>
        <w:kinsoku/>
        <w:wordWrap/>
        <w:overflowPunct/>
        <w:topLinePunct w:val="0"/>
        <w:autoSpaceDE/>
        <w:autoSpaceDN/>
        <w:bidi w:val="0"/>
        <w:adjustRightInd w:val="0"/>
        <w:snapToGrid w:val="0"/>
        <w:spacing w:line="432" w:lineRule="auto"/>
        <w:jc w:val="left"/>
        <w:textAlignment w:val="auto"/>
        <w:rPr>
          <w:rFonts w:hint="eastAsia" w:ascii="宋体" w:hAnsi="宋体" w:eastAsia="宋体" w:cs="宋体"/>
          <w:bCs/>
          <w:color w:val="auto"/>
          <w:szCs w:val="21"/>
        </w:rPr>
      </w:pPr>
      <w:r>
        <w:rPr>
          <w:rFonts w:hint="eastAsia" w:ascii="宋体" w:hAnsi="宋体" w:eastAsia="宋体" w:cs="宋体"/>
          <w:bCs/>
          <w:color w:val="auto"/>
          <w:szCs w:val="21"/>
        </w:rPr>
        <w:t>（8）将</w:t>
      </w:r>
      <w:r>
        <w:rPr>
          <w:rFonts w:hint="eastAsia" w:ascii="宋体" w:hAnsi="宋体" w:eastAsia="宋体" w:cs="宋体"/>
          <w:bCs/>
          <w:color w:val="auto"/>
          <w:szCs w:val="21"/>
          <w:lang w:eastAsia="zh-CN"/>
        </w:rPr>
        <w:t>采购合同</w:t>
      </w:r>
      <w:r>
        <w:rPr>
          <w:rFonts w:hint="eastAsia" w:ascii="宋体" w:hAnsi="宋体" w:eastAsia="宋体" w:cs="宋体"/>
          <w:bCs/>
          <w:color w:val="auto"/>
          <w:szCs w:val="21"/>
        </w:rPr>
        <w:t>转包或者违规分包；</w:t>
      </w:r>
    </w:p>
    <w:p w14:paraId="06C7B5AF">
      <w:pPr>
        <w:keepNext w:val="0"/>
        <w:keepLines w:val="0"/>
        <w:pageBreakBefore w:val="0"/>
        <w:kinsoku/>
        <w:wordWrap/>
        <w:overflowPunct/>
        <w:topLinePunct w:val="0"/>
        <w:autoSpaceDE/>
        <w:autoSpaceDN/>
        <w:bidi w:val="0"/>
        <w:adjustRightInd w:val="0"/>
        <w:snapToGrid w:val="0"/>
        <w:spacing w:line="432" w:lineRule="auto"/>
        <w:jc w:val="left"/>
        <w:textAlignment w:val="auto"/>
        <w:rPr>
          <w:rFonts w:hint="eastAsia" w:ascii="宋体" w:hAnsi="宋体" w:eastAsia="宋体" w:cs="宋体"/>
          <w:bCs/>
          <w:color w:val="auto"/>
          <w:szCs w:val="21"/>
        </w:rPr>
      </w:pPr>
      <w:r>
        <w:rPr>
          <w:rFonts w:hint="eastAsia" w:ascii="宋体" w:hAnsi="宋体" w:eastAsia="宋体" w:cs="宋体"/>
          <w:bCs/>
          <w:color w:val="auto"/>
          <w:szCs w:val="21"/>
        </w:rPr>
        <w:t>（9）提供假冒伪劣产品（如有涉及产品）；</w:t>
      </w:r>
    </w:p>
    <w:p w14:paraId="07085078">
      <w:pPr>
        <w:keepNext w:val="0"/>
        <w:keepLines w:val="0"/>
        <w:pageBreakBefore w:val="0"/>
        <w:kinsoku/>
        <w:wordWrap/>
        <w:overflowPunct/>
        <w:topLinePunct w:val="0"/>
        <w:autoSpaceDE/>
        <w:autoSpaceDN/>
        <w:bidi w:val="0"/>
        <w:adjustRightInd w:val="0"/>
        <w:snapToGrid w:val="0"/>
        <w:spacing w:line="432" w:lineRule="auto"/>
        <w:jc w:val="left"/>
        <w:textAlignment w:val="auto"/>
        <w:rPr>
          <w:rFonts w:hint="eastAsia" w:ascii="宋体" w:hAnsi="宋体" w:eastAsia="宋体" w:cs="宋体"/>
          <w:bCs/>
          <w:color w:val="auto"/>
          <w:szCs w:val="21"/>
        </w:rPr>
      </w:pPr>
      <w:r>
        <w:rPr>
          <w:rFonts w:hint="eastAsia" w:ascii="宋体" w:hAnsi="宋体" w:eastAsia="宋体" w:cs="宋体"/>
          <w:bCs/>
          <w:color w:val="auto"/>
          <w:szCs w:val="21"/>
        </w:rPr>
        <w:t>（10）擅自变更、中止或者终止</w:t>
      </w:r>
      <w:r>
        <w:rPr>
          <w:rFonts w:hint="eastAsia" w:ascii="宋体" w:hAnsi="宋体" w:eastAsia="宋体" w:cs="宋体"/>
          <w:bCs/>
          <w:color w:val="auto"/>
          <w:szCs w:val="21"/>
          <w:lang w:eastAsia="zh-CN"/>
        </w:rPr>
        <w:t>采购合同</w:t>
      </w:r>
      <w:r>
        <w:rPr>
          <w:rFonts w:hint="eastAsia" w:ascii="宋体" w:hAnsi="宋体" w:eastAsia="宋体" w:cs="宋体"/>
          <w:bCs/>
          <w:color w:val="auto"/>
          <w:szCs w:val="21"/>
        </w:rPr>
        <w:t>；</w:t>
      </w:r>
    </w:p>
    <w:p w14:paraId="36484F39">
      <w:pPr>
        <w:keepNext w:val="0"/>
        <w:keepLines w:val="0"/>
        <w:pageBreakBefore w:val="0"/>
        <w:kinsoku/>
        <w:wordWrap/>
        <w:overflowPunct/>
        <w:topLinePunct w:val="0"/>
        <w:autoSpaceDE/>
        <w:autoSpaceDN/>
        <w:bidi w:val="0"/>
        <w:adjustRightInd w:val="0"/>
        <w:snapToGrid w:val="0"/>
        <w:spacing w:line="432" w:lineRule="auto"/>
        <w:jc w:val="left"/>
        <w:textAlignment w:val="auto"/>
        <w:rPr>
          <w:rFonts w:hint="eastAsia" w:ascii="宋体" w:hAnsi="宋体" w:eastAsia="宋体" w:cs="宋体"/>
          <w:bCs/>
          <w:color w:val="auto"/>
          <w:szCs w:val="21"/>
        </w:rPr>
      </w:pPr>
      <w:r>
        <w:rPr>
          <w:rFonts w:hint="eastAsia" w:ascii="宋体" w:hAnsi="宋体" w:eastAsia="宋体" w:cs="宋体"/>
          <w:bCs/>
          <w:color w:val="auto"/>
          <w:szCs w:val="21"/>
        </w:rPr>
        <w:t>（11）拒绝有关部门的监督检查或者向监督检查部门提供虚假情况；</w:t>
      </w:r>
    </w:p>
    <w:p w14:paraId="757EBE78">
      <w:pPr>
        <w:keepNext w:val="0"/>
        <w:keepLines w:val="0"/>
        <w:pageBreakBefore w:val="0"/>
        <w:kinsoku/>
        <w:wordWrap/>
        <w:overflowPunct/>
        <w:topLinePunct w:val="0"/>
        <w:autoSpaceDE/>
        <w:autoSpaceDN/>
        <w:bidi w:val="0"/>
        <w:adjustRightInd w:val="0"/>
        <w:snapToGrid w:val="0"/>
        <w:spacing w:line="432" w:lineRule="auto"/>
        <w:jc w:val="left"/>
        <w:textAlignment w:val="auto"/>
        <w:rPr>
          <w:rFonts w:hint="eastAsia" w:ascii="宋体" w:hAnsi="宋体" w:eastAsia="宋体" w:cs="宋体"/>
          <w:bCs/>
          <w:color w:val="auto"/>
          <w:szCs w:val="21"/>
        </w:rPr>
      </w:pPr>
      <w:r>
        <w:rPr>
          <w:rFonts w:hint="eastAsia" w:ascii="宋体" w:hAnsi="宋体" w:eastAsia="宋体" w:cs="宋体"/>
          <w:bCs/>
          <w:color w:val="auto"/>
          <w:szCs w:val="21"/>
        </w:rPr>
        <w:t>（12）法律法规规定的其他情形。</w:t>
      </w:r>
    </w:p>
    <w:p w14:paraId="3FE35735">
      <w:pPr>
        <w:keepNext w:val="0"/>
        <w:keepLines w:val="0"/>
        <w:pageBreakBefore w:val="0"/>
        <w:kinsoku/>
        <w:wordWrap/>
        <w:overflowPunct/>
        <w:topLinePunct w:val="0"/>
        <w:autoSpaceDE/>
        <w:autoSpaceDN/>
        <w:bidi w:val="0"/>
        <w:adjustRightInd w:val="0"/>
        <w:snapToGrid w:val="0"/>
        <w:spacing w:line="432" w:lineRule="auto"/>
        <w:jc w:val="left"/>
        <w:textAlignment w:val="auto"/>
        <w:rPr>
          <w:rFonts w:hint="eastAsia" w:ascii="宋体" w:hAnsi="宋体" w:eastAsia="宋体" w:cs="宋体"/>
          <w:bCs/>
          <w:color w:val="auto"/>
          <w:szCs w:val="21"/>
        </w:rPr>
      </w:pPr>
      <w:r>
        <w:rPr>
          <w:rFonts w:hint="eastAsia" w:ascii="宋体" w:hAnsi="宋体" w:eastAsia="宋体" w:cs="宋体"/>
          <w:bCs/>
          <w:color w:val="auto"/>
          <w:szCs w:val="21"/>
        </w:rPr>
        <w:t>供应商有上述情形的，按照规定追究法律责任，具备（1）-（12）条情形之一的，同时将取消成交资格或者认定成交无效。</w:t>
      </w:r>
    </w:p>
    <w:p w14:paraId="3C5D90F7">
      <w:pPr>
        <w:keepNext w:val="0"/>
        <w:keepLines w:val="0"/>
        <w:pageBreakBefore w:val="0"/>
        <w:kinsoku/>
        <w:wordWrap/>
        <w:overflowPunct/>
        <w:topLinePunct w:val="0"/>
        <w:autoSpaceDE/>
        <w:autoSpaceDN/>
        <w:bidi w:val="0"/>
        <w:adjustRightInd w:val="0"/>
        <w:snapToGrid w:val="0"/>
        <w:spacing w:line="432" w:lineRule="auto"/>
        <w:jc w:val="left"/>
        <w:textAlignment w:val="auto"/>
        <w:rPr>
          <w:rFonts w:hint="eastAsia" w:ascii="宋体" w:hAnsi="宋体" w:eastAsia="宋体" w:cs="宋体"/>
          <w:bCs/>
          <w:color w:val="auto"/>
          <w:szCs w:val="21"/>
        </w:rPr>
      </w:pPr>
      <w:r>
        <w:rPr>
          <w:rFonts w:hint="eastAsia" w:ascii="宋体" w:hAnsi="宋体" w:eastAsia="宋体" w:cs="宋体"/>
          <w:bCs/>
          <w:color w:val="auto"/>
          <w:szCs w:val="21"/>
        </w:rPr>
        <w:t>32. 供应商不得串通响应</w:t>
      </w:r>
    </w:p>
    <w:p w14:paraId="1AC1A9CD">
      <w:pPr>
        <w:keepNext w:val="0"/>
        <w:keepLines w:val="0"/>
        <w:pageBreakBefore w:val="0"/>
        <w:kinsoku/>
        <w:wordWrap/>
        <w:overflowPunct/>
        <w:topLinePunct w:val="0"/>
        <w:autoSpaceDE/>
        <w:autoSpaceDN/>
        <w:bidi w:val="0"/>
        <w:adjustRightInd w:val="0"/>
        <w:snapToGrid w:val="0"/>
        <w:spacing w:line="432" w:lineRule="auto"/>
        <w:jc w:val="left"/>
        <w:textAlignment w:val="auto"/>
        <w:rPr>
          <w:rFonts w:hint="eastAsia" w:ascii="宋体" w:hAnsi="宋体" w:eastAsia="宋体" w:cs="宋体"/>
          <w:bCs/>
          <w:color w:val="auto"/>
          <w:szCs w:val="21"/>
        </w:rPr>
      </w:pPr>
      <w:r>
        <w:rPr>
          <w:rFonts w:hint="eastAsia" w:ascii="宋体" w:hAnsi="宋体" w:eastAsia="宋体" w:cs="宋体"/>
          <w:bCs/>
          <w:color w:val="auto"/>
          <w:szCs w:val="21"/>
        </w:rPr>
        <w:t>有下列情形之一的，视为供应商串通响应，其</w:t>
      </w:r>
      <w:r>
        <w:rPr>
          <w:rFonts w:hint="eastAsia" w:ascii="宋体" w:hAnsi="宋体" w:cs="宋体"/>
          <w:bCs/>
          <w:color w:val="auto"/>
          <w:szCs w:val="21"/>
          <w:lang w:eastAsia="zh-CN"/>
        </w:rPr>
        <w:t>谈判</w:t>
      </w:r>
      <w:r>
        <w:rPr>
          <w:rFonts w:hint="eastAsia" w:ascii="宋体" w:hAnsi="宋体" w:eastAsia="宋体" w:cs="宋体"/>
          <w:bCs/>
          <w:color w:val="auto"/>
          <w:szCs w:val="21"/>
        </w:rPr>
        <w:t>无效：</w:t>
      </w:r>
    </w:p>
    <w:p w14:paraId="3AE45AC2">
      <w:pPr>
        <w:keepNext w:val="0"/>
        <w:keepLines w:val="0"/>
        <w:pageBreakBefore w:val="0"/>
        <w:kinsoku/>
        <w:wordWrap/>
        <w:overflowPunct/>
        <w:topLinePunct w:val="0"/>
        <w:autoSpaceDE/>
        <w:autoSpaceDN/>
        <w:bidi w:val="0"/>
        <w:adjustRightInd w:val="0"/>
        <w:snapToGrid w:val="0"/>
        <w:spacing w:line="432" w:lineRule="auto"/>
        <w:jc w:val="left"/>
        <w:textAlignment w:val="auto"/>
        <w:rPr>
          <w:rFonts w:hint="eastAsia" w:ascii="宋体" w:hAnsi="宋体" w:eastAsia="宋体" w:cs="宋体"/>
          <w:bCs/>
          <w:color w:val="auto"/>
          <w:szCs w:val="21"/>
        </w:rPr>
      </w:pPr>
      <w:r>
        <w:rPr>
          <w:rFonts w:hint="eastAsia" w:ascii="宋体" w:hAnsi="宋体" w:eastAsia="宋体" w:cs="宋体"/>
          <w:bCs/>
          <w:color w:val="auto"/>
          <w:szCs w:val="21"/>
        </w:rPr>
        <w:t>（1）不同供应商的响应文件由同一单位或者个人编制；</w:t>
      </w:r>
    </w:p>
    <w:p w14:paraId="2D3CCF50">
      <w:pPr>
        <w:keepNext w:val="0"/>
        <w:keepLines w:val="0"/>
        <w:pageBreakBefore w:val="0"/>
        <w:kinsoku/>
        <w:wordWrap/>
        <w:overflowPunct/>
        <w:topLinePunct w:val="0"/>
        <w:autoSpaceDE/>
        <w:autoSpaceDN/>
        <w:bidi w:val="0"/>
        <w:adjustRightInd w:val="0"/>
        <w:snapToGrid w:val="0"/>
        <w:spacing w:line="432" w:lineRule="auto"/>
        <w:jc w:val="left"/>
        <w:textAlignment w:val="auto"/>
        <w:rPr>
          <w:rFonts w:hint="eastAsia" w:ascii="宋体" w:hAnsi="宋体" w:eastAsia="宋体" w:cs="宋体"/>
          <w:bCs/>
          <w:color w:val="auto"/>
          <w:szCs w:val="21"/>
        </w:rPr>
      </w:pPr>
      <w:r>
        <w:rPr>
          <w:rFonts w:hint="eastAsia" w:ascii="宋体" w:hAnsi="宋体" w:eastAsia="宋体" w:cs="宋体"/>
          <w:bCs/>
          <w:color w:val="auto"/>
          <w:szCs w:val="21"/>
        </w:rPr>
        <w:t>（2）不同供应商委托同一单位或者个人办理响应事宜；</w:t>
      </w:r>
    </w:p>
    <w:p w14:paraId="0F606ACC">
      <w:pPr>
        <w:keepNext w:val="0"/>
        <w:keepLines w:val="0"/>
        <w:pageBreakBefore w:val="0"/>
        <w:kinsoku/>
        <w:wordWrap/>
        <w:overflowPunct/>
        <w:topLinePunct w:val="0"/>
        <w:autoSpaceDE/>
        <w:autoSpaceDN/>
        <w:bidi w:val="0"/>
        <w:adjustRightInd w:val="0"/>
        <w:snapToGrid w:val="0"/>
        <w:spacing w:line="432" w:lineRule="auto"/>
        <w:jc w:val="left"/>
        <w:textAlignment w:val="auto"/>
        <w:rPr>
          <w:rFonts w:hint="eastAsia" w:ascii="宋体" w:hAnsi="宋体" w:eastAsia="宋体" w:cs="宋体"/>
          <w:bCs/>
          <w:color w:val="auto"/>
          <w:szCs w:val="21"/>
        </w:rPr>
      </w:pPr>
      <w:r>
        <w:rPr>
          <w:rFonts w:hint="eastAsia" w:ascii="宋体" w:hAnsi="宋体" w:eastAsia="宋体" w:cs="宋体"/>
          <w:bCs/>
          <w:color w:val="auto"/>
          <w:szCs w:val="21"/>
        </w:rPr>
        <w:t>（3）不同供应商的响应文件载明的项目管理成员或者联系人员为同一人；</w:t>
      </w:r>
    </w:p>
    <w:p w14:paraId="678D21EE">
      <w:pPr>
        <w:keepNext w:val="0"/>
        <w:keepLines w:val="0"/>
        <w:pageBreakBefore w:val="0"/>
        <w:kinsoku/>
        <w:wordWrap/>
        <w:overflowPunct/>
        <w:topLinePunct w:val="0"/>
        <w:autoSpaceDE/>
        <w:autoSpaceDN/>
        <w:bidi w:val="0"/>
        <w:adjustRightInd w:val="0"/>
        <w:snapToGrid w:val="0"/>
        <w:spacing w:line="432" w:lineRule="auto"/>
        <w:jc w:val="left"/>
        <w:textAlignment w:val="auto"/>
        <w:rPr>
          <w:rFonts w:hint="eastAsia" w:ascii="宋体" w:hAnsi="宋体" w:eastAsia="宋体" w:cs="宋体"/>
          <w:bCs/>
          <w:color w:val="auto"/>
          <w:szCs w:val="21"/>
        </w:rPr>
      </w:pPr>
      <w:r>
        <w:rPr>
          <w:rFonts w:hint="eastAsia" w:ascii="宋体" w:hAnsi="宋体" w:eastAsia="宋体" w:cs="宋体"/>
          <w:bCs/>
          <w:color w:val="auto"/>
          <w:szCs w:val="21"/>
        </w:rPr>
        <w:t>（4）不同供应商的响应文件异常一致或者响应报价呈规律性差异；</w:t>
      </w:r>
    </w:p>
    <w:p w14:paraId="71489B42">
      <w:pPr>
        <w:keepNext w:val="0"/>
        <w:keepLines w:val="0"/>
        <w:pageBreakBefore w:val="0"/>
        <w:kinsoku/>
        <w:wordWrap/>
        <w:overflowPunct/>
        <w:topLinePunct w:val="0"/>
        <w:autoSpaceDE/>
        <w:autoSpaceDN/>
        <w:bidi w:val="0"/>
        <w:adjustRightInd w:val="0"/>
        <w:snapToGrid w:val="0"/>
        <w:spacing w:line="432" w:lineRule="auto"/>
        <w:jc w:val="left"/>
        <w:textAlignment w:val="auto"/>
        <w:rPr>
          <w:rFonts w:hint="eastAsia" w:ascii="宋体" w:hAnsi="宋体" w:eastAsia="宋体" w:cs="宋体"/>
          <w:bCs/>
          <w:color w:val="auto"/>
          <w:szCs w:val="21"/>
        </w:rPr>
      </w:pPr>
      <w:r>
        <w:rPr>
          <w:rFonts w:hint="eastAsia" w:ascii="宋体" w:hAnsi="宋体" w:eastAsia="宋体" w:cs="宋体"/>
          <w:bCs/>
          <w:color w:val="auto"/>
          <w:szCs w:val="21"/>
        </w:rPr>
        <w:t>（5）不同供应商的响应文件相互混装；</w:t>
      </w:r>
    </w:p>
    <w:p w14:paraId="52C30F15">
      <w:pPr>
        <w:keepNext w:val="0"/>
        <w:keepLines w:val="0"/>
        <w:pageBreakBefore w:val="0"/>
        <w:kinsoku/>
        <w:wordWrap/>
        <w:overflowPunct/>
        <w:topLinePunct w:val="0"/>
        <w:autoSpaceDE/>
        <w:autoSpaceDN/>
        <w:bidi w:val="0"/>
        <w:adjustRightInd w:val="0"/>
        <w:snapToGrid w:val="0"/>
        <w:spacing w:line="432" w:lineRule="auto"/>
        <w:jc w:val="left"/>
        <w:textAlignment w:val="auto"/>
        <w:rPr>
          <w:rFonts w:hint="eastAsia" w:ascii="宋体" w:hAnsi="宋体" w:eastAsia="宋体" w:cs="宋体"/>
          <w:bCs/>
          <w:color w:val="auto"/>
          <w:szCs w:val="21"/>
        </w:rPr>
      </w:pPr>
      <w:r>
        <w:rPr>
          <w:rFonts w:hint="eastAsia" w:ascii="宋体" w:hAnsi="宋体" w:eastAsia="宋体" w:cs="宋体"/>
          <w:bCs/>
          <w:color w:val="auto"/>
          <w:szCs w:val="21"/>
        </w:rPr>
        <w:t>（6）不同供应商的保证金从同一单位或者个人的账户转出。</w:t>
      </w:r>
    </w:p>
    <w:p w14:paraId="383096AE">
      <w:pPr>
        <w:rPr>
          <w:rFonts w:hint="eastAsia" w:ascii="宋体" w:hAnsi="宋体" w:eastAsia="宋体" w:cs="宋体"/>
        </w:rPr>
      </w:pPr>
    </w:p>
    <w:p w14:paraId="1AD5D031">
      <w:pPr>
        <w:keepNext w:val="0"/>
        <w:keepLines w:val="0"/>
        <w:pageBreakBefore w:val="0"/>
        <w:kinsoku/>
        <w:wordWrap/>
        <w:overflowPunct/>
        <w:topLinePunct w:val="0"/>
        <w:autoSpaceDE/>
        <w:autoSpaceDN/>
        <w:bidi w:val="0"/>
        <w:spacing w:line="432" w:lineRule="auto"/>
        <w:jc w:val="center"/>
        <w:textAlignment w:val="auto"/>
        <w:rPr>
          <w:rFonts w:hint="eastAsia" w:ascii="宋体" w:hAnsi="宋体" w:eastAsia="宋体" w:cs="宋体"/>
          <w:b/>
          <w:bCs/>
          <w:color w:val="auto"/>
          <w:szCs w:val="21"/>
        </w:rPr>
      </w:pPr>
      <w:r>
        <w:rPr>
          <w:rFonts w:hint="eastAsia" w:ascii="宋体" w:hAnsi="宋体" w:eastAsia="宋体" w:cs="宋体"/>
          <w:b/>
          <w:bCs/>
          <w:color w:val="auto"/>
          <w:szCs w:val="21"/>
        </w:rPr>
        <w:t>I 质疑、投诉</w:t>
      </w:r>
    </w:p>
    <w:p w14:paraId="7F330B64">
      <w:pPr>
        <w:keepNext w:val="0"/>
        <w:keepLines w:val="0"/>
        <w:pageBreakBefore w:val="0"/>
        <w:kinsoku/>
        <w:wordWrap/>
        <w:overflowPunct/>
        <w:topLinePunct w:val="0"/>
        <w:autoSpaceDE/>
        <w:autoSpaceDN/>
        <w:bidi w:val="0"/>
        <w:spacing w:line="432" w:lineRule="auto"/>
        <w:jc w:val="both"/>
        <w:textAlignment w:val="auto"/>
        <w:rPr>
          <w:rFonts w:hint="eastAsia" w:ascii="宋体" w:hAnsi="宋体" w:eastAsia="宋体" w:cs="宋体"/>
          <w:color w:val="auto"/>
          <w:szCs w:val="21"/>
        </w:rPr>
      </w:pPr>
      <w:r>
        <w:rPr>
          <w:rFonts w:hint="eastAsia" w:ascii="宋体" w:hAnsi="宋体" w:eastAsia="宋体" w:cs="宋体"/>
          <w:color w:val="auto"/>
          <w:szCs w:val="21"/>
        </w:rPr>
        <w:t>33.质疑：供应商认为</w:t>
      </w:r>
      <w:r>
        <w:rPr>
          <w:rFonts w:hint="eastAsia" w:ascii="宋体" w:hAnsi="宋体" w:cs="宋体"/>
          <w:color w:val="auto"/>
          <w:szCs w:val="21"/>
          <w:lang w:eastAsia="zh-CN"/>
        </w:rPr>
        <w:t>竞争性谈判</w:t>
      </w:r>
      <w:r>
        <w:rPr>
          <w:rFonts w:hint="eastAsia" w:ascii="宋体" w:hAnsi="宋体" w:eastAsia="宋体" w:cs="宋体"/>
          <w:color w:val="auto"/>
          <w:szCs w:val="21"/>
        </w:rPr>
        <w:t>文件、采购过程、成交或者成交结果使自己的权益受到损害的，可以在知道或者应知其权益受到损害之日起7个工作日内，以书面形式向采购人提出质疑。提出质疑的供应商（以下简称质疑供应商）应当是参与所质疑项目采购活动的供应商。潜在供应商已依法获取其可质疑的</w:t>
      </w:r>
      <w:r>
        <w:rPr>
          <w:rFonts w:hint="eastAsia" w:ascii="宋体" w:hAnsi="宋体" w:cs="宋体"/>
          <w:color w:val="auto"/>
          <w:szCs w:val="21"/>
          <w:lang w:eastAsia="zh-CN"/>
        </w:rPr>
        <w:t>竞争性谈判</w:t>
      </w:r>
      <w:r>
        <w:rPr>
          <w:rFonts w:hint="eastAsia" w:ascii="宋体" w:hAnsi="宋体" w:eastAsia="宋体" w:cs="宋体"/>
          <w:color w:val="auto"/>
          <w:szCs w:val="21"/>
        </w:rPr>
        <w:t>文件的，可以对该文件提出质疑。对</w:t>
      </w:r>
      <w:r>
        <w:rPr>
          <w:rFonts w:hint="eastAsia" w:ascii="宋体" w:hAnsi="宋体" w:cs="宋体"/>
          <w:color w:val="auto"/>
          <w:szCs w:val="21"/>
          <w:lang w:eastAsia="zh-CN"/>
        </w:rPr>
        <w:t>竞争性谈判</w:t>
      </w:r>
      <w:r>
        <w:rPr>
          <w:rFonts w:hint="eastAsia" w:ascii="宋体" w:hAnsi="宋体" w:eastAsia="宋体" w:cs="宋体"/>
          <w:color w:val="auto"/>
          <w:szCs w:val="21"/>
        </w:rPr>
        <w:t>文件提出质疑的，应当在获取</w:t>
      </w:r>
      <w:r>
        <w:rPr>
          <w:rFonts w:hint="eastAsia" w:ascii="宋体" w:hAnsi="宋体" w:cs="宋体"/>
          <w:color w:val="auto"/>
          <w:szCs w:val="21"/>
          <w:lang w:eastAsia="zh-CN"/>
        </w:rPr>
        <w:t>竞争性谈判</w:t>
      </w:r>
      <w:r>
        <w:rPr>
          <w:rFonts w:hint="eastAsia" w:ascii="宋体" w:hAnsi="宋体" w:eastAsia="宋体" w:cs="宋体"/>
          <w:color w:val="auto"/>
          <w:szCs w:val="21"/>
        </w:rPr>
        <w:t>文件或者</w:t>
      </w:r>
      <w:r>
        <w:rPr>
          <w:rFonts w:hint="eastAsia" w:ascii="宋体" w:hAnsi="宋体" w:cs="宋体"/>
          <w:color w:val="auto"/>
          <w:szCs w:val="21"/>
          <w:lang w:eastAsia="zh-CN"/>
        </w:rPr>
        <w:t>竞争性谈判</w:t>
      </w:r>
      <w:r>
        <w:rPr>
          <w:rFonts w:hint="eastAsia" w:ascii="宋体" w:hAnsi="宋体" w:eastAsia="宋体" w:cs="宋体"/>
          <w:color w:val="auto"/>
          <w:szCs w:val="21"/>
        </w:rPr>
        <w:t>文件公告期限届满之日起7个工作日内提出。供应商在法定质疑期内一次性提出针对同一采购程序环节的质疑。</w:t>
      </w:r>
    </w:p>
    <w:p w14:paraId="036113BD">
      <w:pPr>
        <w:keepNext w:val="0"/>
        <w:keepLines w:val="0"/>
        <w:pageBreakBefore w:val="0"/>
        <w:kinsoku/>
        <w:wordWrap/>
        <w:overflowPunct/>
        <w:topLinePunct w:val="0"/>
        <w:autoSpaceDE/>
        <w:autoSpaceDN/>
        <w:bidi w:val="0"/>
        <w:spacing w:line="432" w:lineRule="auto"/>
        <w:jc w:val="both"/>
        <w:textAlignment w:val="auto"/>
        <w:rPr>
          <w:rFonts w:hint="eastAsia" w:ascii="宋体" w:hAnsi="宋体" w:eastAsia="宋体" w:cs="宋体"/>
          <w:color w:val="auto"/>
          <w:szCs w:val="21"/>
        </w:rPr>
      </w:pPr>
      <w:r>
        <w:rPr>
          <w:rFonts w:hint="eastAsia" w:ascii="宋体" w:hAnsi="宋体" w:eastAsia="宋体" w:cs="宋体"/>
          <w:color w:val="auto"/>
          <w:szCs w:val="21"/>
        </w:rPr>
        <w:t>33.1供应商提出质疑应当提交质疑函和必要的证明材料。质疑函应当包括下列内容：</w:t>
      </w:r>
    </w:p>
    <w:p w14:paraId="10286ECC">
      <w:pPr>
        <w:keepNext w:val="0"/>
        <w:keepLines w:val="0"/>
        <w:pageBreakBefore w:val="0"/>
        <w:kinsoku/>
        <w:wordWrap/>
        <w:overflowPunct/>
        <w:topLinePunct w:val="0"/>
        <w:autoSpaceDE/>
        <w:autoSpaceDN/>
        <w:bidi w:val="0"/>
        <w:spacing w:line="432" w:lineRule="auto"/>
        <w:jc w:val="both"/>
        <w:textAlignment w:val="auto"/>
        <w:rPr>
          <w:rFonts w:hint="eastAsia" w:ascii="宋体" w:hAnsi="宋体" w:eastAsia="宋体" w:cs="宋体"/>
          <w:color w:val="auto"/>
          <w:szCs w:val="21"/>
        </w:rPr>
      </w:pPr>
      <w:r>
        <w:rPr>
          <w:rFonts w:hint="eastAsia" w:ascii="宋体" w:hAnsi="宋体" w:eastAsia="宋体" w:cs="宋体"/>
          <w:color w:val="auto"/>
          <w:szCs w:val="21"/>
        </w:rPr>
        <w:t>（1）供应商的姓名或者名称、地址、邮编、联系人及联系电话；</w:t>
      </w:r>
    </w:p>
    <w:p w14:paraId="3F0B81F6">
      <w:pPr>
        <w:pStyle w:val="31"/>
        <w:keepNext w:val="0"/>
        <w:keepLines w:val="0"/>
        <w:pageBreakBefore w:val="0"/>
        <w:widowControl/>
        <w:kinsoku/>
        <w:wordWrap/>
        <w:overflowPunct/>
        <w:topLinePunct w:val="0"/>
        <w:autoSpaceDE/>
        <w:autoSpaceDN/>
        <w:bidi w:val="0"/>
        <w:spacing w:beforeAutospacing="0" w:afterAutospacing="0" w:line="432"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（2）质疑项目的名称；</w:t>
      </w:r>
    </w:p>
    <w:p w14:paraId="70644FA4">
      <w:pPr>
        <w:pStyle w:val="31"/>
        <w:keepNext w:val="0"/>
        <w:keepLines w:val="0"/>
        <w:pageBreakBefore w:val="0"/>
        <w:widowControl/>
        <w:kinsoku/>
        <w:wordWrap/>
        <w:overflowPunct/>
        <w:topLinePunct w:val="0"/>
        <w:autoSpaceDE/>
        <w:autoSpaceDN/>
        <w:bidi w:val="0"/>
        <w:spacing w:beforeAutospacing="0" w:afterAutospacing="0" w:line="432"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（3）具体、明确的质疑事项和与质疑事项相关的请求；</w:t>
      </w:r>
    </w:p>
    <w:p w14:paraId="7F3E2683">
      <w:pPr>
        <w:pStyle w:val="31"/>
        <w:keepNext w:val="0"/>
        <w:keepLines w:val="0"/>
        <w:pageBreakBefore w:val="0"/>
        <w:widowControl/>
        <w:kinsoku/>
        <w:wordWrap/>
        <w:overflowPunct/>
        <w:topLinePunct w:val="0"/>
        <w:autoSpaceDE/>
        <w:autoSpaceDN/>
        <w:bidi w:val="0"/>
        <w:spacing w:beforeAutospacing="0" w:afterAutospacing="0" w:line="432"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（4）事实依据；</w:t>
      </w:r>
    </w:p>
    <w:p w14:paraId="00A28292">
      <w:pPr>
        <w:pStyle w:val="31"/>
        <w:keepNext w:val="0"/>
        <w:keepLines w:val="0"/>
        <w:pageBreakBefore w:val="0"/>
        <w:widowControl/>
        <w:kinsoku/>
        <w:wordWrap/>
        <w:overflowPunct/>
        <w:topLinePunct w:val="0"/>
        <w:autoSpaceDE/>
        <w:autoSpaceDN/>
        <w:bidi w:val="0"/>
        <w:spacing w:beforeAutospacing="0" w:afterAutospacing="0" w:line="432"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（5）必要的法律依据；</w:t>
      </w:r>
    </w:p>
    <w:p w14:paraId="4144BF8C">
      <w:pPr>
        <w:pStyle w:val="31"/>
        <w:keepNext w:val="0"/>
        <w:keepLines w:val="0"/>
        <w:pageBreakBefore w:val="0"/>
        <w:widowControl/>
        <w:kinsoku/>
        <w:wordWrap/>
        <w:overflowPunct/>
        <w:topLinePunct w:val="0"/>
        <w:autoSpaceDE/>
        <w:autoSpaceDN/>
        <w:bidi w:val="0"/>
        <w:spacing w:beforeAutospacing="0" w:afterAutospacing="0" w:line="432"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（6）提出质疑的日期。</w:t>
      </w:r>
    </w:p>
    <w:p w14:paraId="77AE0E76">
      <w:pPr>
        <w:pStyle w:val="31"/>
        <w:keepNext w:val="0"/>
        <w:keepLines w:val="0"/>
        <w:pageBreakBefore w:val="0"/>
        <w:widowControl/>
        <w:kinsoku/>
        <w:wordWrap/>
        <w:overflowPunct/>
        <w:topLinePunct w:val="0"/>
        <w:autoSpaceDE/>
        <w:autoSpaceDN/>
        <w:bidi w:val="0"/>
        <w:spacing w:beforeAutospacing="0" w:afterAutospacing="0" w:line="432"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供应商为自然人的，应当由本人签字；供应商为法人或者其他组织的，应当由法定代表人、主要负责人，或者其授权代表签字或者盖章，并加盖供应商单位公章。</w:t>
      </w:r>
    </w:p>
    <w:p w14:paraId="155EF298">
      <w:pPr>
        <w:pStyle w:val="31"/>
        <w:keepNext w:val="0"/>
        <w:keepLines w:val="0"/>
        <w:pageBreakBefore w:val="0"/>
        <w:widowControl/>
        <w:kinsoku/>
        <w:wordWrap/>
        <w:overflowPunct/>
        <w:topLinePunct w:val="0"/>
        <w:autoSpaceDE/>
        <w:autoSpaceDN/>
        <w:bidi w:val="0"/>
        <w:spacing w:beforeAutospacing="0" w:afterAutospacing="0" w:line="432" w:lineRule="auto"/>
        <w:jc w:val="both"/>
        <w:textAlignment w:val="auto"/>
        <w:rPr>
          <w:rFonts w:hint="eastAsia" w:ascii="宋体" w:hAnsi="宋体" w:eastAsia="宋体" w:cs="宋体"/>
          <w:color w:val="auto"/>
          <w:sz w:val="21"/>
          <w:szCs w:val="21"/>
        </w:rPr>
      </w:pPr>
      <w:r>
        <w:rPr>
          <w:rFonts w:hint="eastAsia" w:ascii="宋体" w:hAnsi="宋体" w:eastAsia="宋体" w:cs="宋体"/>
          <w:bCs/>
          <w:color w:val="auto"/>
          <w:sz w:val="21"/>
          <w:szCs w:val="21"/>
        </w:rPr>
        <w:t>33.2接受质疑函方式（现场递交或邮寄）：</w:t>
      </w:r>
      <w:r>
        <w:rPr>
          <w:rFonts w:hint="eastAsia" w:ascii="宋体" w:hAnsi="宋体" w:eastAsia="宋体" w:cs="宋体"/>
          <w:bCs/>
          <w:color w:val="auto"/>
          <w:sz w:val="21"/>
          <w:szCs w:val="21"/>
          <w:lang w:val="en-US" w:eastAsia="zh-CN"/>
        </w:rPr>
        <w:t>参照</w:t>
      </w:r>
      <w:r>
        <w:rPr>
          <w:rFonts w:hint="eastAsia" w:ascii="宋体" w:hAnsi="宋体" w:eastAsia="宋体" w:cs="宋体"/>
          <w:bCs/>
          <w:color w:val="auto"/>
          <w:sz w:val="21"/>
          <w:szCs w:val="21"/>
        </w:rPr>
        <w:t>《中华人民共和国财政部令第94号－－政府采购质疑和投诉办法》的有关规定，</w:t>
      </w:r>
      <w:r>
        <w:rPr>
          <w:rFonts w:hint="eastAsia" w:ascii="宋体" w:hAnsi="宋体" w:eastAsia="宋体" w:cs="宋体"/>
          <w:color w:val="auto"/>
          <w:sz w:val="21"/>
          <w:szCs w:val="21"/>
        </w:rPr>
        <w:t>以书面形式向采购</w:t>
      </w:r>
      <w:r>
        <w:rPr>
          <w:rFonts w:hint="eastAsia" w:ascii="宋体" w:hAnsi="宋体" w:cs="宋体"/>
          <w:color w:val="auto"/>
          <w:sz w:val="21"/>
          <w:szCs w:val="21"/>
          <w:lang w:val="en-US" w:eastAsia="zh-CN"/>
        </w:rPr>
        <w:t>人</w:t>
      </w:r>
      <w:r>
        <w:rPr>
          <w:rFonts w:hint="eastAsia" w:ascii="宋体" w:hAnsi="宋体" w:eastAsia="宋体" w:cs="宋体"/>
          <w:color w:val="auto"/>
          <w:sz w:val="21"/>
          <w:szCs w:val="21"/>
        </w:rPr>
        <w:t>提出质疑。</w:t>
      </w:r>
    </w:p>
    <w:p w14:paraId="5E0C3022">
      <w:pPr>
        <w:pStyle w:val="31"/>
        <w:keepNext w:val="0"/>
        <w:keepLines w:val="0"/>
        <w:pageBreakBefore w:val="0"/>
        <w:widowControl/>
        <w:kinsoku/>
        <w:wordWrap/>
        <w:overflowPunct/>
        <w:topLinePunct w:val="0"/>
        <w:autoSpaceDE/>
        <w:autoSpaceDN/>
        <w:bidi w:val="0"/>
        <w:spacing w:beforeAutospacing="0" w:afterAutospacing="0" w:line="432" w:lineRule="auto"/>
        <w:jc w:val="both"/>
        <w:textAlignment w:val="auto"/>
        <w:rPr>
          <w:rFonts w:hint="eastAsia" w:ascii="宋体" w:hAnsi="宋体" w:eastAsia="宋体" w:cs="宋体"/>
          <w:bCs/>
          <w:color w:val="auto"/>
          <w:sz w:val="21"/>
          <w:szCs w:val="21"/>
        </w:rPr>
      </w:pPr>
      <w:r>
        <w:rPr>
          <w:rFonts w:hint="eastAsia" w:ascii="宋体" w:hAnsi="宋体" w:eastAsia="宋体" w:cs="宋体"/>
          <w:color w:val="auto"/>
          <w:sz w:val="21"/>
          <w:szCs w:val="21"/>
        </w:rPr>
        <w:t>33.3递交</w:t>
      </w:r>
      <w:r>
        <w:rPr>
          <w:rFonts w:hint="eastAsia" w:ascii="宋体" w:hAnsi="宋体" w:eastAsia="宋体" w:cs="宋体"/>
          <w:bCs/>
          <w:color w:val="auto"/>
          <w:sz w:val="21"/>
          <w:szCs w:val="21"/>
        </w:rPr>
        <w:t>质疑函联系方式</w:t>
      </w:r>
    </w:p>
    <w:p w14:paraId="6445B93B">
      <w:pPr>
        <w:pStyle w:val="31"/>
        <w:keepNext w:val="0"/>
        <w:keepLines w:val="0"/>
        <w:pageBreakBefore w:val="0"/>
        <w:widowControl/>
        <w:kinsoku/>
        <w:wordWrap/>
        <w:overflowPunct/>
        <w:topLinePunct w:val="0"/>
        <w:autoSpaceDE/>
        <w:autoSpaceDN/>
        <w:bidi w:val="0"/>
        <w:spacing w:beforeAutospacing="0" w:afterAutospacing="0" w:line="432" w:lineRule="auto"/>
        <w:jc w:val="both"/>
        <w:textAlignment w:val="auto"/>
        <w:rPr>
          <w:rFonts w:hint="default" w:ascii="宋体" w:hAnsi="宋体" w:cs="宋体"/>
          <w:color w:val="auto"/>
          <w:sz w:val="21"/>
          <w:szCs w:val="21"/>
          <w:lang w:val="en-US" w:eastAsia="zh-CN"/>
        </w:rPr>
      </w:pPr>
      <w:r>
        <w:rPr>
          <w:rFonts w:hint="eastAsia" w:ascii="宋体" w:hAnsi="宋体" w:eastAsia="宋体" w:cs="宋体"/>
          <w:color w:val="auto"/>
          <w:sz w:val="21"/>
          <w:szCs w:val="21"/>
        </w:rPr>
        <w:t>33.3.1联系部门：</w:t>
      </w:r>
      <w:r>
        <w:rPr>
          <w:rFonts w:hint="eastAsia" w:ascii="宋体" w:hAnsi="宋体" w:cs="宋体"/>
          <w:color w:val="auto"/>
          <w:sz w:val="21"/>
          <w:szCs w:val="21"/>
          <w:lang w:val="en-US" w:eastAsia="zh-CN"/>
        </w:rPr>
        <w:t>贵州钟山野马寨热电有限责任公司</w:t>
      </w:r>
    </w:p>
    <w:p w14:paraId="1AFEF4DA">
      <w:pPr>
        <w:pStyle w:val="31"/>
        <w:keepNext w:val="0"/>
        <w:keepLines w:val="0"/>
        <w:pageBreakBefore w:val="0"/>
        <w:widowControl/>
        <w:kinsoku/>
        <w:wordWrap/>
        <w:overflowPunct/>
        <w:topLinePunct w:val="0"/>
        <w:autoSpaceDE/>
        <w:autoSpaceDN/>
        <w:bidi w:val="0"/>
        <w:spacing w:beforeAutospacing="0" w:afterAutospacing="0" w:line="432" w:lineRule="auto"/>
        <w:jc w:val="both"/>
        <w:textAlignment w:val="auto"/>
        <w:rPr>
          <w:rFonts w:hint="default" w:ascii="宋体" w:hAnsi="宋体" w:cs="宋体"/>
          <w:color w:val="auto"/>
          <w:sz w:val="21"/>
          <w:szCs w:val="21"/>
          <w:lang w:val="en-US" w:eastAsia="zh-CN"/>
        </w:rPr>
      </w:pPr>
      <w:r>
        <w:rPr>
          <w:rFonts w:hint="eastAsia" w:ascii="宋体" w:hAnsi="宋体" w:eastAsia="宋体" w:cs="宋体"/>
          <w:color w:val="auto"/>
          <w:sz w:val="21"/>
          <w:szCs w:val="21"/>
        </w:rPr>
        <w:t>33.3.2联系电话：</w:t>
      </w:r>
      <w:r>
        <w:rPr>
          <w:rFonts w:hint="eastAsia" w:ascii="宋体" w:hAnsi="宋体" w:cs="宋体"/>
          <w:color w:val="auto"/>
          <w:sz w:val="21"/>
          <w:szCs w:val="21"/>
          <w:lang w:val="en-US" w:eastAsia="zh-CN"/>
        </w:rPr>
        <w:t>15519096680</w:t>
      </w:r>
    </w:p>
    <w:p w14:paraId="3DD21C63">
      <w:pPr>
        <w:pStyle w:val="31"/>
        <w:keepNext w:val="0"/>
        <w:keepLines w:val="0"/>
        <w:pageBreakBefore w:val="0"/>
        <w:widowControl/>
        <w:kinsoku/>
        <w:wordWrap/>
        <w:overflowPunct/>
        <w:topLinePunct w:val="0"/>
        <w:autoSpaceDE/>
        <w:autoSpaceDN/>
        <w:bidi w:val="0"/>
        <w:spacing w:beforeAutospacing="0" w:afterAutospacing="0" w:line="432" w:lineRule="auto"/>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33.3.3联系人：</w:t>
      </w:r>
      <w:r>
        <w:rPr>
          <w:rFonts w:hint="eastAsia" w:ascii="宋体" w:hAnsi="宋体" w:cs="宋体"/>
          <w:color w:val="auto"/>
          <w:sz w:val="21"/>
          <w:szCs w:val="21"/>
          <w:lang w:eastAsia="zh-CN"/>
        </w:rPr>
        <w:t>朱军</w:t>
      </w:r>
    </w:p>
    <w:p w14:paraId="5A9136E0">
      <w:pPr>
        <w:pStyle w:val="31"/>
        <w:keepNext w:val="0"/>
        <w:keepLines w:val="0"/>
        <w:pageBreakBefore w:val="0"/>
        <w:widowControl/>
        <w:kinsoku/>
        <w:wordWrap/>
        <w:overflowPunct/>
        <w:topLinePunct w:val="0"/>
        <w:autoSpaceDE/>
        <w:autoSpaceDN/>
        <w:bidi w:val="0"/>
        <w:spacing w:beforeAutospacing="0" w:afterAutospacing="0" w:line="432"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33.3.4联系邮箱</w:t>
      </w:r>
      <w:r>
        <w:rPr>
          <w:rFonts w:hint="eastAsia" w:ascii="宋体" w:hAnsi="宋体" w:cs="宋体"/>
          <w:color w:val="auto"/>
          <w:sz w:val="21"/>
          <w:szCs w:val="21"/>
          <w:lang w:val="en-US" w:eastAsia="zh-CN"/>
        </w:rPr>
        <w:t>：</w:t>
      </w:r>
      <w:r>
        <w:rPr>
          <w:rFonts w:hint="eastAsia" w:ascii="宋体" w:hAnsi="宋体" w:cs="宋体"/>
          <w:color w:val="auto"/>
          <w:sz w:val="21"/>
          <w:szCs w:val="21"/>
          <w:lang w:val="en-US" w:eastAsia="zh-CN"/>
        </w:rPr>
        <w:fldChar w:fldCharType="begin"/>
      </w:r>
      <w:r>
        <w:rPr>
          <w:rFonts w:hint="eastAsia" w:ascii="宋体" w:hAnsi="宋体" w:cs="宋体"/>
          <w:color w:val="auto"/>
          <w:sz w:val="21"/>
          <w:szCs w:val="21"/>
          <w:lang w:val="en-US" w:eastAsia="zh-CN"/>
        </w:rPr>
        <w:instrText xml:space="preserve"> HYPERLINK "mailto:GZRTHZB@163.com," </w:instrText>
      </w:r>
      <w:r>
        <w:rPr>
          <w:rFonts w:hint="eastAsia" w:ascii="宋体" w:hAnsi="宋体" w:cs="宋体"/>
          <w:color w:val="auto"/>
          <w:sz w:val="21"/>
          <w:szCs w:val="21"/>
          <w:lang w:val="en-US" w:eastAsia="zh-CN"/>
        </w:rPr>
        <w:fldChar w:fldCharType="separate"/>
      </w:r>
      <w:r>
        <w:rPr>
          <w:rFonts w:hint="eastAsia" w:ascii="宋体" w:hAnsi="宋体" w:cs="宋体"/>
          <w:color w:val="auto"/>
          <w:sz w:val="21"/>
          <w:szCs w:val="21"/>
          <w:lang w:val="en-US" w:eastAsia="zh-CN"/>
        </w:rPr>
        <w:t>3696059436@qq.com,</w:t>
      </w:r>
      <w:r>
        <w:rPr>
          <w:rFonts w:hint="eastAsia" w:ascii="宋体" w:hAnsi="宋体" w:cs="宋体"/>
          <w:color w:val="auto"/>
          <w:sz w:val="21"/>
          <w:szCs w:val="21"/>
          <w:lang w:val="en-US" w:eastAsia="zh-CN"/>
        </w:rPr>
        <w:fldChar w:fldCharType="end"/>
      </w:r>
    </w:p>
    <w:p w14:paraId="606F1443">
      <w:pPr>
        <w:pStyle w:val="31"/>
        <w:keepNext w:val="0"/>
        <w:keepLines w:val="0"/>
        <w:pageBreakBefore w:val="0"/>
        <w:widowControl/>
        <w:kinsoku/>
        <w:wordWrap/>
        <w:overflowPunct/>
        <w:topLinePunct w:val="0"/>
        <w:autoSpaceDE/>
        <w:autoSpaceDN/>
        <w:bidi w:val="0"/>
        <w:spacing w:beforeAutospacing="0" w:afterAutospacing="0" w:line="432" w:lineRule="auto"/>
        <w:jc w:val="both"/>
        <w:textAlignment w:val="auto"/>
        <w:rPr>
          <w:rFonts w:hint="eastAsia" w:ascii="宋体" w:hAnsi="宋体" w:eastAsia="宋体" w:cs="宋体"/>
          <w:color w:val="auto"/>
          <w:spacing w:val="-6"/>
          <w:sz w:val="21"/>
          <w:szCs w:val="21"/>
        </w:rPr>
      </w:pPr>
      <w:r>
        <w:rPr>
          <w:rFonts w:hint="eastAsia" w:ascii="宋体" w:hAnsi="宋体" w:eastAsia="宋体" w:cs="宋体"/>
          <w:color w:val="auto"/>
          <w:sz w:val="21"/>
          <w:szCs w:val="21"/>
        </w:rPr>
        <w:t>33.3.5通讯地址：</w:t>
      </w:r>
      <w:r>
        <w:rPr>
          <w:rFonts w:hint="eastAsia" w:ascii="宋体" w:hAnsi="宋体" w:cs="宋体"/>
          <w:color w:val="auto"/>
          <w:spacing w:val="-6"/>
          <w:sz w:val="21"/>
          <w:szCs w:val="21"/>
          <w:lang w:val="en-US" w:eastAsia="zh-CN"/>
        </w:rPr>
        <w:t>贵州钟山野马寨热电有限责任公司</w:t>
      </w:r>
      <w:r>
        <w:rPr>
          <w:rFonts w:hint="eastAsia" w:ascii="宋体" w:hAnsi="宋体" w:eastAsia="宋体" w:cs="宋体"/>
          <w:color w:val="auto"/>
          <w:spacing w:val="-6"/>
          <w:sz w:val="21"/>
          <w:szCs w:val="21"/>
        </w:rPr>
        <w:t>（</w:t>
      </w:r>
      <w:r>
        <w:rPr>
          <w:rFonts w:hint="eastAsia" w:ascii="宋体" w:hAnsi="宋体" w:eastAsia="宋体" w:cs="宋体"/>
          <w:color w:val="auto"/>
          <w:spacing w:val="-6"/>
          <w:sz w:val="21"/>
          <w:szCs w:val="21"/>
          <w:lang w:eastAsia="zh-CN"/>
        </w:rPr>
        <w:t>贵州省六盘水市</w:t>
      </w:r>
      <w:r>
        <w:rPr>
          <w:rFonts w:hint="eastAsia" w:ascii="宋体" w:hAnsi="宋体" w:cs="宋体"/>
          <w:color w:val="auto"/>
          <w:spacing w:val="-6"/>
          <w:sz w:val="21"/>
          <w:szCs w:val="21"/>
          <w:lang w:val="en-US" w:eastAsia="zh-CN"/>
        </w:rPr>
        <w:t>钟山区汪家寨镇新塘村</w:t>
      </w:r>
      <w:r>
        <w:rPr>
          <w:rFonts w:hint="eastAsia" w:ascii="宋体" w:hAnsi="宋体" w:eastAsia="宋体" w:cs="宋体"/>
          <w:color w:val="auto"/>
          <w:spacing w:val="-6"/>
          <w:sz w:val="21"/>
          <w:szCs w:val="21"/>
        </w:rPr>
        <w:t>）</w:t>
      </w:r>
    </w:p>
    <w:p w14:paraId="58A10569">
      <w:pPr>
        <w:pStyle w:val="31"/>
        <w:keepNext w:val="0"/>
        <w:keepLines w:val="0"/>
        <w:pageBreakBefore w:val="0"/>
        <w:widowControl/>
        <w:kinsoku/>
        <w:wordWrap/>
        <w:overflowPunct/>
        <w:topLinePunct w:val="0"/>
        <w:autoSpaceDE/>
        <w:autoSpaceDN/>
        <w:bidi w:val="0"/>
        <w:spacing w:beforeAutospacing="0" w:afterAutospacing="0" w:line="432"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33.3.6邮政编码：553001</w:t>
      </w:r>
    </w:p>
    <w:p w14:paraId="479B24B7">
      <w:pPr>
        <w:pStyle w:val="31"/>
        <w:keepNext w:val="0"/>
        <w:keepLines w:val="0"/>
        <w:pageBreakBefore w:val="0"/>
        <w:widowControl/>
        <w:kinsoku/>
        <w:wordWrap/>
        <w:overflowPunct/>
        <w:topLinePunct w:val="0"/>
        <w:autoSpaceDE/>
        <w:autoSpaceDN/>
        <w:bidi w:val="0"/>
        <w:spacing w:beforeAutospacing="0" w:afterAutospacing="0" w:line="432"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34.投诉：质疑供应商对采购人的答复不满意，或者采购人未在规定时间内作出答复的，可以在答复期满后15个工作日内向《中华人民共和国财政部令第94号－－政府采购质疑和投诉办法》第六条规定的</w:t>
      </w:r>
      <w:r>
        <w:rPr>
          <w:rFonts w:hint="eastAsia" w:ascii="宋体" w:hAnsi="宋体" w:eastAsia="宋体" w:cs="宋体"/>
          <w:color w:val="auto"/>
          <w:sz w:val="21"/>
          <w:szCs w:val="21"/>
          <w:lang w:eastAsia="zh-CN"/>
        </w:rPr>
        <w:t>主管部门</w:t>
      </w:r>
      <w:r>
        <w:rPr>
          <w:rFonts w:hint="eastAsia" w:ascii="宋体" w:hAnsi="宋体" w:eastAsia="宋体" w:cs="宋体"/>
          <w:color w:val="auto"/>
          <w:sz w:val="21"/>
          <w:szCs w:val="21"/>
        </w:rPr>
        <w:t>提起投诉。投诉实行实名制，供应商可以通过现场递交投诉书和邮寄递交投诉书的方式依法投诉，并按规定的要求提交投诉书和必要的证明材料。投诉人通过邮寄递交投诉书方式进行投诉的，应当通过中国邮政速递物流（EMS）进行邮寄，并配合</w:t>
      </w:r>
      <w:r>
        <w:rPr>
          <w:rFonts w:hint="eastAsia" w:ascii="宋体" w:hAnsi="宋体" w:eastAsia="宋体" w:cs="宋体"/>
          <w:color w:val="auto"/>
          <w:sz w:val="21"/>
          <w:szCs w:val="21"/>
          <w:lang w:eastAsia="zh-CN"/>
        </w:rPr>
        <w:t>主管部门</w:t>
      </w:r>
      <w:r>
        <w:rPr>
          <w:rFonts w:hint="eastAsia" w:ascii="宋体" w:hAnsi="宋体" w:eastAsia="宋体" w:cs="宋体"/>
          <w:color w:val="auto"/>
          <w:sz w:val="21"/>
          <w:szCs w:val="21"/>
        </w:rPr>
        <w:t>依法进行现场身份确认，以确保其投诉事项和投诉请求为投诉人的真实意思表示。投诉人拒绝配合依法调查，未提供证据、依据和其他证明材料的，响应事项视为投诉不成立。对于虚假、恶意投诉，</w:t>
      </w:r>
      <w:r>
        <w:rPr>
          <w:rFonts w:hint="eastAsia" w:ascii="宋体" w:hAnsi="宋体" w:eastAsia="宋体" w:cs="宋体"/>
          <w:color w:val="auto"/>
          <w:sz w:val="21"/>
          <w:szCs w:val="21"/>
          <w:lang w:eastAsia="zh-CN"/>
        </w:rPr>
        <w:t>主管部门</w:t>
      </w:r>
      <w:r>
        <w:rPr>
          <w:rFonts w:hint="eastAsia" w:ascii="宋体" w:hAnsi="宋体" w:eastAsia="宋体" w:cs="宋体"/>
          <w:color w:val="auto"/>
          <w:sz w:val="21"/>
          <w:szCs w:val="21"/>
        </w:rPr>
        <w:t>应当按照相关规定予以驳回，将其列入不良行为记录名单，并依法予以处罚。</w:t>
      </w:r>
    </w:p>
    <w:p w14:paraId="6A75D122">
      <w:pPr>
        <w:pStyle w:val="31"/>
        <w:keepNext w:val="0"/>
        <w:keepLines w:val="0"/>
        <w:pageBreakBefore w:val="0"/>
        <w:widowControl/>
        <w:kinsoku/>
        <w:wordWrap/>
        <w:overflowPunct/>
        <w:topLinePunct w:val="0"/>
        <w:autoSpaceDE/>
        <w:autoSpaceDN/>
        <w:bidi w:val="0"/>
        <w:spacing w:beforeAutospacing="0" w:afterAutospacing="0" w:line="432"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34.1投诉人投诉时，应当提交投诉书和必要的证明材料，并按照被投诉采购人（以下简称被投诉人）和与投诉事项有关的供应商数量提供投诉书的副本。投诉书应当包括下列内容：</w:t>
      </w:r>
    </w:p>
    <w:p w14:paraId="2840D6D5">
      <w:pPr>
        <w:pStyle w:val="31"/>
        <w:keepNext w:val="0"/>
        <w:keepLines w:val="0"/>
        <w:pageBreakBefore w:val="0"/>
        <w:widowControl/>
        <w:kinsoku/>
        <w:wordWrap/>
        <w:overflowPunct/>
        <w:topLinePunct w:val="0"/>
        <w:autoSpaceDE/>
        <w:autoSpaceDN/>
        <w:bidi w:val="0"/>
        <w:spacing w:beforeAutospacing="0" w:afterAutospacing="0" w:line="432" w:lineRule="auto"/>
        <w:jc w:val="both"/>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（1）投诉人和被投诉人的姓名或者名称、通讯地址、邮编、联系人及联系电话；</w:t>
      </w:r>
    </w:p>
    <w:p w14:paraId="1F1CBF4D">
      <w:pPr>
        <w:pStyle w:val="31"/>
        <w:keepNext w:val="0"/>
        <w:keepLines w:val="0"/>
        <w:pageBreakBefore w:val="0"/>
        <w:widowControl/>
        <w:kinsoku/>
        <w:wordWrap/>
        <w:overflowPunct/>
        <w:topLinePunct w:val="0"/>
        <w:autoSpaceDE/>
        <w:autoSpaceDN/>
        <w:bidi w:val="0"/>
        <w:spacing w:beforeAutospacing="0" w:afterAutospacing="0" w:line="432" w:lineRule="auto"/>
        <w:jc w:val="both"/>
        <w:textAlignment w:val="auto"/>
        <w:rPr>
          <w:rFonts w:hint="eastAsia" w:ascii="宋体" w:hAnsi="宋体" w:eastAsia="宋体" w:cs="宋体"/>
          <w:color w:val="auto"/>
          <w:sz w:val="21"/>
          <w:szCs w:val="21"/>
        </w:rPr>
      </w:pPr>
      <w:r>
        <w:rPr>
          <w:rFonts w:hint="eastAsia" w:ascii="宋体" w:hAnsi="宋体" w:eastAsia="宋体" w:cs="宋体"/>
          <w:bCs/>
          <w:color w:val="auto"/>
          <w:sz w:val="21"/>
          <w:szCs w:val="21"/>
        </w:rPr>
        <w:t>（2）质疑和质疑答复情况说明及相关证明材</w:t>
      </w:r>
      <w:r>
        <w:rPr>
          <w:rFonts w:hint="eastAsia" w:ascii="宋体" w:hAnsi="宋体" w:eastAsia="宋体" w:cs="宋体"/>
          <w:color w:val="auto"/>
          <w:sz w:val="21"/>
          <w:szCs w:val="21"/>
        </w:rPr>
        <w:t>料；</w:t>
      </w:r>
    </w:p>
    <w:p w14:paraId="61214826">
      <w:pPr>
        <w:pStyle w:val="31"/>
        <w:keepNext w:val="0"/>
        <w:keepLines w:val="0"/>
        <w:pageBreakBefore w:val="0"/>
        <w:widowControl/>
        <w:kinsoku/>
        <w:wordWrap/>
        <w:overflowPunct/>
        <w:topLinePunct w:val="0"/>
        <w:autoSpaceDE/>
        <w:autoSpaceDN/>
        <w:bidi w:val="0"/>
        <w:spacing w:beforeAutospacing="0" w:afterAutospacing="0" w:line="432"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（3）具体、明确的投诉事项和与投诉事项相关的投诉请求；</w:t>
      </w:r>
    </w:p>
    <w:p w14:paraId="5D2B5445">
      <w:pPr>
        <w:pStyle w:val="31"/>
        <w:keepNext w:val="0"/>
        <w:keepLines w:val="0"/>
        <w:pageBreakBefore w:val="0"/>
        <w:widowControl/>
        <w:kinsoku/>
        <w:wordWrap/>
        <w:overflowPunct/>
        <w:topLinePunct w:val="0"/>
        <w:autoSpaceDE/>
        <w:autoSpaceDN/>
        <w:bidi w:val="0"/>
        <w:spacing w:beforeAutospacing="0" w:afterAutospacing="0" w:line="432"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（4）事实依据；</w:t>
      </w:r>
    </w:p>
    <w:p w14:paraId="0F1C8FFA">
      <w:pPr>
        <w:pStyle w:val="31"/>
        <w:keepNext w:val="0"/>
        <w:keepLines w:val="0"/>
        <w:pageBreakBefore w:val="0"/>
        <w:widowControl/>
        <w:kinsoku/>
        <w:wordWrap/>
        <w:overflowPunct/>
        <w:topLinePunct w:val="0"/>
        <w:autoSpaceDE/>
        <w:autoSpaceDN/>
        <w:bidi w:val="0"/>
        <w:spacing w:beforeAutospacing="0" w:afterAutospacing="0" w:line="432"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（5）法律依据；</w:t>
      </w:r>
    </w:p>
    <w:p w14:paraId="0D312328">
      <w:pPr>
        <w:pStyle w:val="31"/>
        <w:keepNext w:val="0"/>
        <w:keepLines w:val="0"/>
        <w:pageBreakBefore w:val="0"/>
        <w:widowControl/>
        <w:kinsoku/>
        <w:wordWrap/>
        <w:overflowPunct/>
        <w:topLinePunct w:val="0"/>
        <w:autoSpaceDE/>
        <w:autoSpaceDN/>
        <w:bidi w:val="0"/>
        <w:spacing w:beforeAutospacing="0" w:afterAutospacing="0" w:line="432"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（6）提起投诉的日期。</w:t>
      </w:r>
    </w:p>
    <w:p w14:paraId="3172548A">
      <w:pPr>
        <w:pStyle w:val="31"/>
        <w:keepNext w:val="0"/>
        <w:keepLines w:val="0"/>
        <w:pageBreakBefore w:val="0"/>
        <w:widowControl/>
        <w:kinsoku/>
        <w:wordWrap/>
        <w:overflowPunct/>
        <w:topLinePunct w:val="0"/>
        <w:autoSpaceDE/>
        <w:autoSpaceDN/>
        <w:bidi w:val="0"/>
        <w:spacing w:beforeAutospacing="0" w:afterAutospacing="0" w:line="432"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投诉人为自然人的，应当由本人签字；投诉人为法人或者其他组织的，应当由法定代表人、主要负责人，或者其授权代表签字或者盖章，并加盖供应商单位公章。</w:t>
      </w:r>
    </w:p>
    <w:p w14:paraId="02E940BE">
      <w:pPr>
        <w:pStyle w:val="31"/>
        <w:keepNext w:val="0"/>
        <w:keepLines w:val="0"/>
        <w:pageBreakBefore w:val="0"/>
        <w:widowControl/>
        <w:kinsoku/>
        <w:wordWrap/>
        <w:overflowPunct/>
        <w:topLinePunct w:val="0"/>
        <w:autoSpaceDE/>
        <w:autoSpaceDN/>
        <w:bidi w:val="0"/>
        <w:spacing w:beforeAutospacing="0" w:afterAutospacing="0" w:line="432" w:lineRule="auto"/>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J 法律责任</w:t>
      </w:r>
    </w:p>
    <w:p w14:paraId="4B6E7A97">
      <w:pPr>
        <w:pStyle w:val="31"/>
        <w:keepNext w:val="0"/>
        <w:keepLines w:val="0"/>
        <w:pageBreakBefore w:val="0"/>
        <w:widowControl/>
        <w:kinsoku/>
        <w:wordWrap/>
        <w:overflowPunct/>
        <w:topLinePunct w:val="0"/>
        <w:autoSpaceDE/>
        <w:autoSpaceDN/>
        <w:bidi w:val="0"/>
        <w:spacing w:beforeAutospacing="0" w:afterAutospacing="0" w:line="432"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35.法律责任：供应商在响应过程中有违法行为的，</w:t>
      </w:r>
      <w:r>
        <w:rPr>
          <w:rFonts w:hint="eastAsia" w:ascii="宋体" w:hAnsi="宋体" w:eastAsia="宋体" w:cs="宋体"/>
          <w:color w:val="auto"/>
          <w:sz w:val="21"/>
          <w:szCs w:val="21"/>
          <w:lang w:val="en-US" w:eastAsia="zh-CN"/>
        </w:rPr>
        <w:t>参照</w:t>
      </w:r>
      <w:r>
        <w:rPr>
          <w:rFonts w:hint="eastAsia" w:ascii="宋体" w:hAnsi="宋体" w:eastAsia="宋体" w:cs="宋体"/>
          <w:color w:val="auto"/>
          <w:sz w:val="21"/>
          <w:szCs w:val="21"/>
        </w:rPr>
        <w:t>《中华人民共和国政府采购法》 、《政府采购</w:t>
      </w:r>
      <w:r>
        <w:rPr>
          <w:rFonts w:hint="eastAsia" w:ascii="宋体" w:hAnsi="宋体" w:cs="宋体"/>
          <w:color w:val="auto"/>
          <w:sz w:val="21"/>
          <w:szCs w:val="21"/>
          <w:lang w:eastAsia="zh-CN"/>
        </w:rPr>
        <w:t>竞争性谈判</w:t>
      </w:r>
      <w:r>
        <w:rPr>
          <w:rFonts w:hint="eastAsia" w:ascii="宋体" w:hAnsi="宋体" w:eastAsia="宋体" w:cs="宋体"/>
          <w:color w:val="auto"/>
          <w:sz w:val="21"/>
          <w:szCs w:val="21"/>
        </w:rPr>
        <w:t>采购方式管理暂行办法》及有关规定处理。</w:t>
      </w:r>
    </w:p>
    <w:p w14:paraId="0AE763D8">
      <w:pPr>
        <w:keepNext w:val="0"/>
        <w:keepLines w:val="0"/>
        <w:pageBreakBefore w:val="0"/>
        <w:kinsoku/>
        <w:wordWrap/>
        <w:overflowPunct/>
        <w:topLinePunct w:val="0"/>
        <w:autoSpaceDE/>
        <w:autoSpaceDN/>
        <w:bidi w:val="0"/>
        <w:spacing w:line="432" w:lineRule="auto"/>
        <w:jc w:val="center"/>
        <w:textAlignment w:val="auto"/>
        <w:rPr>
          <w:rFonts w:hint="eastAsia" w:ascii="宋体" w:hAnsi="宋体" w:eastAsia="宋体" w:cs="宋体"/>
          <w:b/>
          <w:bCs/>
          <w:color w:val="auto"/>
          <w:szCs w:val="21"/>
        </w:rPr>
      </w:pPr>
      <w:r>
        <w:rPr>
          <w:rFonts w:hint="eastAsia" w:ascii="宋体" w:hAnsi="宋体" w:eastAsia="宋体" w:cs="宋体"/>
          <w:b/>
          <w:bCs/>
          <w:color w:val="auto"/>
          <w:szCs w:val="21"/>
        </w:rPr>
        <w:t>K  其他</w:t>
      </w:r>
    </w:p>
    <w:p w14:paraId="72B5CFA1">
      <w:pPr>
        <w:pStyle w:val="12"/>
        <w:pageBreakBefore w:val="0"/>
        <w:kinsoku/>
        <w:wordWrap/>
        <w:overflowPunct/>
        <w:topLinePunct w:val="0"/>
        <w:bidi w:val="0"/>
        <w:spacing w:line="360" w:lineRule="auto"/>
        <w:jc w:val="both"/>
        <w:rPr>
          <w:rFonts w:hint="eastAsia" w:ascii="宋体" w:hAnsi="宋体" w:eastAsia="宋体" w:cs="宋体"/>
          <w:color w:val="auto"/>
          <w:szCs w:val="21"/>
        </w:rPr>
      </w:pPr>
      <w:r>
        <w:rPr>
          <w:rFonts w:hint="eastAsia" w:ascii="宋体" w:hAnsi="宋体" w:eastAsia="宋体" w:cs="宋体"/>
          <w:color w:val="auto"/>
          <w:szCs w:val="21"/>
          <w:lang w:val="en-US" w:eastAsia="zh-CN"/>
        </w:rPr>
        <w:t>36.本</w:t>
      </w:r>
      <w:r>
        <w:rPr>
          <w:rFonts w:hint="eastAsia" w:ascii="宋体" w:hAnsi="宋体" w:cs="宋体"/>
          <w:color w:val="auto"/>
          <w:szCs w:val="21"/>
          <w:lang w:val="en-US" w:eastAsia="zh-CN"/>
        </w:rPr>
        <w:t>竞争性谈判</w:t>
      </w:r>
      <w:r>
        <w:rPr>
          <w:rFonts w:hint="eastAsia" w:ascii="宋体" w:hAnsi="宋体" w:eastAsia="宋体" w:cs="宋体"/>
          <w:color w:val="auto"/>
          <w:szCs w:val="21"/>
          <w:lang w:val="en-US" w:eastAsia="zh-CN"/>
        </w:rPr>
        <w:t>文件</w:t>
      </w:r>
      <w:r>
        <w:rPr>
          <w:rFonts w:hint="eastAsia" w:ascii="宋体" w:hAnsi="宋体" w:eastAsia="宋体" w:cs="宋体"/>
          <w:color w:val="auto"/>
          <w:szCs w:val="21"/>
        </w:rPr>
        <w:t>中所称的“以上</w:t>
      </w:r>
      <w:r>
        <w:rPr>
          <w:rFonts w:hint="eastAsia" w:ascii="宋体" w:hAnsi="宋体" w:eastAsia="宋体" w:cs="宋体"/>
          <w:color w:val="auto"/>
          <w:szCs w:val="21"/>
          <w:lang w:eastAsia="zh-CN"/>
        </w:rPr>
        <w:t>”“</w:t>
      </w:r>
      <w:r>
        <w:rPr>
          <w:rFonts w:hint="eastAsia" w:ascii="宋体" w:hAnsi="宋体" w:eastAsia="宋体" w:cs="宋体"/>
          <w:color w:val="auto"/>
          <w:szCs w:val="21"/>
        </w:rPr>
        <w:t>以下</w:t>
      </w:r>
      <w:r>
        <w:rPr>
          <w:rFonts w:hint="eastAsia" w:ascii="宋体" w:hAnsi="宋体" w:eastAsia="宋体" w:cs="宋体"/>
          <w:color w:val="auto"/>
          <w:szCs w:val="21"/>
          <w:lang w:eastAsia="zh-CN"/>
        </w:rPr>
        <w:t>”“</w:t>
      </w:r>
      <w:r>
        <w:rPr>
          <w:rFonts w:hint="eastAsia" w:ascii="宋体" w:hAnsi="宋体" w:eastAsia="宋体" w:cs="宋体"/>
          <w:color w:val="auto"/>
          <w:szCs w:val="21"/>
        </w:rPr>
        <w:t>内</w:t>
      </w:r>
      <w:r>
        <w:rPr>
          <w:rFonts w:hint="eastAsia" w:ascii="宋体" w:hAnsi="宋体" w:eastAsia="宋体" w:cs="宋体"/>
          <w:color w:val="auto"/>
          <w:szCs w:val="21"/>
          <w:lang w:eastAsia="zh-CN"/>
        </w:rPr>
        <w:t>”“</w:t>
      </w:r>
      <w:r>
        <w:rPr>
          <w:rFonts w:hint="eastAsia" w:ascii="宋体" w:hAnsi="宋体" w:eastAsia="宋体" w:cs="宋体"/>
          <w:color w:val="auto"/>
          <w:szCs w:val="21"/>
        </w:rPr>
        <w:t>以内”，包括本数；所称的“不足”，不包括本数。</w:t>
      </w:r>
    </w:p>
    <w:p w14:paraId="25673FFB">
      <w:pPr>
        <w:pStyle w:val="12"/>
        <w:pageBreakBefore w:val="0"/>
        <w:kinsoku/>
        <w:wordWrap/>
        <w:overflowPunct/>
        <w:topLinePunct w:val="0"/>
        <w:bidi w:val="0"/>
        <w:spacing w:line="360" w:lineRule="auto"/>
        <w:jc w:val="both"/>
        <w:rPr>
          <w:rFonts w:hint="eastAsia" w:ascii="宋体" w:hAnsi="宋体" w:eastAsia="宋体" w:cs="宋体"/>
          <w:color w:val="auto"/>
          <w:szCs w:val="21"/>
        </w:rPr>
      </w:pPr>
      <w:r>
        <w:rPr>
          <w:rFonts w:hint="eastAsia" w:ascii="宋体" w:hAnsi="宋体" w:eastAsia="宋体" w:cs="宋体"/>
          <w:color w:val="auto"/>
          <w:szCs w:val="21"/>
          <w:lang w:val="en-US" w:eastAsia="zh-CN"/>
        </w:rPr>
        <w:t>37</w:t>
      </w:r>
      <w:r>
        <w:rPr>
          <w:rFonts w:hint="eastAsia" w:ascii="宋体" w:hAnsi="宋体" w:eastAsia="宋体" w:cs="宋体"/>
          <w:color w:val="auto"/>
          <w:szCs w:val="21"/>
        </w:rPr>
        <w:t>.本</w:t>
      </w:r>
      <w:r>
        <w:rPr>
          <w:rFonts w:hint="eastAsia" w:ascii="宋体" w:hAnsi="宋体" w:cs="宋体"/>
          <w:color w:val="auto"/>
          <w:szCs w:val="21"/>
          <w:lang w:eastAsia="zh-CN"/>
        </w:rPr>
        <w:t>竞争性谈判</w:t>
      </w:r>
      <w:r>
        <w:rPr>
          <w:rFonts w:hint="eastAsia" w:ascii="宋体" w:hAnsi="宋体" w:eastAsia="宋体" w:cs="宋体"/>
          <w:color w:val="auto"/>
          <w:szCs w:val="21"/>
          <w:lang w:eastAsia="zh-CN"/>
        </w:rPr>
        <w:t>文件</w:t>
      </w:r>
      <w:r>
        <w:rPr>
          <w:rFonts w:hint="eastAsia" w:ascii="宋体" w:hAnsi="宋体" w:eastAsia="宋体" w:cs="宋体"/>
          <w:color w:val="auto"/>
          <w:szCs w:val="21"/>
        </w:rPr>
        <w:t>中所</w:t>
      </w:r>
      <w:r>
        <w:rPr>
          <w:rFonts w:hint="eastAsia" w:ascii="宋体" w:hAnsi="宋体" w:eastAsia="宋体" w:cs="宋体"/>
          <w:color w:val="auto"/>
          <w:szCs w:val="21"/>
          <w:lang w:eastAsia="zh-CN"/>
        </w:rPr>
        <w:t>引用</w:t>
      </w:r>
      <w:r>
        <w:rPr>
          <w:rFonts w:hint="eastAsia" w:ascii="宋体" w:hAnsi="宋体" w:eastAsia="宋体" w:cs="宋体"/>
          <w:color w:val="auto"/>
          <w:szCs w:val="21"/>
        </w:rPr>
        <w:t>相关法律制度规定，在</w:t>
      </w:r>
      <w:r>
        <w:rPr>
          <w:rFonts w:hint="eastAsia" w:ascii="宋体" w:hAnsi="宋体" w:eastAsia="宋体" w:cs="宋体"/>
          <w:color w:val="auto"/>
          <w:szCs w:val="21"/>
          <w:lang w:val="en-US" w:eastAsia="zh-CN"/>
        </w:rPr>
        <w:t>招标</w:t>
      </w:r>
      <w:r>
        <w:rPr>
          <w:rFonts w:hint="eastAsia" w:ascii="宋体" w:hAnsi="宋体" w:eastAsia="宋体" w:cs="宋体"/>
          <w:color w:val="auto"/>
          <w:szCs w:val="21"/>
        </w:rPr>
        <w:t>采购中有变化的，按照变化后的相关法律制度规定执行。在本项目</w:t>
      </w:r>
      <w:r>
        <w:rPr>
          <w:rFonts w:hint="eastAsia" w:ascii="宋体" w:hAnsi="宋体" w:cs="宋体"/>
          <w:color w:val="auto"/>
          <w:szCs w:val="21"/>
          <w:lang w:eastAsia="zh-CN"/>
        </w:rPr>
        <w:t>谈判</w:t>
      </w:r>
      <w:r>
        <w:rPr>
          <w:rFonts w:hint="eastAsia" w:ascii="宋体" w:hAnsi="宋体" w:eastAsia="宋体" w:cs="宋体"/>
          <w:color w:val="auto"/>
          <w:szCs w:val="21"/>
        </w:rPr>
        <w:t>截止时间届满后，因相关法律制度规定的变化导致不符合相关法律制度规定的，直接按照变化后的相关法律制度规定执行，本</w:t>
      </w:r>
      <w:r>
        <w:rPr>
          <w:rFonts w:hint="eastAsia" w:ascii="宋体" w:hAnsi="宋体" w:cs="宋体"/>
          <w:color w:val="auto"/>
          <w:szCs w:val="21"/>
          <w:lang w:eastAsia="zh-CN"/>
        </w:rPr>
        <w:t>竞争性谈判</w:t>
      </w:r>
      <w:r>
        <w:rPr>
          <w:rFonts w:hint="eastAsia" w:ascii="宋体" w:hAnsi="宋体" w:eastAsia="宋体" w:cs="宋体"/>
          <w:color w:val="auto"/>
          <w:szCs w:val="21"/>
          <w:lang w:eastAsia="zh-CN"/>
        </w:rPr>
        <w:t>文件</w:t>
      </w:r>
      <w:r>
        <w:rPr>
          <w:rFonts w:hint="eastAsia" w:ascii="宋体" w:hAnsi="宋体" w:eastAsia="宋体" w:cs="宋体"/>
          <w:color w:val="auto"/>
          <w:szCs w:val="21"/>
        </w:rPr>
        <w:t>不再</w:t>
      </w:r>
      <w:r>
        <w:rPr>
          <w:rFonts w:hint="eastAsia" w:ascii="宋体" w:hAnsi="宋体" w:eastAsia="宋体" w:cs="宋体"/>
          <w:color w:val="auto"/>
          <w:szCs w:val="21"/>
          <w:lang w:eastAsia="zh-CN"/>
        </w:rPr>
        <w:t>作调整</w:t>
      </w:r>
      <w:r>
        <w:rPr>
          <w:rFonts w:hint="eastAsia" w:ascii="宋体" w:hAnsi="宋体" w:eastAsia="宋体" w:cs="宋体"/>
          <w:color w:val="auto"/>
          <w:szCs w:val="21"/>
        </w:rPr>
        <w:t>。</w:t>
      </w:r>
    </w:p>
    <w:p w14:paraId="23D8A21B">
      <w:pPr>
        <w:rPr>
          <w:rFonts w:hint="eastAsia" w:ascii="宋体" w:hAnsi="宋体" w:eastAsia="宋体" w:cs="宋体"/>
          <w:color w:val="auto"/>
          <w:szCs w:val="21"/>
        </w:rPr>
      </w:pPr>
      <w:r>
        <w:rPr>
          <w:rFonts w:hint="eastAsia" w:ascii="宋体" w:hAnsi="宋体" w:eastAsia="宋体" w:cs="宋体"/>
          <w:color w:val="auto"/>
          <w:szCs w:val="21"/>
        </w:rPr>
        <w:br w:type="page"/>
      </w:r>
    </w:p>
    <w:p w14:paraId="764FE0DF">
      <w:pPr>
        <w:pStyle w:val="2"/>
        <w:numPr>
          <w:ilvl w:val="0"/>
          <w:numId w:val="0"/>
        </w:numPr>
        <w:bidi w:val="0"/>
        <w:ind w:firstLine="1285" w:firstLineChars="400"/>
        <w:jc w:val="both"/>
        <w:rPr>
          <w:rFonts w:hint="eastAsia" w:ascii="宋体" w:hAnsi="宋体" w:eastAsia="宋体" w:cs="宋体"/>
        </w:rPr>
      </w:pPr>
      <w:bookmarkStart w:id="22" w:name="_Toc3366"/>
      <w:r>
        <w:rPr>
          <w:rFonts w:hint="eastAsia" w:ascii="宋体" w:hAnsi="宋体" w:eastAsia="宋体" w:cs="宋体"/>
          <w:lang w:val="en-US" w:eastAsia="zh-CN"/>
        </w:rPr>
        <w:t xml:space="preserve">第三章  </w:t>
      </w:r>
      <w:r>
        <w:rPr>
          <w:rFonts w:hint="eastAsia" w:ascii="宋体" w:hAnsi="宋体" w:eastAsia="宋体" w:cs="宋体"/>
        </w:rPr>
        <w:t>供应商应当提交的资格、资信证明文件</w:t>
      </w:r>
      <w:bookmarkEnd w:id="22"/>
    </w:p>
    <w:tbl>
      <w:tblPr>
        <w:tblStyle w:val="35"/>
        <w:tblpPr w:leftFromText="180" w:rightFromText="180" w:vertAnchor="text" w:horzAnchor="page" w:tblpX="965" w:tblpY="18"/>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
        <w:gridCol w:w="2928"/>
        <w:gridCol w:w="4455"/>
        <w:gridCol w:w="2190"/>
      </w:tblGrid>
      <w:tr w14:paraId="0CB10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492" w:type="dxa"/>
            <w:noWrap w:val="0"/>
            <w:vAlign w:val="center"/>
          </w:tcPr>
          <w:p w14:paraId="3393998D">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bookmarkStart w:id="23" w:name="_Toc3140"/>
            <w:r>
              <w:rPr>
                <w:rFonts w:hint="eastAsia" w:ascii="宋体" w:hAnsi="宋体" w:eastAsia="宋体" w:cs="宋体"/>
                <w:color w:val="auto"/>
                <w:kern w:val="0"/>
                <w:sz w:val="21"/>
                <w:szCs w:val="21"/>
                <w:highlight w:val="none"/>
              </w:rPr>
              <w:t>序号</w:t>
            </w:r>
          </w:p>
        </w:tc>
        <w:tc>
          <w:tcPr>
            <w:tcW w:w="2928" w:type="dxa"/>
            <w:noWrap w:val="0"/>
            <w:vAlign w:val="center"/>
          </w:tcPr>
          <w:p w14:paraId="5A23BFD9">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rPr>
              <w:t>项目内容</w:t>
            </w:r>
          </w:p>
        </w:tc>
        <w:tc>
          <w:tcPr>
            <w:tcW w:w="4455" w:type="dxa"/>
            <w:noWrap w:val="0"/>
            <w:vAlign w:val="center"/>
          </w:tcPr>
          <w:p w14:paraId="18AA2EEA">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rPr>
              <w:t>资格审查合格内容</w:t>
            </w:r>
          </w:p>
        </w:tc>
        <w:tc>
          <w:tcPr>
            <w:tcW w:w="2190" w:type="dxa"/>
            <w:noWrap w:val="0"/>
            <w:vAlign w:val="center"/>
          </w:tcPr>
          <w:p w14:paraId="56F4BADE">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供应商</w:t>
            </w:r>
            <w:r>
              <w:rPr>
                <w:rFonts w:hint="eastAsia" w:ascii="宋体" w:hAnsi="宋体" w:eastAsia="宋体" w:cs="宋体"/>
                <w:color w:val="auto"/>
                <w:kern w:val="0"/>
                <w:sz w:val="21"/>
                <w:szCs w:val="21"/>
                <w:highlight w:val="none"/>
              </w:rPr>
              <w:t>具备</w:t>
            </w:r>
          </w:p>
          <w:p w14:paraId="33FBEAA3">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的条件或说明</w:t>
            </w:r>
          </w:p>
        </w:tc>
      </w:tr>
      <w:tr w14:paraId="7C6F9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92" w:type="dxa"/>
            <w:noWrap w:val="0"/>
            <w:vAlign w:val="center"/>
          </w:tcPr>
          <w:p w14:paraId="3C2D7E83">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928" w:type="dxa"/>
            <w:noWrap w:val="0"/>
            <w:vAlign w:val="center"/>
          </w:tcPr>
          <w:p w14:paraId="13EBDE61">
            <w:pPr>
              <w:keepNext w:val="0"/>
              <w:keepLines w:val="0"/>
              <w:pageBreakBefore w:val="0"/>
              <w:kinsoku/>
              <w:wordWrap/>
              <w:overflowPunct/>
              <w:topLinePunct w:val="0"/>
              <w:autoSpaceDE/>
              <w:autoSpaceDN/>
              <w:bidi w:val="0"/>
              <w:adjustRightInd/>
              <w:snapToGrid/>
              <w:spacing w:line="240" w:lineRule="auto"/>
              <w:ind w:firstLine="420" w:firstLineChars="20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法定代表人身份证明</w:t>
            </w:r>
          </w:p>
        </w:tc>
        <w:tc>
          <w:tcPr>
            <w:tcW w:w="4455" w:type="dxa"/>
            <w:noWrap w:val="0"/>
            <w:vAlign w:val="center"/>
          </w:tcPr>
          <w:p w14:paraId="7A1D564E">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w:t>
            </w:r>
            <w:r>
              <w:rPr>
                <w:rFonts w:hint="eastAsia" w:ascii="宋体" w:hAnsi="宋体" w:cs="宋体"/>
                <w:color w:val="auto"/>
                <w:sz w:val="21"/>
                <w:szCs w:val="21"/>
                <w:highlight w:val="none"/>
                <w:lang w:val="en-US" w:eastAsia="zh-CN"/>
              </w:rPr>
              <w:t>第八章</w:t>
            </w:r>
            <w:r>
              <w:rPr>
                <w:rFonts w:hint="eastAsia" w:ascii="宋体" w:hAnsi="宋体" w:eastAsia="宋体" w:cs="宋体"/>
                <w:color w:val="auto"/>
                <w:sz w:val="21"/>
                <w:szCs w:val="21"/>
                <w:highlight w:val="none"/>
              </w:rPr>
              <w:t>格式文本要求填制、签字或盖章</w:t>
            </w:r>
          </w:p>
        </w:tc>
        <w:tc>
          <w:tcPr>
            <w:tcW w:w="2190" w:type="dxa"/>
            <w:noWrap w:val="0"/>
            <w:vAlign w:val="center"/>
          </w:tcPr>
          <w:p w14:paraId="074069E1">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原件</w:t>
            </w:r>
            <w:r>
              <w:rPr>
                <w:rFonts w:hint="eastAsia" w:ascii="宋体" w:hAnsi="宋体" w:cs="宋体"/>
                <w:color w:val="auto"/>
                <w:sz w:val="21"/>
                <w:szCs w:val="21"/>
                <w:highlight w:val="none"/>
                <w:lang w:val="en-US" w:eastAsia="zh-CN"/>
              </w:rPr>
              <w:t>或扫描件</w:t>
            </w:r>
          </w:p>
        </w:tc>
      </w:tr>
      <w:tr w14:paraId="5AB08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92" w:type="dxa"/>
            <w:noWrap w:val="0"/>
            <w:vAlign w:val="center"/>
          </w:tcPr>
          <w:p w14:paraId="5B8101B9">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p>
        </w:tc>
        <w:tc>
          <w:tcPr>
            <w:tcW w:w="2928" w:type="dxa"/>
            <w:noWrap w:val="0"/>
            <w:vAlign w:val="center"/>
          </w:tcPr>
          <w:p w14:paraId="795E2EEB">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FF0000"/>
                <w:sz w:val="21"/>
                <w:szCs w:val="21"/>
                <w:highlight w:val="none"/>
              </w:rPr>
            </w:pPr>
            <w:r>
              <w:rPr>
                <w:rFonts w:hint="eastAsia" w:ascii="宋体" w:hAnsi="宋体" w:eastAsia="宋体" w:cs="宋体"/>
                <w:color w:val="auto"/>
                <w:szCs w:val="21"/>
              </w:rPr>
              <w:t>法</w:t>
            </w:r>
            <w:r>
              <w:rPr>
                <w:rFonts w:hint="eastAsia" w:ascii="宋体" w:hAnsi="宋体" w:cs="宋体"/>
                <w:color w:val="auto"/>
                <w:szCs w:val="21"/>
                <w:lang w:val="en-US" w:eastAsia="zh-CN"/>
              </w:rPr>
              <w:t>人</w:t>
            </w:r>
            <w:r>
              <w:rPr>
                <w:rFonts w:hint="eastAsia" w:ascii="宋体" w:hAnsi="宋体" w:eastAsia="宋体" w:cs="宋体"/>
                <w:color w:val="auto"/>
                <w:szCs w:val="21"/>
              </w:rPr>
              <w:t>授权</w:t>
            </w:r>
            <w:r>
              <w:rPr>
                <w:rFonts w:hint="eastAsia" w:ascii="宋体" w:hAnsi="宋体" w:cs="宋体"/>
                <w:color w:val="auto"/>
                <w:szCs w:val="21"/>
                <w:lang w:val="en-US" w:eastAsia="zh-CN"/>
              </w:rPr>
              <w:t>委托</w:t>
            </w:r>
            <w:r>
              <w:rPr>
                <w:rFonts w:hint="eastAsia" w:ascii="宋体" w:hAnsi="宋体" w:eastAsia="宋体" w:cs="宋体"/>
                <w:color w:val="auto"/>
                <w:szCs w:val="21"/>
              </w:rPr>
              <w:t>书</w:t>
            </w:r>
          </w:p>
        </w:tc>
        <w:tc>
          <w:tcPr>
            <w:tcW w:w="4455" w:type="dxa"/>
            <w:noWrap w:val="0"/>
            <w:vAlign w:val="center"/>
          </w:tcPr>
          <w:p w14:paraId="7646F0C6">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rPr>
            </w:pPr>
            <w:r>
              <w:rPr>
                <w:rFonts w:hint="eastAsia"/>
              </w:rPr>
              <w:t>按</w:t>
            </w:r>
            <w:r>
              <w:rPr>
                <w:rFonts w:hint="eastAsia"/>
                <w:lang w:val="en-US" w:eastAsia="zh-CN"/>
              </w:rPr>
              <w:t>第八章</w:t>
            </w:r>
            <w:r>
              <w:rPr>
                <w:rFonts w:hint="eastAsia"/>
              </w:rPr>
              <w:t>格式文本要求填制、签字或盖章</w:t>
            </w:r>
          </w:p>
          <w:p w14:paraId="71025D8B">
            <w:pPr>
              <w:pStyle w:val="9"/>
              <w:keepNext w:val="0"/>
              <w:keepLines w:val="0"/>
              <w:pageBreakBefore w:val="0"/>
              <w:kinsoku/>
              <w:wordWrap/>
              <w:overflowPunct/>
              <w:topLinePunct w:val="0"/>
              <w:autoSpaceDE/>
              <w:autoSpaceDN/>
              <w:bidi w:val="0"/>
              <w:adjustRightInd/>
              <w:snapToGrid/>
              <w:spacing w:line="240" w:lineRule="auto"/>
              <w:jc w:val="center"/>
              <w:textAlignment w:val="auto"/>
              <w:rPr>
                <w:rFonts w:hint="default" w:eastAsia="宋体"/>
                <w:lang w:val="en-US" w:eastAsia="zh-CN"/>
              </w:rPr>
            </w:pPr>
            <w:r>
              <w:rPr>
                <w:rFonts w:hint="eastAsia" w:ascii="宋体" w:hAnsi="宋体" w:cs="宋体"/>
                <w:color w:val="auto"/>
                <w:sz w:val="21"/>
                <w:szCs w:val="21"/>
                <w:highlight w:val="none"/>
                <w:lang w:val="en-US" w:eastAsia="zh-CN"/>
              </w:rPr>
              <w:t>注：法定代表人参与竞谈的无需提供</w:t>
            </w:r>
          </w:p>
        </w:tc>
        <w:tc>
          <w:tcPr>
            <w:tcW w:w="2190" w:type="dxa"/>
            <w:noWrap w:val="0"/>
            <w:vAlign w:val="center"/>
          </w:tcPr>
          <w:p w14:paraId="1DC6782D">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原件</w:t>
            </w:r>
            <w:r>
              <w:rPr>
                <w:rFonts w:hint="eastAsia" w:ascii="宋体" w:hAnsi="宋体" w:cs="宋体"/>
                <w:color w:val="auto"/>
                <w:sz w:val="21"/>
                <w:szCs w:val="21"/>
                <w:highlight w:val="none"/>
                <w:lang w:val="en-US" w:eastAsia="zh-CN"/>
              </w:rPr>
              <w:t>或扫描件</w:t>
            </w:r>
          </w:p>
        </w:tc>
      </w:tr>
      <w:tr w14:paraId="6AE53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492" w:type="dxa"/>
            <w:noWrap w:val="0"/>
            <w:vAlign w:val="center"/>
          </w:tcPr>
          <w:p w14:paraId="1BA6C7EF">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3</w:t>
            </w:r>
          </w:p>
        </w:tc>
        <w:tc>
          <w:tcPr>
            <w:tcW w:w="2928" w:type="dxa"/>
            <w:noWrap w:val="0"/>
            <w:vAlign w:val="center"/>
          </w:tcPr>
          <w:p w14:paraId="0B5A4CCA">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营业执照</w:t>
            </w:r>
          </w:p>
        </w:tc>
        <w:tc>
          <w:tcPr>
            <w:tcW w:w="4455" w:type="dxa"/>
            <w:noWrap w:val="0"/>
            <w:vAlign w:val="center"/>
          </w:tcPr>
          <w:p w14:paraId="33D9BC84">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有效，未三证合一的</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应同时提供税务登记证、组织机构代码证</w:t>
            </w:r>
          </w:p>
        </w:tc>
        <w:tc>
          <w:tcPr>
            <w:tcW w:w="2190" w:type="dxa"/>
            <w:noWrap w:val="0"/>
            <w:vAlign w:val="center"/>
          </w:tcPr>
          <w:p w14:paraId="2974C88E">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复印件或扫描件（加盖</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单位公章）</w:t>
            </w:r>
          </w:p>
        </w:tc>
      </w:tr>
      <w:tr w14:paraId="7A712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2" w:type="dxa"/>
            <w:noWrap w:val="0"/>
            <w:vAlign w:val="center"/>
          </w:tcPr>
          <w:p w14:paraId="4E7F08E5">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2928" w:type="dxa"/>
            <w:noWrap w:val="0"/>
            <w:vAlign w:val="center"/>
          </w:tcPr>
          <w:p w14:paraId="0EE8DD24">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具备履行合同所必需的设备和专业技术能力的证明材料</w:t>
            </w:r>
          </w:p>
        </w:tc>
        <w:tc>
          <w:tcPr>
            <w:tcW w:w="4455" w:type="dxa"/>
            <w:noWrap w:val="0"/>
            <w:vAlign w:val="center"/>
          </w:tcPr>
          <w:p w14:paraId="7B19C656">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按</w:t>
            </w:r>
            <w:r>
              <w:rPr>
                <w:rFonts w:hint="eastAsia" w:ascii="宋体" w:hAnsi="宋体" w:cs="宋体"/>
                <w:color w:val="auto"/>
                <w:sz w:val="21"/>
                <w:szCs w:val="21"/>
                <w:highlight w:val="none"/>
                <w:lang w:val="en-US" w:eastAsia="zh-CN"/>
              </w:rPr>
              <w:t>第八章</w:t>
            </w:r>
            <w:r>
              <w:rPr>
                <w:rFonts w:hint="eastAsia" w:ascii="宋体" w:hAnsi="宋体" w:eastAsia="宋体" w:cs="宋体"/>
                <w:color w:val="auto"/>
                <w:sz w:val="21"/>
                <w:szCs w:val="21"/>
                <w:highlight w:val="none"/>
              </w:rPr>
              <w:t>格式文本要求填制、签字或盖章</w:t>
            </w:r>
          </w:p>
        </w:tc>
        <w:tc>
          <w:tcPr>
            <w:tcW w:w="2190" w:type="dxa"/>
            <w:noWrap w:val="0"/>
            <w:vAlign w:val="center"/>
          </w:tcPr>
          <w:p w14:paraId="5D706A88">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原件</w:t>
            </w:r>
            <w:r>
              <w:rPr>
                <w:rFonts w:hint="eastAsia" w:ascii="宋体" w:hAnsi="宋体" w:cs="宋体"/>
                <w:color w:val="auto"/>
                <w:sz w:val="21"/>
                <w:szCs w:val="21"/>
                <w:highlight w:val="none"/>
                <w:lang w:val="en-US" w:eastAsia="zh-CN"/>
              </w:rPr>
              <w:t>或扫描件</w:t>
            </w:r>
          </w:p>
        </w:tc>
      </w:tr>
      <w:tr w14:paraId="6B0E9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492" w:type="dxa"/>
            <w:noWrap w:val="0"/>
            <w:vAlign w:val="center"/>
          </w:tcPr>
          <w:p w14:paraId="5C3E4E23">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2928" w:type="dxa"/>
            <w:noWrap w:val="0"/>
            <w:vAlign w:val="center"/>
          </w:tcPr>
          <w:p w14:paraId="6B1AB309">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参加</w:t>
            </w:r>
            <w:r>
              <w:rPr>
                <w:rFonts w:hint="eastAsia" w:ascii="宋体" w:hAnsi="宋体" w:cs="宋体"/>
                <w:color w:val="auto"/>
                <w:sz w:val="21"/>
                <w:szCs w:val="21"/>
                <w:highlight w:val="none"/>
                <w:lang w:eastAsia="zh-CN"/>
              </w:rPr>
              <w:t>政府采购活动</w:t>
            </w:r>
            <w:r>
              <w:rPr>
                <w:rFonts w:hint="eastAsia" w:ascii="宋体" w:hAnsi="宋体" w:eastAsia="宋体" w:cs="宋体"/>
                <w:color w:val="auto"/>
                <w:sz w:val="21"/>
                <w:szCs w:val="21"/>
                <w:highlight w:val="none"/>
              </w:rPr>
              <w:t>前3年内在经营活动中没有重大违法记录书面声明</w:t>
            </w:r>
          </w:p>
        </w:tc>
        <w:tc>
          <w:tcPr>
            <w:tcW w:w="4455" w:type="dxa"/>
            <w:noWrap w:val="0"/>
            <w:vAlign w:val="center"/>
          </w:tcPr>
          <w:p w14:paraId="161D9C79">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按</w:t>
            </w:r>
            <w:r>
              <w:rPr>
                <w:rFonts w:hint="eastAsia" w:ascii="宋体" w:hAnsi="宋体" w:cs="宋体"/>
                <w:color w:val="auto"/>
                <w:sz w:val="21"/>
                <w:szCs w:val="21"/>
                <w:highlight w:val="none"/>
                <w:lang w:val="en-US" w:eastAsia="zh-CN"/>
              </w:rPr>
              <w:t>第八章</w:t>
            </w:r>
            <w:r>
              <w:rPr>
                <w:rFonts w:hint="eastAsia" w:ascii="宋体" w:hAnsi="宋体" w:eastAsia="宋体" w:cs="宋体"/>
                <w:color w:val="auto"/>
                <w:sz w:val="21"/>
                <w:szCs w:val="21"/>
                <w:highlight w:val="none"/>
              </w:rPr>
              <w:t>格式文本要求填制、签字或盖章</w:t>
            </w:r>
          </w:p>
        </w:tc>
        <w:tc>
          <w:tcPr>
            <w:tcW w:w="2190" w:type="dxa"/>
            <w:noWrap w:val="0"/>
            <w:vAlign w:val="center"/>
          </w:tcPr>
          <w:p w14:paraId="5AC490AD">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原件</w:t>
            </w:r>
            <w:r>
              <w:rPr>
                <w:rFonts w:hint="eastAsia" w:ascii="宋体" w:hAnsi="宋体" w:cs="宋体"/>
                <w:color w:val="auto"/>
                <w:sz w:val="21"/>
                <w:szCs w:val="21"/>
                <w:highlight w:val="none"/>
                <w:lang w:val="en-US" w:eastAsia="zh-CN"/>
              </w:rPr>
              <w:t>或扫描件</w:t>
            </w:r>
          </w:p>
        </w:tc>
      </w:tr>
      <w:tr w14:paraId="7B34E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92" w:type="dxa"/>
            <w:noWrap w:val="0"/>
            <w:vAlign w:val="center"/>
          </w:tcPr>
          <w:p w14:paraId="460DF981">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2928" w:type="dxa"/>
            <w:noWrap w:val="0"/>
            <w:vAlign w:val="center"/>
          </w:tcPr>
          <w:p w14:paraId="10A8A02C">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特殊资格要求证明材料</w:t>
            </w:r>
          </w:p>
        </w:tc>
        <w:tc>
          <w:tcPr>
            <w:tcW w:w="4455" w:type="dxa"/>
            <w:noWrap w:val="0"/>
            <w:vAlign w:val="center"/>
          </w:tcPr>
          <w:p w14:paraId="373E3368">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燃煤生产企业参与</w:t>
            </w:r>
            <w:r>
              <w:rPr>
                <w:rFonts w:hint="eastAsia" w:ascii="宋体" w:hAnsi="宋体" w:cs="宋体"/>
                <w:color w:val="auto"/>
                <w:sz w:val="21"/>
                <w:szCs w:val="21"/>
                <w:highlight w:val="none"/>
                <w:lang w:eastAsia="zh-CN"/>
              </w:rPr>
              <w:t>谈判</w:t>
            </w:r>
            <w:r>
              <w:rPr>
                <w:rFonts w:hint="eastAsia" w:ascii="宋体" w:hAnsi="宋体" w:eastAsia="宋体" w:cs="宋体"/>
                <w:color w:val="auto"/>
                <w:sz w:val="21"/>
                <w:szCs w:val="21"/>
                <w:highlight w:val="none"/>
              </w:rPr>
              <w:t>的应提供采矿许可证和安全生产许可证；</w:t>
            </w:r>
          </w:p>
        </w:tc>
        <w:tc>
          <w:tcPr>
            <w:tcW w:w="2190" w:type="dxa"/>
            <w:noWrap w:val="0"/>
            <w:vAlign w:val="center"/>
          </w:tcPr>
          <w:p w14:paraId="2D8AB822">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复印件或扫描件（加盖</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单位公章</w:t>
            </w:r>
            <w:r>
              <w:rPr>
                <w:rFonts w:hint="eastAsia" w:ascii="宋体" w:hAnsi="宋体" w:cs="宋体"/>
                <w:color w:val="auto"/>
                <w:sz w:val="21"/>
                <w:szCs w:val="21"/>
                <w:highlight w:val="none"/>
                <w:lang w:eastAsia="zh-CN"/>
              </w:rPr>
              <w:t>）</w:t>
            </w:r>
          </w:p>
        </w:tc>
      </w:tr>
      <w:tr w14:paraId="7CF67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92" w:type="dxa"/>
            <w:noWrap w:val="0"/>
            <w:vAlign w:val="center"/>
          </w:tcPr>
          <w:p w14:paraId="785AD124">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2928" w:type="dxa"/>
            <w:noWrap w:val="0"/>
            <w:vAlign w:val="center"/>
          </w:tcPr>
          <w:p w14:paraId="6BD29D2A">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增值税一般纳税人资格登记表</w:t>
            </w:r>
          </w:p>
        </w:tc>
        <w:tc>
          <w:tcPr>
            <w:tcW w:w="4455" w:type="dxa"/>
            <w:noWrap w:val="0"/>
            <w:vAlign w:val="center"/>
          </w:tcPr>
          <w:p w14:paraId="1F439F6D">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是否为一般纳税人</w:t>
            </w:r>
          </w:p>
        </w:tc>
        <w:tc>
          <w:tcPr>
            <w:tcW w:w="2190" w:type="dxa"/>
            <w:noWrap w:val="0"/>
            <w:vAlign w:val="center"/>
          </w:tcPr>
          <w:p w14:paraId="17C35A8B">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复印件或扫描件（加盖</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单位公章</w:t>
            </w:r>
            <w:r>
              <w:rPr>
                <w:rFonts w:hint="eastAsia" w:ascii="宋体" w:hAnsi="宋体" w:cs="宋体"/>
                <w:color w:val="auto"/>
                <w:sz w:val="21"/>
                <w:szCs w:val="21"/>
                <w:highlight w:val="none"/>
                <w:lang w:eastAsia="zh-CN"/>
              </w:rPr>
              <w:t>）</w:t>
            </w:r>
          </w:p>
        </w:tc>
      </w:tr>
      <w:tr w14:paraId="0F2A1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92" w:type="dxa"/>
            <w:noWrap w:val="0"/>
            <w:vAlign w:val="center"/>
          </w:tcPr>
          <w:p w14:paraId="180A0C2B">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2928" w:type="dxa"/>
            <w:noWrap w:val="0"/>
            <w:vAlign w:val="center"/>
          </w:tcPr>
          <w:p w14:paraId="4414FBF6">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谈判保证金</w:t>
            </w:r>
          </w:p>
        </w:tc>
        <w:tc>
          <w:tcPr>
            <w:tcW w:w="4455" w:type="dxa"/>
            <w:noWrap w:val="0"/>
            <w:vAlign w:val="center"/>
          </w:tcPr>
          <w:p w14:paraId="3A8B608A">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谈判保证金缴纳回执</w:t>
            </w:r>
          </w:p>
        </w:tc>
        <w:tc>
          <w:tcPr>
            <w:tcW w:w="2190" w:type="dxa"/>
            <w:noWrap w:val="0"/>
            <w:vAlign w:val="center"/>
          </w:tcPr>
          <w:p w14:paraId="08F2B6F5">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原件</w:t>
            </w:r>
            <w:r>
              <w:rPr>
                <w:rFonts w:hint="eastAsia" w:ascii="宋体" w:hAnsi="宋体" w:cs="宋体"/>
                <w:color w:val="auto"/>
                <w:sz w:val="21"/>
                <w:szCs w:val="21"/>
                <w:highlight w:val="none"/>
                <w:lang w:val="en-US" w:eastAsia="zh-CN"/>
              </w:rPr>
              <w:t>或扫描件</w:t>
            </w:r>
          </w:p>
        </w:tc>
      </w:tr>
      <w:bookmarkEnd w:id="23"/>
    </w:tbl>
    <w:p w14:paraId="6687EDD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rPr>
      </w:pPr>
      <w:r>
        <w:rPr>
          <w:rFonts w:hint="eastAsia" w:ascii="宋体" w:hAnsi="宋体" w:eastAsia="宋体" w:cs="宋体"/>
          <w:color w:val="auto"/>
          <w:szCs w:val="21"/>
        </w:rPr>
        <w:t>注1：复印件或扫描件不清楚或有疑问，</w:t>
      </w:r>
      <w:r>
        <w:rPr>
          <w:rFonts w:hint="eastAsia" w:ascii="宋体" w:hAnsi="宋体" w:cs="宋体"/>
          <w:color w:val="auto"/>
          <w:szCs w:val="21"/>
          <w:lang w:val="en-US" w:eastAsia="zh-CN"/>
        </w:rPr>
        <w:t>竞争性谈判</w:t>
      </w:r>
      <w:r>
        <w:rPr>
          <w:rFonts w:hint="eastAsia" w:ascii="宋体" w:hAnsi="宋体" w:eastAsia="宋体" w:cs="宋体"/>
          <w:color w:val="auto"/>
          <w:szCs w:val="21"/>
          <w:lang w:val="en-US" w:eastAsia="zh-CN"/>
        </w:rPr>
        <w:t>小组</w:t>
      </w:r>
      <w:r>
        <w:rPr>
          <w:rFonts w:hint="eastAsia" w:ascii="宋体" w:hAnsi="宋体" w:eastAsia="宋体" w:cs="宋体"/>
          <w:color w:val="auto"/>
          <w:szCs w:val="21"/>
        </w:rPr>
        <w:t>有权要求供应商提供清楚的复印件或扫描件或原件，如供应商不能提供的，视为不合格。</w:t>
      </w:r>
    </w:p>
    <w:p w14:paraId="03A04C7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rPr>
      </w:pPr>
      <w:r>
        <w:rPr>
          <w:rFonts w:hint="eastAsia" w:ascii="宋体" w:hAnsi="宋体" w:eastAsia="宋体" w:cs="宋体"/>
          <w:color w:val="auto"/>
          <w:szCs w:val="21"/>
        </w:rPr>
        <w:t>注2：有一项因素不符合审查标准的，不通过资格审查。</w:t>
      </w:r>
    </w:p>
    <w:p w14:paraId="4C4AFA08">
      <w:pPr>
        <w:rPr>
          <w:rFonts w:hint="eastAsia" w:ascii="宋体" w:hAnsi="宋体" w:eastAsia="宋体" w:cs="宋体"/>
          <w:color w:val="auto"/>
        </w:rPr>
      </w:pPr>
    </w:p>
    <w:p w14:paraId="25352AF5">
      <w:pPr>
        <w:pStyle w:val="34"/>
        <w:rPr>
          <w:rFonts w:hint="eastAsia" w:ascii="宋体" w:hAnsi="宋体" w:eastAsia="宋体" w:cs="宋体"/>
          <w:color w:val="auto"/>
        </w:rPr>
      </w:pPr>
    </w:p>
    <w:p w14:paraId="095F86E2">
      <w:pPr>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lang w:val="en-US" w:eastAsia="zh-CN"/>
        </w:rPr>
        <w:br w:type="page"/>
      </w:r>
    </w:p>
    <w:p w14:paraId="2F5C7F18">
      <w:pPr>
        <w:pStyle w:val="2"/>
        <w:numPr>
          <w:ilvl w:val="0"/>
          <w:numId w:val="0"/>
        </w:numPr>
        <w:spacing w:after="240" w:line="240" w:lineRule="auto"/>
        <w:jc w:val="center"/>
        <w:rPr>
          <w:rFonts w:hint="eastAsia" w:ascii="宋体" w:hAnsi="宋体" w:eastAsia="宋体" w:cs="宋体"/>
          <w:color w:val="auto"/>
          <w:sz w:val="30"/>
          <w:szCs w:val="30"/>
        </w:rPr>
      </w:pPr>
      <w:bookmarkStart w:id="24" w:name="_Toc29085"/>
      <w:r>
        <w:rPr>
          <w:rFonts w:hint="eastAsia" w:ascii="宋体" w:hAnsi="宋体" w:eastAsia="宋体" w:cs="宋体"/>
          <w:color w:val="auto"/>
          <w:sz w:val="30"/>
          <w:szCs w:val="30"/>
          <w:lang w:val="en-US" w:eastAsia="zh-CN"/>
        </w:rPr>
        <w:t>第</w:t>
      </w:r>
      <w:r>
        <w:rPr>
          <w:rFonts w:hint="eastAsia" w:ascii="宋体" w:hAnsi="宋体" w:cs="宋体"/>
          <w:color w:val="auto"/>
          <w:sz w:val="30"/>
          <w:szCs w:val="30"/>
          <w:lang w:val="en-US" w:eastAsia="zh-CN"/>
        </w:rPr>
        <w:t>四</w:t>
      </w:r>
      <w:r>
        <w:rPr>
          <w:rFonts w:hint="eastAsia" w:ascii="宋体" w:hAnsi="宋体" w:eastAsia="宋体" w:cs="宋体"/>
          <w:color w:val="auto"/>
          <w:sz w:val="30"/>
          <w:szCs w:val="30"/>
          <w:lang w:val="en-US" w:eastAsia="zh-CN"/>
        </w:rPr>
        <w:t>章</w:t>
      </w:r>
      <w:r>
        <w:rPr>
          <w:rFonts w:hint="eastAsia" w:ascii="宋体" w:hAnsi="宋体" w:eastAsia="宋体" w:cs="宋体"/>
          <w:color w:val="auto"/>
          <w:sz w:val="30"/>
          <w:szCs w:val="30"/>
        </w:rPr>
        <w:t xml:space="preserve"> </w:t>
      </w:r>
      <w:r>
        <w:rPr>
          <w:rFonts w:hint="eastAsia" w:ascii="宋体" w:hAnsi="宋体" w:eastAsia="宋体" w:cs="宋体"/>
          <w:color w:val="auto"/>
          <w:sz w:val="30"/>
          <w:szCs w:val="30"/>
          <w:lang w:val="en-US" w:eastAsia="zh-CN"/>
        </w:rPr>
        <w:t xml:space="preserve"> </w:t>
      </w:r>
      <w:r>
        <w:rPr>
          <w:rFonts w:hint="eastAsia" w:ascii="宋体" w:hAnsi="宋体" w:eastAsia="宋体" w:cs="宋体"/>
          <w:color w:val="auto"/>
          <w:sz w:val="30"/>
          <w:szCs w:val="30"/>
        </w:rPr>
        <w:t>采购项目的技术规格、数量、服务标准、验收等要求。</w:t>
      </w:r>
      <w:bookmarkEnd w:id="24"/>
    </w:p>
    <w:p w14:paraId="25D29BBF">
      <w:pPr>
        <w:keepNext w:val="0"/>
        <w:keepLines w:val="0"/>
        <w:pageBreakBefore w:val="0"/>
        <w:kinsoku/>
        <w:wordWrap/>
        <w:overflowPunct/>
        <w:topLinePunct w:val="0"/>
        <w:autoSpaceDE/>
        <w:autoSpaceDN/>
        <w:bidi w:val="0"/>
        <w:spacing w:line="360" w:lineRule="auto"/>
        <w:ind w:firstLine="422" w:firstLineChars="200"/>
        <w:textAlignment w:val="auto"/>
        <w:outlineLvl w:val="9"/>
        <w:rPr>
          <w:rFonts w:hint="eastAsia" w:ascii="宋体" w:hAnsi="宋体" w:eastAsia="宋体" w:cs="宋体"/>
          <w:b/>
          <w:bCs/>
          <w:sz w:val="21"/>
          <w:szCs w:val="21"/>
        </w:rPr>
      </w:pPr>
      <w:r>
        <w:rPr>
          <w:rFonts w:hint="eastAsia" w:ascii="宋体" w:hAnsi="宋体" w:eastAsia="宋体" w:cs="宋体"/>
          <w:b/>
          <w:bCs/>
          <w:sz w:val="21"/>
          <w:szCs w:val="21"/>
          <w:lang w:val="en-US" w:eastAsia="zh-CN"/>
        </w:rPr>
        <w:t>一、</w:t>
      </w:r>
      <w:r>
        <w:rPr>
          <w:rFonts w:hint="eastAsia" w:ascii="宋体" w:hAnsi="宋体" w:eastAsia="宋体" w:cs="宋体"/>
          <w:b/>
          <w:bCs/>
          <w:sz w:val="21"/>
          <w:szCs w:val="21"/>
        </w:rPr>
        <w:t>项目概况</w:t>
      </w:r>
    </w:p>
    <w:p w14:paraId="00CB1AA7">
      <w:pPr>
        <w:keepNext w:val="0"/>
        <w:keepLines w:val="0"/>
        <w:pageBreakBefore w:val="0"/>
        <w:widowControl/>
        <w:kinsoku/>
        <w:wordWrap/>
        <w:overflowPunct/>
        <w:topLinePunct w:val="0"/>
        <w:autoSpaceDE/>
        <w:autoSpaceDN/>
        <w:bidi w:val="0"/>
        <w:adjustRightInd/>
        <w:snapToGrid/>
        <w:spacing w:after="150" w:line="312" w:lineRule="auto"/>
        <w:ind w:left="-363" w:firstLine="630" w:firstLineChars="300"/>
        <w:jc w:val="left"/>
        <w:textAlignment w:val="auto"/>
        <w:rPr>
          <w:rStyle w:val="89"/>
          <w:rFonts w:hint="eastAsia" w:ascii="宋体" w:hAnsi="宋体" w:cs="宋体"/>
          <w:color w:val="auto"/>
          <w:szCs w:val="22"/>
        </w:rPr>
      </w:pPr>
      <w:r>
        <w:rPr>
          <w:rFonts w:hint="eastAsia" w:ascii="宋体" w:hAnsi="宋体" w:eastAsia="宋体" w:cs="宋体"/>
          <w:color w:val="auto"/>
          <w:position w:val="0"/>
          <w:sz w:val="21"/>
          <w:szCs w:val="21"/>
        </w:rPr>
        <w:t>本项目为</w:t>
      </w:r>
      <w:r>
        <w:rPr>
          <w:rFonts w:hint="eastAsia" w:ascii="宋体" w:hAnsi="宋体" w:cs="宋体"/>
          <w:color w:val="auto"/>
          <w:position w:val="0"/>
          <w:sz w:val="21"/>
          <w:szCs w:val="21"/>
          <w:lang w:val="en-US" w:eastAsia="zh-CN"/>
        </w:rPr>
        <w:t>贵州钟山野马寨热电有限责任公司2025年第十九批次燃煤采购项目</w:t>
      </w:r>
      <w:r>
        <w:rPr>
          <w:rFonts w:hint="eastAsia" w:ascii="宋体" w:hAnsi="宋体" w:eastAsia="宋体" w:cs="宋体"/>
          <w:color w:val="auto"/>
          <w:position w:val="0"/>
          <w:sz w:val="21"/>
          <w:szCs w:val="21"/>
        </w:rPr>
        <w:t>，</w:t>
      </w:r>
      <w:r>
        <w:rPr>
          <w:rFonts w:hint="eastAsia" w:ascii="宋体" w:hAnsi="宋体" w:eastAsia="宋体" w:cs="宋体"/>
          <w:color w:val="auto"/>
          <w:position w:val="0"/>
          <w:sz w:val="21"/>
          <w:szCs w:val="21"/>
          <w:lang w:val="en-US" w:eastAsia="zh-CN"/>
        </w:rPr>
        <w:t>具体采购内容</w:t>
      </w:r>
      <w:r>
        <w:rPr>
          <w:rFonts w:hint="eastAsia" w:ascii="宋体" w:hAnsi="宋体" w:eastAsia="宋体" w:cs="宋体"/>
          <w:color w:val="auto"/>
          <w:position w:val="0"/>
          <w:sz w:val="21"/>
          <w:szCs w:val="21"/>
        </w:rPr>
        <w:t>要求如下：</w:t>
      </w:r>
    </w:p>
    <w:tbl>
      <w:tblPr>
        <w:tblStyle w:val="36"/>
        <w:tblW w:w="536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4"/>
        <w:gridCol w:w="1688"/>
        <w:gridCol w:w="2182"/>
        <w:gridCol w:w="1976"/>
        <w:gridCol w:w="2171"/>
      </w:tblGrid>
      <w:tr w14:paraId="48C59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614" w:type="pct"/>
            <w:vMerge w:val="restart"/>
            <w:noWrap w:val="0"/>
            <w:vAlign w:val="center"/>
          </w:tcPr>
          <w:p w14:paraId="7B221D08">
            <w:pPr>
              <w:widowControl w:val="0"/>
              <w:numPr>
                <w:ilvl w:val="0"/>
                <w:numId w:val="0"/>
              </w:numPr>
              <w:tabs>
                <w:tab w:val="left" w:pos="1980"/>
                <w:tab w:val="left" w:pos="2340"/>
                <w:tab w:val="left" w:pos="5580"/>
                <w:tab w:val="left" w:pos="7560"/>
                <w:tab w:val="left" w:pos="8640"/>
                <w:tab w:val="left" w:pos="8820"/>
              </w:tabs>
              <w:spacing w:line="360" w:lineRule="auto"/>
              <w:ind w:firstLine="210" w:firstLineChars="100"/>
              <w:jc w:val="center"/>
              <w:rPr>
                <w:rFonts w:hint="eastAsia" w:ascii="宋体" w:hAnsi="宋体" w:eastAsia="宋体" w:cs="宋体"/>
                <w:kern w:val="0"/>
                <w:sz w:val="21"/>
                <w:szCs w:val="21"/>
              </w:rPr>
            </w:pPr>
          </w:p>
          <w:p w14:paraId="15E8A890">
            <w:pPr>
              <w:widowControl w:val="0"/>
              <w:numPr>
                <w:ilvl w:val="0"/>
                <w:numId w:val="0"/>
              </w:numPr>
              <w:tabs>
                <w:tab w:val="left" w:pos="1980"/>
                <w:tab w:val="left" w:pos="2340"/>
                <w:tab w:val="left" w:pos="5580"/>
                <w:tab w:val="left" w:pos="7560"/>
                <w:tab w:val="left" w:pos="8640"/>
                <w:tab w:val="left" w:pos="8820"/>
              </w:tabs>
              <w:spacing w:line="360" w:lineRule="auto"/>
              <w:jc w:val="center"/>
              <w:rPr>
                <w:rFonts w:hint="eastAsia" w:ascii="宋体" w:hAnsi="宋体" w:eastAsia="宋体" w:cs="宋体"/>
                <w:sz w:val="21"/>
                <w:szCs w:val="21"/>
                <w:vertAlign w:val="baseline"/>
              </w:rPr>
            </w:pPr>
            <w:r>
              <w:rPr>
                <w:rFonts w:hint="eastAsia" w:ascii="宋体" w:hAnsi="宋体" w:eastAsia="宋体" w:cs="宋体"/>
                <w:kern w:val="0"/>
                <w:sz w:val="21"/>
                <w:szCs w:val="21"/>
              </w:rPr>
              <w:t>煤</w:t>
            </w:r>
            <w:r>
              <w:rPr>
                <w:rFonts w:hint="eastAsia" w:ascii="宋体" w:hAnsi="宋体" w:cs="宋体"/>
                <w:kern w:val="0"/>
                <w:sz w:val="21"/>
                <w:szCs w:val="21"/>
                <w:lang w:val="en-US" w:eastAsia="zh-CN"/>
              </w:rPr>
              <w:t xml:space="preserve">  </w:t>
            </w:r>
            <w:r>
              <w:rPr>
                <w:rFonts w:hint="eastAsia" w:ascii="宋体" w:hAnsi="宋体" w:eastAsia="宋体" w:cs="宋体"/>
                <w:kern w:val="0"/>
                <w:sz w:val="21"/>
                <w:szCs w:val="21"/>
              </w:rPr>
              <w:t>种</w:t>
            </w:r>
          </w:p>
        </w:tc>
        <w:tc>
          <w:tcPr>
            <w:tcW w:w="923" w:type="pct"/>
            <w:vMerge w:val="restart"/>
            <w:noWrap w:val="0"/>
            <w:vAlign w:val="center"/>
          </w:tcPr>
          <w:p w14:paraId="15712573">
            <w:pPr>
              <w:widowControl/>
              <w:jc w:val="both"/>
              <w:rPr>
                <w:rFonts w:hint="eastAsia" w:ascii="宋体" w:hAnsi="宋体" w:eastAsia="宋体" w:cs="宋体"/>
                <w:kern w:val="0"/>
                <w:sz w:val="21"/>
                <w:szCs w:val="21"/>
                <w:lang w:eastAsia="zh-CN"/>
              </w:rPr>
            </w:pPr>
          </w:p>
          <w:p w14:paraId="544B9E8F">
            <w:pPr>
              <w:widowControl/>
              <w:jc w:val="both"/>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eastAsia="zh-CN"/>
              </w:rPr>
              <w:t>供应</w:t>
            </w:r>
            <w:r>
              <w:rPr>
                <w:rFonts w:hint="eastAsia" w:ascii="宋体" w:hAnsi="宋体" w:eastAsia="宋体" w:cs="宋体"/>
                <w:kern w:val="0"/>
                <w:sz w:val="21"/>
                <w:szCs w:val="21"/>
              </w:rPr>
              <w:t>数量（吨）</w:t>
            </w:r>
          </w:p>
        </w:tc>
        <w:tc>
          <w:tcPr>
            <w:tcW w:w="3461" w:type="pct"/>
            <w:gridSpan w:val="3"/>
            <w:noWrap w:val="0"/>
            <w:vAlign w:val="center"/>
          </w:tcPr>
          <w:p w14:paraId="60B46C04">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控制价</w:t>
            </w:r>
          </w:p>
        </w:tc>
      </w:tr>
      <w:tr w14:paraId="251EF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614" w:type="pct"/>
            <w:vMerge w:val="continue"/>
            <w:noWrap w:val="0"/>
            <w:vAlign w:val="center"/>
          </w:tcPr>
          <w:p w14:paraId="4DB4CA8C">
            <w:pPr>
              <w:widowControl w:val="0"/>
              <w:numPr>
                <w:ilvl w:val="0"/>
                <w:numId w:val="0"/>
              </w:numPr>
              <w:tabs>
                <w:tab w:val="left" w:pos="1980"/>
                <w:tab w:val="left" w:pos="2340"/>
                <w:tab w:val="left" w:pos="5580"/>
                <w:tab w:val="left" w:pos="7560"/>
                <w:tab w:val="left" w:pos="8640"/>
                <w:tab w:val="left" w:pos="8820"/>
              </w:tabs>
              <w:spacing w:line="360" w:lineRule="auto"/>
              <w:jc w:val="center"/>
              <w:rPr>
                <w:rFonts w:hint="eastAsia" w:ascii="宋体" w:hAnsi="宋体" w:eastAsia="宋体" w:cs="宋体"/>
                <w:sz w:val="21"/>
                <w:szCs w:val="21"/>
                <w:vertAlign w:val="baseline"/>
              </w:rPr>
            </w:pPr>
          </w:p>
        </w:tc>
        <w:tc>
          <w:tcPr>
            <w:tcW w:w="923" w:type="pct"/>
            <w:vMerge w:val="continue"/>
            <w:noWrap w:val="0"/>
            <w:vAlign w:val="center"/>
          </w:tcPr>
          <w:p w14:paraId="0058C4BA">
            <w:pPr>
              <w:widowControl w:val="0"/>
              <w:numPr>
                <w:ilvl w:val="0"/>
                <w:numId w:val="0"/>
              </w:numPr>
              <w:tabs>
                <w:tab w:val="left" w:pos="1980"/>
                <w:tab w:val="left" w:pos="2340"/>
                <w:tab w:val="left" w:pos="5580"/>
                <w:tab w:val="left" w:pos="7560"/>
                <w:tab w:val="left" w:pos="8640"/>
                <w:tab w:val="left" w:pos="8820"/>
              </w:tabs>
              <w:spacing w:line="360" w:lineRule="auto"/>
              <w:jc w:val="center"/>
              <w:rPr>
                <w:rFonts w:hint="eastAsia" w:ascii="宋体" w:hAnsi="宋体" w:eastAsia="宋体" w:cs="宋体"/>
                <w:sz w:val="21"/>
                <w:szCs w:val="21"/>
                <w:vertAlign w:val="baseline"/>
              </w:rPr>
            </w:pPr>
          </w:p>
        </w:tc>
        <w:tc>
          <w:tcPr>
            <w:tcW w:w="1193" w:type="pct"/>
            <w:noWrap w:val="0"/>
            <w:vAlign w:val="center"/>
          </w:tcPr>
          <w:p w14:paraId="1C1E295B">
            <w:pPr>
              <w:widowControl/>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货物总价（万元）</w:t>
            </w:r>
          </w:p>
        </w:tc>
        <w:tc>
          <w:tcPr>
            <w:tcW w:w="1080" w:type="pct"/>
            <w:noWrap w:val="0"/>
            <w:vAlign w:val="center"/>
          </w:tcPr>
          <w:p w14:paraId="0313970E">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货物单价（元/吨）</w:t>
            </w:r>
          </w:p>
        </w:tc>
        <w:tc>
          <w:tcPr>
            <w:tcW w:w="1187" w:type="pct"/>
            <w:noWrap w:val="0"/>
            <w:vAlign w:val="center"/>
          </w:tcPr>
          <w:p w14:paraId="4AD763CF">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热值基准单价 （元 /[(kcal/kg)</w:t>
            </w:r>
            <w:r>
              <w:rPr>
                <w:rFonts w:hint="default" w:ascii="宋体" w:hAnsi="宋体" w:eastAsia="宋体" w:cs="宋体"/>
                <w:kern w:val="0"/>
                <w:sz w:val="21"/>
                <w:szCs w:val="21"/>
                <w:lang w:val="en-US" w:eastAsia="zh-CN" w:bidi="ar-SA"/>
              </w:rPr>
              <w:t>×</w:t>
            </w:r>
            <w:r>
              <w:rPr>
                <w:rFonts w:hint="eastAsia" w:ascii="宋体" w:hAnsi="宋体" w:eastAsia="宋体" w:cs="宋体"/>
                <w:kern w:val="0"/>
                <w:sz w:val="21"/>
                <w:szCs w:val="21"/>
                <w:lang w:val="en-US" w:eastAsia="zh-CN" w:bidi="ar-SA"/>
              </w:rPr>
              <w:t>吨]）</w:t>
            </w:r>
          </w:p>
        </w:tc>
      </w:tr>
      <w:tr w14:paraId="27D42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14" w:type="pct"/>
            <w:shd w:val="clear" w:color="auto" w:fill="auto"/>
            <w:noWrap w:val="0"/>
            <w:vAlign w:val="center"/>
          </w:tcPr>
          <w:p w14:paraId="2EA7A43F">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sz w:val="21"/>
                <w:szCs w:val="21"/>
                <w:vertAlign w:val="baseline"/>
                <w:lang w:val="en-US" w:eastAsia="zh-CN"/>
              </w:rPr>
              <w:t>烟煤</w:t>
            </w:r>
          </w:p>
        </w:tc>
        <w:tc>
          <w:tcPr>
            <w:tcW w:w="923" w:type="pct"/>
            <w:shd w:val="clear" w:color="auto" w:fill="auto"/>
            <w:noWrap w:val="0"/>
            <w:vAlign w:val="center"/>
          </w:tcPr>
          <w:p w14:paraId="04E07524">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2"/>
                <w:sz w:val="21"/>
                <w:szCs w:val="21"/>
                <w:vertAlign w:val="baseline"/>
                <w:lang w:val="en-US" w:eastAsia="zh-CN" w:bidi="ar-SA"/>
              </w:rPr>
            </w:pPr>
            <w:r>
              <w:rPr>
                <w:rFonts w:hint="eastAsia" w:ascii="宋体" w:hAnsi="宋体" w:cs="宋体"/>
                <w:color w:val="auto"/>
                <w:sz w:val="21"/>
                <w:szCs w:val="21"/>
                <w:vertAlign w:val="baseline"/>
                <w:lang w:val="en-US" w:eastAsia="zh-CN"/>
              </w:rPr>
              <w:t>≥10000</w:t>
            </w:r>
          </w:p>
        </w:tc>
        <w:tc>
          <w:tcPr>
            <w:tcW w:w="1193" w:type="pct"/>
            <w:shd w:val="clear" w:color="auto" w:fill="auto"/>
            <w:noWrap w:val="0"/>
            <w:vAlign w:val="center"/>
          </w:tcPr>
          <w:p w14:paraId="68A1389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kern w:val="0"/>
                <w:sz w:val="21"/>
                <w:szCs w:val="21"/>
                <w:lang w:val="en-US" w:eastAsia="zh-CN" w:bidi="ar-SA"/>
              </w:rPr>
            </w:pPr>
            <w:r>
              <w:rPr>
                <w:rStyle w:val="89"/>
                <w:rFonts w:hint="eastAsia" w:ascii="宋体" w:hAnsi="宋体" w:cs="宋体" w:eastAsiaTheme="minorEastAsia"/>
                <w:color w:val="auto"/>
                <w:sz w:val="20"/>
                <w:szCs w:val="20"/>
                <w:lang w:val="en-US" w:eastAsia="zh-CN"/>
              </w:rPr>
              <w:t>321</w:t>
            </w:r>
          </w:p>
        </w:tc>
        <w:tc>
          <w:tcPr>
            <w:tcW w:w="1080" w:type="pct"/>
            <w:shd w:val="clear" w:color="auto" w:fill="auto"/>
            <w:noWrap w:val="0"/>
            <w:vAlign w:val="center"/>
          </w:tcPr>
          <w:p w14:paraId="495BD8C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kern w:val="0"/>
                <w:sz w:val="21"/>
                <w:szCs w:val="21"/>
                <w:lang w:val="en-US" w:eastAsia="zh-CN" w:bidi="ar-SA"/>
              </w:rPr>
            </w:pPr>
            <w:r>
              <w:rPr>
                <w:rStyle w:val="89"/>
                <w:rFonts w:hint="eastAsia" w:ascii="宋体" w:hAnsi="宋体" w:cs="宋体" w:eastAsiaTheme="minorEastAsia"/>
                <w:color w:val="auto"/>
                <w:sz w:val="20"/>
                <w:szCs w:val="20"/>
                <w:lang w:val="en-US" w:eastAsia="zh-CN"/>
              </w:rPr>
              <w:t>321</w:t>
            </w:r>
          </w:p>
        </w:tc>
        <w:tc>
          <w:tcPr>
            <w:tcW w:w="1187" w:type="pct"/>
            <w:shd w:val="clear" w:color="auto" w:fill="auto"/>
            <w:noWrap w:val="0"/>
            <w:vAlign w:val="center"/>
          </w:tcPr>
          <w:p w14:paraId="514EB68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kern w:val="0"/>
                <w:sz w:val="21"/>
                <w:szCs w:val="21"/>
                <w:lang w:val="en-US" w:eastAsia="zh-CN" w:bidi="ar-SA"/>
              </w:rPr>
            </w:pPr>
            <w:r>
              <w:rPr>
                <w:rStyle w:val="89"/>
                <w:rFonts w:hint="eastAsia" w:ascii="宋体" w:hAnsi="宋体" w:cs="宋体" w:eastAsiaTheme="minorEastAsia"/>
                <w:color w:val="auto"/>
                <w:sz w:val="20"/>
                <w:szCs w:val="20"/>
                <w:lang w:val="en-US" w:eastAsia="zh-CN"/>
              </w:rPr>
              <w:t>0.107</w:t>
            </w:r>
          </w:p>
        </w:tc>
      </w:tr>
    </w:tbl>
    <w:p w14:paraId="01016A58">
      <w:pPr>
        <w:keepNext w:val="0"/>
        <w:keepLines w:val="0"/>
        <w:pageBreakBefore w:val="0"/>
        <w:widowControl/>
        <w:kinsoku/>
        <w:wordWrap/>
        <w:overflowPunct/>
        <w:topLinePunct w:val="0"/>
        <w:autoSpaceDE/>
        <w:autoSpaceDN/>
        <w:bidi w:val="0"/>
        <w:adjustRightInd/>
        <w:snapToGrid/>
        <w:spacing w:after="150" w:line="312" w:lineRule="auto"/>
        <w:jc w:val="left"/>
        <w:textAlignment w:val="auto"/>
        <w:rPr>
          <w:rStyle w:val="89"/>
          <w:rFonts w:hint="default" w:ascii="宋体" w:hAnsi="宋体" w:eastAsia="宋体" w:cs="宋体"/>
          <w:color w:val="auto"/>
          <w:szCs w:val="22"/>
          <w:lang w:val="en-US" w:eastAsia="zh-CN"/>
        </w:rPr>
      </w:pPr>
    </w:p>
    <w:p w14:paraId="10A2BA07">
      <w:pPr>
        <w:keepNext w:val="0"/>
        <w:keepLines w:val="0"/>
        <w:pageBreakBefore w:val="0"/>
        <w:numPr>
          <w:ilvl w:val="0"/>
          <w:numId w:val="2"/>
        </w:numPr>
        <w:kinsoku/>
        <w:wordWrap/>
        <w:overflowPunct/>
        <w:topLinePunct w:val="0"/>
        <w:autoSpaceDE/>
        <w:autoSpaceDN/>
        <w:bidi w:val="0"/>
        <w:spacing w:line="360" w:lineRule="auto"/>
        <w:ind w:firstLine="422" w:firstLineChars="200"/>
        <w:textAlignment w:val="auto"/>
        <w:outlineLvl w:val="9"/>
        <w:rPr>
          <w:rStyle w:val="89"/>
          <w:rFonts w:hint="default" w:ascii="宋体" w:hAnsi="宋体" w:eastAsia="宋体" w:cs="宋体"/>
          <w:color w:val="auto"/>
          <w:szCs w:val="22"/>
          <w:lang w:val="en-US" w:eastAsia="zh-CN"/>
        </w:rPr>
      </w:pPr>
      <w:r>
        <w:rPr>
          <w:rFonts w:hint="eastAsia" w:ascii="宋体" w:hAnsi="宋体" w:cs="宋体"/>
          <w:b/>
          <w:bCs/>
          <w:sz w:val="21"/>
          <w:szCs w:val="21"/>
          <w:lang w:val="en-US" w:eastAsia="zh-CN"/>
        </w:rPr>
        <w:t>技术要求</w:t>
      </w:r>
    </w:p>
    <w:tbl>
      <w:tblPr>
        <w:tblStyle w:val="36"/>
        <w:tblW w:w="518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3"/>
        <w:gridCol w:w="1628"/>
        <w:gridCol w:w="1159"/>
        <w:gridCol w:w="2100"/>
        <w:gridCol w:w="1401"/>
        <w:gridCol w:w="1504"/>
      </w:tblGrid>
      <w:tr w14:paraId="1F30A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 w:type="pct"/>
            <w:vMerge w:val="restart"/>
            <w:noWrap w:val="0"/>
            <w:vAlign w:val="center"/>
          </w:tcPr>
          <w:p w14:paraId="6E6019A3">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vertAlign w:val="baseline"/>
              </w:rPr>
            </w:pPr>
            <w:r>
              <w:rPr>
                <w:rFonts w:hint="eastAsia" w:ascii="宋体" w:hAnsi="宋体" w:eastAsia="宋体" w:cs="宋体"/>
                <w:kern w:val="0"/>
                <w:sz w:val="21"/>
                <w:szCs w:val="21"/>
              </w:rPr>
              <w:t>煤</w:t>
            </w:r>
            <w:r>
              <w:rPr>
                <w:rFonts w:hint="eastAsia" w:ascii="宋体" w:hAnsi="宋体" w:cs="宋体"/>
                <w:kern w:val="0"/>
                <w:sz w:val="21"/>
                <w:szCs w:val="21"/>
                <w:lang w:val="en-US" w:eastAsia="zh-CN"/>
              </w:rPr>
              <w:t xml:space="preserve"> </w:t>
            </w:r>
            <w:r>
              <w:rPr>
                <w:rFonts w:hint="eastAsia" w:ascii="宋体" w:hAnsi="宋体" w:eastAsia="宋体" w:cs="宋体"/>
                <w:kern w:val="0"/>
                <w:sz w:val="21"/>
                <w:szCs w:val="21"/>
              </w:rPr>
              <w:t>种</w:t>
            </w:r>
          </w:p>
        </w:tc>
        <w:tc>
          <w:tcPr>
            <w:tcW w:w="4409" w:type="pct"/>
            <w:gridSpan w:val="5"/>
            <w:noWrap w:val="0"/>
            <w:vAlign w:val="center"/>
          </w:tcPr>
          <w:p w14:paraId="0EA2127B">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质量要求</w:t>
            </w:r>
          </w:p>
        </w:tc>
      </w:tr>
      <w:tr w14:paraId="20372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90" w:type="pct"/>
            <w:vMerge w:val="continue"/>
            <w:noWrap w:val="0"/>
            <w:vAlign w:val="center"/>
          </w:tcPr>
          <w:p w14:paraId="4E007433">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vertAlign w:val="baseline"/>
              </w:rPr>
            </w:pPr>
          </w:p>
        </w:tc>
        <w:tc>
          <w:tcPr>
            <w:tcW w:w="921" w:type="pct"/>
            <w:noWrap w:val="0"/>
            <w:vAlign w:val="center"/>
          </w:tcPr>
          <w:p w14:paraId="6898595C">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vertAlign w:val="baseline"/>
              </w:rPr>
            </w:pPr>
            <w:r>
              <w:rPr>
                <w:rFonts w:hint="eastAsia" w:cs="Times New Roman"/>
                <w:sz w:val="24"/>
                <w:lang w:val="en-US" w:eastAsia="zh-CN"/>
              </w:rPr>
              <w:t>Qnet,ar</w:t>
            </w:r>
            <w:r>
              <w:rPr>
                <w:rFonts w:hint="eastAsia" w:ascii="Times New Roman" w:hAnsi="Times New Roman" w:eastAsia="宋体" w:cs="Times New Roman"/>
                <w:sz w:val="24"/>
                <w:lang w:val="en-US" w:eastAsia="zh-CN"/>
              </w:rPr>
              <w:t>(kcal/kg)</w:t>
            </w:r>
          </w:p>
        </w:tc>
        <w:tc>
          <w:tcPr>
            <w:tcW w:w="655" w:type="pct"/>
            <w:noWrap w:val="0"/>
            <w:vAlign w:val="center"/>
          </w:tcPr>
          <w:p w14:paraId="50A67F2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1"/>
                <w:szCs w:val="21"/>
                <w:lang w:val="en-US" w:eastAsia="zh-CN" w:bidi="ar-SA"/>
              </w:rPr>
            </w:pPr>
            <w:r>
              <w:rPr>
                <w:rFonts w:hint="eastAsia" w:ascii="Times New Roman" w:hAnsi="Times New Roman" w:eastAsia="宋体" w:cs="Times New Roman"/>
                <w:sz w:val="24"/>
                <w:lang w:val="en-US" w:eastAsia="zh-CN"/>
              </w:rPr>
              <w:t>Mt(%)</w:t>
            </w:r>
          </w:p>
        </w:tc>
        <w:tc>
          <w:tcPr>
            <w:tcW w:w="1188" w:type="pct"/>
            <w:noWrap w:val="0"/>
            <w:vAlign w:val="center"/>
          </w:tcPr>
          <w:p w14:paraId="1CAE9C0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1"/>
                <w:szCs w:val="21"/>
                <w:lang w:val="en-US" w:eastAsia="zh-CN"/>
              </w:rPr>
            </w:pPr>
            <w:r>
              <w:rPr>
                <w:rFonts w:hint="eastAsia" w:cs="Times New Roman"/>
                <w:sz w:val="24"/>
                <w:lang w:val="en-US" w:eastAsia="zh-CN"/>
              </w:rPr>
              <w:t>Var</w:t>
            </w:r>
            <w:r>
              <w:rPr>
                <w:rFonts w:hint="eastAsia" w:ascii="Times New Roman" w:hAnsi="Times New Roman" w:eastAsia="宋体" w:cs="Times New Roman"/>
                <w:sz w:val="24"/>
                <w:lang w:val="en-US" w:eastAsia="zh-CN"/>
              </w:rPr>
              <w:t>(%)</w:t>
            </w:r>
          </w:p>
        </w:tc>
        <w:tc>
          <w:tcPr>
            <w:tcW w:w="792" w:type="pct"/>
            <w:noWrap w:val="0"/>
            <w:vAlign w:val="center"/>
          </w:tcPr>
          <w:p w14:paraId="5E0BD96C">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vertAlign w:val="baseline"/>
                <w:lang w:val="en-US" w:eastAsia="zh-CN"/>
              </w:rPr>
            </w:pPr>
            <w:r>
              <w:rPr>
                <w:rFonts w:hint="eastAsia" w:ascii="Times New Roman" w:hAnsi="Times New Roman" w:eastAsia="宋体" w:cs="Times New Roman"/>
                <w:sz w:val="24"/>
                <w:lang w:val="en-US" w:eastAsia="zh-CN"/>
              </w:rPr>
              <w:t>St,d(%)</w:t>
            </w:r>
          </w:p>
        </w:tc>
        <w:tc>
          <w:tcPr>
            <w:tcW w:w="851" w:type="pct"/>
            <w:noWrap w:val="0"/>
            <w:vAlign w:val="center"/>
          </w:tcPr>
          <w:p w14:paraId="13FEA6AA">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jc w:val="center"/>
              <w:textAlignment w:val="auto"/>
              <w:rPr>
                <w:rFonts w:hint="default" w:cs="Times New Roman"/>
                <w:sz w:val="24"/>
                <w:lang w:val="en-US" w:eastAsia="zh-CN"/>
              </w:rPr>
            </w:pPr>
            <w:r>
              <w:rPr>
                <w:rFonts w:hint="eastAsia" w:cs="Times New Roman"/>
                <w:sz w:val="24"/>
                <w:lang w:val="en-US" w:eastAsia="zh-CN"/>
              </w:rPr>
              <w:t>粒度（mm）</w:t>
            </w:r>
          </w:p>
        </w:tc>
      </w:tr>
      <w:tr w14:paraId="13464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90" w:type="pct"/>
            <w:noWrap w:val="0"/>
            <w:vAlign w:val="center"/>
          </w:tcPr>
          <w:p w14:paraId="2E2F8400">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烟煤</w:t>
            </w:r>
          </w:p>
        </w:tc>
        <w:tc>
          <w:tcPr>
            <w:tcW w:w="921" w:type="pct"/>
            <w:shd w:val="clear" w:color="auto" w:fill="auto"/>
            <w:noWrap w:val="0"/>
            <w:vAlign w:val="center"/>
          </w:tcPr>
          <w:p w14:paraId="7820855A">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rPr>
              <w:t>≥</w:t>
            </w:r>
            <w:r>
              <w:rPr>
                <w:rFonts w:hint="eastAsia" w:ascii="宋体" w:hAnsi="宋体" w:cs="宋体"/>
                <w:sz w:val="21"/>
                <w:szCs w:val="21"/>
                <w:vertAlign w:val="baseline"/>
                <w:lang w:val="en-US" w:eastAsia="zh-CN"/>
              </w:rPr>
              <w:t>3000</w:t>
            </w:r>
          </w:p>
        </w:tc>
        <w:tc>
          <w:tcPr>
            <w:tcW w:w="655" w:type="pct"/>
            <w:shd w:val="clear" w:color="auto" w:fill="auto"/>
            <w:noWrap w:val="0"/>
            <w:vAlign w:val="center"/>
          </w:tcPr>
          <w:p w14:paraId="0A5BC97D">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rPr>
              <w:t>≤</w:t>
            </w:r>
            <w:r>
              <w:rPr>
                <w:rFonts w:hint="eastAsia" w:ascii="宋体" w:hAnsi="宋体" w:eastAsia="宋体" w:cs="宋体"/>
                <w:sz w:val="21"/>
                <w:szCs w:val="21"/>
                <w:vertAlign w:val="baseline"/>
                <w:lang w:val="en-US" w:eastAsia="zh-CN"/>
              </w:rPr>
              <w:t>15.0</w:t>
            </w:r>
          </w:p>
        </w:tc>
        <w:tc>
          <w:tcPr>
            <w:tcW w:w="1188" w:type="pct"/>
            <w:shd w:val="clear" w:color="auto" w:fill="auto"/>
            <w:noWrap w:val="0"/>
            <w:vAlign w:val="center"/>
          </w:tcPr>
          <w:p w14:paraId="19BCD844">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cs="宋体"/>
                <w:sz w:val="21"/>
                <w:szCs w:val="21"/>
                <w:vertAlign w:val="baseline"/>
                <w:lang w:val="en-US" w:eastAsia="zh-CN"/>
              </w:rPr>
              <w:t>13.00≤Var(%)≤25.00</w:t>
            </w:r>
          </w:p>
        </w:tc>
        <w:tc>
          <w:tcPr>
            <w:tcW w:w="792" w:type="pct"/>
            <w:shd w:val="clear" w:color="auto" w:fill="auto"/>
            <w:noWrap w:val="0"/>
            <w:vAlign w:val="center"/>
          </w:tcPr>
          <w:p w14:paraId="417196A7">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≤3.00</w:t>
            </w:r>
          </w:p>
        </w:tc>
        <w:tc>
          <w:tcPr>
            <w:tcW w:w="851" w:type="pct"/>
            <w:shd w:val="clear" w:color="auto" w:fill="auto"/>
            <w:noWrap w:val="0"/>
            <w:vAlign w:val="center"/>
          </w:tcPr>
          <w:p w14:paraId="18CA5519">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cs="宋体"/>
                <w:sz w:val="21"/>
                <w:szCs w:val="21"/>
                <w:vertAlign w:val="baseline"/>
                <w:lang w:val="en-US" w:eastAsia="zh-CN"/>
              </w:rPr>
              <w:t>≤</w:t>
            </w:r>
            <w:r>
              <w:rPr>
                <w:rFonts w:hint="eastAsia" w:ascii="宋体" w:hAnsi="宋体" w:eastAsia="宋体" w:cs="宋体"/>
                <w:sz w:val="21"/>
                <w:szCs w:val="21"/>
                <w:vertAlign w:val="baseline"/>
                <w:lang w:val="en-US" w:eastAsia="zh-CN"/>
              </w:rPr>
              <w:t>50</w:t>
            </w:r>
          </w:p>
        </w:tc>
      </w:tr>
    </w:tbl>
    <w:p w14:paraId="09653F81">
      <w:pPr>
        <w:keepNext w:val="0"/>
        <w:keepLines w:val="0"/>
        <w:pageBreakBefore w:val="0"/>
        <w:kinsoku/>
        <w:wordWrap/>
        <w:overflowPunct/>
        <w:topLinePunct w:val="0"/>
        <w:autoSpaceDE/>
        <w:autoSpaceDN/>
        <w:bidi w:val="0"/>
        <w:spacing w:line="360" w:lineRule="auto"/>
        <w:ind w:firstLine="422" w:firstLineChars="200"/>
        <w:textAlignment w:val="auto"/>
        <w:outlineLvl w:val="9"/>
        <w:rPr>
          <w:rFonts w:hint="default" w:ascii="宋体" w:hAnsi="宋体" w:cs="宋体"/>
          <w:b/>
          <w:bCs/>
          <w:sz w:val="21"/>
          <w:szCs w:val="21"/>
          <w:lang w:val="en-US" w:eastAsia="zh-CN"/>
        </w:rPr>
      </w:pPr>
      <w:r>
        <w:rPr>
          <w:rFonts w:hint="eastAsia" w:ascii="宋体" w:hAnsi="宋体" w:cs="宋体"/>
          <w:b/>
          <w:bCs/>
          <w:sz w:val="21"/>
          <w:szCs w:val="21"/>
          <w:lang w:val="en-US" w:eastAsia="zh-CN"/>
        </w:rPr>
        <w:t>注：</w:t>
      </w:r>
      <w:r>
        <w:rPr>
          <w:rFonts w:hint="eastAsia" w:ascii="宋体" w:hAnsi="宋体" w:cs="宋体"/>
          <w:b w:val="0"/>
          <w:bCs w:val="0"/>
          <w:sz w:val="21"/>
          <w:szCs w:val="21"/>
          <w:lang w:val="en-US" w:eastAsia="zh-CN"/>
        </w:rPr>
        <w:t>供应商应完全响应或优于采购文件技术要求，否则响应文件无效。</w:t>
      </w:r>
    </w:p>
    <w:p w14:paraId="3ACAA206">
      <w:pPr>
        <w:keepNext w:val="0"/>
        <w:keepLines w:val="0"/>
        <w:pageBreakBefore w:val="0"/>
        <w:numPr>
          <w:ilvl w:val="0"/>
          <w:numId w:val="2"/>
        </w:numPr>
        <w:kinsoku/>
        <w:wordWrap/>
        <w:overflowPunct/>
        <w:topLinePunct w:val="0"/>
        <w:autoSpaceDE/>
        <w:autoSpaceDN/>
        <w:bidi w:val="0"/>
        <w:spacing w:line="360" w:lineRule="auto"/>
        <w:ind w:left="0" w:leftChars="0" w:firstLine="422" w:firstLineChars="200"/>
        <w:textAlignment w:val="auto"/>
        <w:outlineLvl w:val="9"/>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商务要求</w:t>
      </w:r>
    </w:p>
    <w:p w14:paraId="6FFEB036">
      <w:pPr>
        <w:keepNext w:val="0"/>
        <w:keepLines w:val="0"/>
        <w:pageBreakBefore w:val="0"/>
        <w:numPr>
          <w:ilvl w:val="0"/>
          <w:numId w:val="0"/>
        </w:numPr>
        <w:kinsoku/>
        <w:wordWrap/>
        <w:overflowPunct/>
        <w:topLinePunct w:val="0"/>
        <w:autoSpaceDE/>
        <w:autoSpaceDN/>
        <w:bidi w:val="0"/>
        <w:spacing w:line="360" w:lineRule="auto"/>
        <w:jc w:val="both"/>
        <w:textAlignment w:val="auto"/>
        <w:outlineLvl w:val="9"/>
        <w:rPr>
          <w:rFonts w:hint="default" w:ascii="宋体" w:hAnsi="宋体" w:eastAsia="宋体" w:cs="宋体"/>
          <w:b/>
          <w:bCs/>
          <w:sz w:val="21"/>
          <w:szCs w:val="21"/>
          <w:lang w:val="en-US" w:eastAsia="zh-CN"/>
        </w:rPr>
      </w:pPr>
      <w:r>
        <w:rPr>
          <w:rFonts w:hint="eastAsia" w:ascii="宋体" w:hAnsi="宋体" w:cs="宋体"/>
          <w:b/>
          <w:bCs/>
          <w:sz w:val="21"/>
          <w:szCs w:val="21"/>
          <w:lang w:val="en-US" w:eastAsia="zh-CN"/>
        </w:rPr>
        <w:t>1.合同期限：</w:t>
      </w:r>
      <w:r>
        <w:rPr>
          <w:rFonts w:hint="eastAsia" w:ascii="宋体" w:hAnsi="宋体" w:cs="宋体"/>
          <w:b w:val="0"/>
          <w:bCs w:val="0"/>
          <w:sz w:val="21"/>
          <w:szCs w:val="21"/>
          <w:lang w:val="en-US" w:eastAsia="zh-CN"/>
        </w:rPr>
        <w:t>合同期为30个日历天。</w:t>
      </w:r>
    </w:p>
    <w:p w14:paraId="5E368192">
      <w:pPr>
        <w:keepNext w:val="0"/>
        <w:keepLines w:val="0"/>
        <w:pageBreakBefore w:val="0"/>
        <w:widowControl/>
        <w:kinsoku/>
        <w:wordWrap/>
        <w:overflowPunct/>
        <w:topLinePunct w:val="0"/>
        <w:autoSpaceDE/>
        <w:autoSpaceDN/>
        <w:bidi w:val="0"/>
        <w:adjustRightInd/>
        <w:snapToGrid/>
        <w:spacing w:line="360" w:lineRule="auto"/>
        <w:jc w:val="both"/>
        <w:textAlignment w:val="auto"/>
        <w:rPr>
          <w:rStyle w:val="89"/>
          <w:rFonts w:hint="eastAsia" w:ascii="宋体" w:hAnsi="宋体" w:cs="宋体" w:eastAsiaTheme="minorEastAsia"/>
          <w:b/>
          <w:bCs/>
          <w:color w:val="auto"/>
          <w:szCs w:val="22"/>
          <w:lang w:val="en-US" w:eastAsia="zh-CN"/>
        </w:rPr>
      </w:pPr>
      <w:r>
        <w:rPr>
          <w:rFonts w:hint="eastAsia" w:ascii="宋体" w:hAnsi="宋体" w:cs="宋体"/>
          <w:b/>
          <w:bCs/>
          <w:sz w:val="21"/>
          <w:szCs w:val="21"/>
          <w:highlight w:val="none"/>
          <w:lang w:val="en-US" w:eastAsia="zh-CN"/>
        </w:rPr>
        <w:t>2</w:t>
      </w:r>
      <w:r>
        <w:rPr>
          <w:rFonts w:hint="eastAsia" w:ascii="宋体" w:hAnsi="宋体" w:eastAsia="宋体" w:cs="宋体"/>
          <w:b/>
          <w:bCs/>
          <w:sz w:val="21"/>
          <w:szCs w:val="21"/>
          <w:highlight w:val="none"/>
          <w:lang w:val="en-US" w:eastAsia="zh-CN"/>
        </w:rPr>
        <w:t>.交货</w:t>
      </w:r>
      <w:r>
        <w:rPr>
          <w:rFonts w:hint="eastAsia" w:ascii="宋体" w:hAnsi="宋体" w:cs="宋体"/>
          <w:b/>
          <w:bCs/>
          <w:sz w:val="21"/>
          <w:szCs w:val="21"/>
          <w:highlight w:val="none"/>
          <w:lang w:val="en-US" w:eastAsia="zh-CN"/>
        </w:rPr>
        <w:t>要求</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中标供应商在合同期30个日历天内供应燃煤为≥10000吨，供应上限由采购人根据实际情况决定。供应商在收到采购人发出的《中标通知书》7个工作日内在采购人指定地点签订合同。</w:t>
      </w:r>
    </w:p>
    <w:p w14:paraId="50E9E026">
      <w:pPr>
        <w:keepNext w:val="0"/>
        <w:keepLines w:val="0"/>
        <w:pageBreakBefore w:val="0"/>
        <w:numPr>
          <w:ilvl w:val="0"/>
          <w:numId w:val="0"/>
        </w:numPr>
        <w:kinsoku/>
        <w:wordWrap/>
        <w:overflowPunct/>
        <w:topLinePunct w:val="0"/>
        <w:autoSpaceDE/>
        <w:autoSpaceDN/>
        <w:bidi w:val="0"/>
        <w:spacing w:line="360" w:lineRule="auto"/>
        <w:jc w:val="both"/>
        <w:textAlignment w:val="auto"/>
        <w:outlineLvl w:val="9"/>
        <w:rPr>
          <w:rFonts w:hint="default"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3</w:t>
      </w:r>
      <w:r>
        <w:rPr>
          <w:rFonts w:hint="eastAsia" w:ascii="宋体" w:hAnsi="宋体" w:eastAsia="宋体" w:cs="宋体"/>
          <w:b/>
          <w:bCs/>
          <w:color w:val="auto"/>
          <w:sz w:val="21"/>
          <w:szCs w:val="21"/>
          <w:highlight w:val="none"/>
          <w:lang w:val="en-US" w:eastAsia="zh-CN"/>
        </w:rPr>
        <w:t>.</w:t>
      </w:r>
      <w:r>
        <w:rPr>
          <w:rFonts w:hint="eastAsia" w:ascii="宋体" w:hAnsi="宋体" w:cs="宋体"/>
          <w:b/>
          <w:bCs/>
          <w:color w:val="auto"/>
          <w:sz w:val="21"/>
          <w:szCs w:val="21"/>
          <w:highlight w:val="none"/>
          <w:lang w:val="en-US" w:eastAsia="zh-CN"/>
        </w:rPr>
        <w:t>采购区域：</w:t>
      </w:r>
      <w:r>
        <w:rPr>
          <w:rFonts w:hint="eastAsia" w:ascii="宋体" w:hAnsi="宋体" w:cs="宋体"/>
          <w:b w:val="0"/>
          <w:bCs w:val="0"/>
          <w:color w:val="auto"/>
          <w:sz w:val="21"/>
          <w:szCs w:val="21"/>
          <w:highlight w:val="none"/>
          <w:lang w:val="en-US" w:eastAsia="zh-CN"/>
        </w:rPr>
        <w:t>省内</w:t>
      </w:r>
      <w:r>
        <w:rPr>
          <w:rFonts w:hint="eastAsia" w:ascii="宋体" w:hAnsi="宋体" w:cs="宋体"/>
          <w:color w:val="auto"/>
          <w:szCs w:val="21"/>
          <w:lang w:val="en-US" w:eastAsia="zh-CN"/>
        </w:rPr>
        <w:t>（来煤若掺配新疆煤、无烟煤采购人有权拒付）</w:t>
      </w:r>
      <w:r>
        <w:rPr>
          <w:rFonts w:hint="eastAsia" w:ascii="宋体" w:hAnsi="宋体" w:cs="宋体"/>
          <w:b w:val="0"/>
          <w:bCs w:val="0"/>
          <w:color w:val="auto"/>
          <w:sz w:val="21"/>
          <w:szCs w:val="21"/>
          <w:highlight w:val="none"/>
          <w:lang w:val="en-US" w:eastAsia="zh-CN"/>
        </w:rPr>
        <w:t>。</w:t>
      </w:r>
    </w:p>
    <w:p w14:paraId="689FD55B">
      <w:pPr>
        <w:keepNext w:val="0"/>
        <w:keepLines w:val="0"/>
        <w:pageBreakBefore w:val="0"/>
        <w:numPr>
          <w:ilvl w:val="0"/>
          <w:numId w:val="0"/>
        </w:numPr>
        <w:kinsoku/>
        <w:wordWrap/>
        <w:overflowPunct/>
        <w:topLinePunct w:val="0"/>
        <w:autoSpaceDE/>
        <w:autoSpaceDN/>
        <w:bidi w:val="0"/>
        <w:spacing w:line="360" w:lineRule="auto"/>
        <w:jc w:val="both"/>
        <w:textAlignment w:val="auto"/>
        <w:outlineLvl w:val="9"/>
        <w:rPr>
          <w:rFonts w:hint="eastAsia" w:ascii="宋体" w:hAnsi="宋体" w:eastAsia="宋体" w:cs="宋体"/>
          <w:color w:val="auto"/>
          <w:sz w:val="21"/>
          <w:szCs w:val="21"/>
        </w:rPr>
      </w:pPr>
      <w:r>
        <w:rPr>
          <w:rFonts w:hint="eastAsia" w:ascii="宋体" w:hAnsi="宋体" w:cs="宋体"/>
          <w:b/>
          <w:bCs/>
          <w:color w:val="auto"/>
          <w:sz w:val="21"/>
          <w:szCs w:val="21"/>
          <w:lang w:val="en-US" w:eastAsia="zh-CN"/>
        </w:rPr>
        <w:t>4.</w:t>
      </w:r>
      <w:r>
        <w:rPr>
          <w:rFonts w:hint="eastAsia" w:ascii="宋体" w:hAnsi="宋体" w:eastAsia="宋体" w:cs="宋体"/>
          <w:b/>
          <w:bCs/>
          <w:color w:val="auto"/>
          <w:sz w:val="21"/>
          <w:szCs w:val="21"/>
        </w:rPr>
        <w:t>交货</w:t>
      </w:r>
      <w:r>
        <w:rPr>
          <w:rFonts w:hint="eastAsia" w:ascii="宋体" w:hAnsi="宋体" w:eastAsia="宋体" w:cs="宋体"/>
          <w:b/>
          <w:bCs/>
          <w:color w:val="auto"/>
          <w:sz w:val="21"/>
          <w:szCs w:val="21"/>
          <w:lang w:val="en-US" w:eastAsia="zh-CN"/>
        </w:rPr>
        <w:t>地点</w:t>
      </w:r>
      <w:r>
        <w:rPr>
          <w:rFonts w:hint="eastAsia" w:ascii="宋体" w:hAnsi="宋体" w:cs="宋体"/>
          <w:b/>
          <w:bCs/>
          <w:color w:val="auto"/>
          <w:sz w:val="21"/>
          <w:szCs w:val="21"/>
          <w:highlight w:val="none"/>
          <w:lang w:val="en-US" w:eastAsia="zh-CN"/>
        </w:rPr>
        <w:t>：</w:t>
      </w:r>
      <w:r>
        <w:rPr>
          <w:rFonts w:hint="eastAsia" w:ascii="宋体" w:hAnsi="宋体" w:cs="宋体"/>
          <w:b w:val="0"/>
          <w:bCs w:val="0"/>
          <w:color w:val="auto"/>
          <w:sz w:val="21"/>
          <w:szCs w:val="21"/>
          <w:highlight w:val="none"/>
          <w:lang w:val="en-US" w:eastAsia="zh-CN"/>
        </w:rPr>
        <w:t>贵州钟山野马寨热电有限责任公司煤场。</w:t>
      </w:r>
    </w:p>
    <w:p w14:paraId="2FF4837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r>
        <w:rPr>
          <w:rFonts w:hint="eastAsia" w:ascii="宋体" w:hAnsi="宋体" w:cs="宋体"/>
          <w:b/>
          <w:bCs/>
          <w:sz w:val="21"/>
          <w:szCs w:val="21"/>
          <w:lang w:val="en-US" w:eastAsia="zh-CN"/>
        </w:rPr>
        <w:t>5</w:t>
      </w:r>
      <w:r>
        <w:rPr>
          <w:rFonts w:hint="eastAsia" w:ascii="宋体" w:hAnsi="宋体" w:eastAsia="宋体" w:cs="宋体"/>
          <w:b/>
          <w:bCs/>
          <w:sz w:val="21"/>
          <w:szCs w:val="21"/>
          <w:lang w:val="en-US" w:eastAsia="zh-CN"/>
        </w:rPr>
        <w:t>.合同价格及结算</w:t>
      </w:r>
    </w:p>
    <w:p w14:paraId="24E451B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5</w:t>
      </w:r>
      <w:r>
        <w:rPr>
          <w:rFonts w:hint="eastAsia" w:ascii="宋体" w:hAnsi="宋体" w:eastAsia="宋体" w:cs="宋体"/>
          <w:sz w:val="21"/>
          <w:szCs w:val="21"/>
          <w:lang w:val="en-US" w:eastAsia="zh-CN"/>
        </w:rPr>
        <w:t>.1本合同为单价合同，成交价为合同热值基准价格（基准热值</w:t>
      </w:r>
      <w:r>
        <w:rPr>
          <w:rFonts w:hint="eastAsia" w:ascii="宋体" w:hAnsi="宋体" w:cs="宋体"/>
          <w:sz w:val="21"/>
          <w:szCs w:val="21"/>
          <w:lang w:val="en-US" w:eastAsia="zh-CN"/>
        </w:rPr>
        <w:t>为</w:t>
      </w:r>
      <w:r>
        <w:rPr>
          <w:rFonts w:hint="eastAsia" w:ascii="宋体" w:hAnsi="宋体" w:eastAsia="宋体" w:cs="宋体"/>
          <w:sz w:val="21"/>
          <w:szCs w:val="21"/>
          <w:lang w:val="en-US" w:eastAsia="zh-CN"/>
        </w:rPr>
        <w:t>Qnet,ar≥</w:t>
      </w:r>
      <w:r>
        <w:rPr>
          <w:rFonts w:hint="eastAsia" w:ascii="宋体" w:hAnsi="宋体" w:cs="宋体"/>
          <w:sz w:val="21"/>
          <w:szCs w:val="21"/>
          <w:lang w:val="en-US" w:eastAsia="zh-CN"/>
        </w:rPr>
        <w:t>300</w:t>
      </w:r>
      <w:r>
        <w:rPr>
          <w:rFonts w:hint="eastAsia" w:ascii="宋体" w:hAnsi="宋体" w:eastAsia="宋体" w:cs="宋体"/>
          <w:sz w:val="21"/>
          <w:szCs w:val="21"/>
          <w:lang w:val="en-US" w:eastAsia="zh-CN"/>
        </w:rPr>
        <w:t>0kcal/kg）。</w:t>
      </w:r>
    </w:p>
    <w:p w14:paraId="0FF5731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燃煤</w:t>
      </w:r>
      <w:r>
        <w:rPr>
          <w:rFonts w:hint="eastAsia" w:ascii="宋体" w:hAnsi="宋体" w:eastAsia="宋体" w:cs="宋体"/>
          <w:sz w:val="21"/>
          <w:szCs w:val="21"/>
          <w:lang w:val="en-US" w:eastAsia="zh-CN"/>
        </w:rPr>
        <w:t>结算单价=发热量计价+质量调整价+数量调整价+ 其他因素调整价。</w:t>
      </w:r>
    </w:p>
    <w:p w14:paraId="1658738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燃煤</w:t>
      </w:r>
      <w:r>
        <w:rPr>
          <w:rFonts w:hint="eastAsia" w:ascii="宋体" w:hAnsi="宋体" w:eastAsia="宋体" w:cs="宋体"/>
          <w:sz w:val="21"/>
          <w:szCs w:val="21"/>
          <w:lang w:val="en-US" w:eastAsia="zh-CN"/>
        </w:rPr>
        <w:t>结算价=</w:t>
      </w:r>
      <w:r>
        <w:rPr>
          <w:rFonts w:hint="eastAsia" w:ascii="宋体" w:hAnsi="宋体" w:cs="宋体"/>
          <w:sz w:val="21"/>
          <w:szCs w:val="21"/>
          <w:lang w:val="en-US" w:eastAsia="zh-CN"/>
        </w:rPr>
        <w:t>燃煤</w:t>
      </w:r>
      <w:r>
        <w:rPr>
          <w:rFonts w:hint="eastAsia" w:ascii="宋体" w:hAnsi="宋体" w:eastAsia="宋体" w:cs="宋体"/>
          <w:sz w:val="21"/>
          <w:szCs w:val="21"/>
          <w:lang w:val="en-US" w:eastAsia="zh-CN"/>
        </w:rPr>
        <w:t>结算单价</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合格数量+单批次结算单价</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单批次合格数量</w:t>
      </w:r>
      <w:r>
        <w:rPr>
          <w:rFonts w:hint="eastAsia" w:ascii="宋体" w:hAnsi="宋体" w:cs="宋体"/>
          <w:sz w:val="21"/>
          <w:szCs w:val="21"/>
          <w:lang w:val="en-US" w:eastAsia="zh-CN"/>
        </w:rPr>
        <w:t>-违反采购人相关管理制度产生的考核</w:t>
      </w:r>
      <w:r>
        <w:rPr>
          <w:rFonts w:hint="eastAsia" w:ascii="宋体" w:hAnsi="宋体" w:eastAsia="宋体" w:cs="宋体"/>
          <w:sz w:val="21"/>
          <w:szCs w:val="21"/>
          <w:lang w:val="en-US" w:eastAsia="zh-CN"/>
        </w:rPr>
        <w:t>。</w:t>
      </w:r>
    </w:p>
    <w:p w14:paraId="03BF42E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5</w:t>
      </w:r>
      <w:r>
        <w:rPr>
          <w:rFonts w:hint="eastAsia" w:ascii="宋体" w:hAnsi="宋体" w:eastAsia="宋体" w:cs="宋体"/>
          <w:sz w:val="21"/>
          <w:szCs w:val="21"/>
          <w:lang w:val="en-US" w:eastAsia="zh-CN"/>
        </w:rPr>
        <w:t>.2成交人为供货时而发生的所有费用均应包含在货物价款中，采购人不再另行支付其它任何费用。</w:t>
      </w:r>
    </w:p>
    <w:p w14:paraId="10851EE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5</w:t>
      </w:r>
      <w:r>
        <w:rPr>
          <w:rFonts w:hint="eastAsia" w:ascii="宋体" w:hAnsi="宋体" w:eastAsia="宋体" w:cs="宋体"/>
          <w:sz w:val="21"/>
          <w:szCs w:val="21"/>
          <w:lang w:val="en-US" w:eastAsia="zh-CN"/>
        </w:rPr>
        <w:t>.3 最终结算单价按签订的合同相应条款内容进行调整后结算。</w:t>
      </w:r>
    </w:p>
    <w:p w14:paraId="1B7A533D">
      <w:pPr>
        <w:keepNext w:val="0"/>
        <w:keepLines w:val="0"/>
        <w:pageBreakBefore w:val="0"/>
        <w:numPr>
          <w:ilvl w:val="0"/>
          <w:numId w:val="0"/>
        </w:numPr>
        <w:kinsoku/>
        <w:wordWrap/>
        <w:overflowPunct/>
        <w:topLinePunct w:val="0"/>
        <w:autoSpaceDE/>
        <w:autoSpaceDN/>
        <w:bidi w:val="0"/>
        <w:spacing w:line="360" w:lineRule="auto"/>
        <w:jc w:val="both"/>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4.</w:t>
      </w:r>
      <w:r>
        <w:rPr>
          <w:rFonts w:hint="eastAsia" w:ascii="宋体" w:hAnsi="宋体" w:eastAsia="宋体" w:cs="宋体"/>
          <w:b/>
          <w:bCs/>
          <w:sz w:val="21"/>
          <w:szCs w:val="21"/>
        </w:rPr>
        <w:t>履约保证</w:t>
      </w:r>
      <w:r>
        <w:rPr>
          <w:rFonts w:hint="eastAsia" w:ascii="宋体" w:hAnsi="宋体" w:cs="宋体"/>
          <w:b/>
          <w:bCs/>
          <w:sz w:val="21"/>
          <w:szCs w:val="21"/>
          <w:lang w:val="en-US" w:eastAsia="zh-CN"/>
        </w:rPr>
        <w:t>金</w:t>
      </w:r>
    </w:p>
    <w:p w14:paraId="7553F42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4.1</w:t>
      </w:r>
      <w:r>
        <w:rPr>
          <w:rFonts w:hint="eastAsia" w:ascii="宋体" w:hAnsi="宋体" w:cs="宋体"/>
          <w:sz w:val="21"/>
          <w:szCs w:val="21"/>
          <w:lang w:val="en-US" w:eastAsia="zh-CN"/>
        </w:rPr>
        <w:t>本项目合同</w:t>
      </w:r>
      <w:r>
        <w:rPr>
          <w:rFonts w:hint="eastAsia" w:ascii="宋体" w:hAnsi="宋体" w:eastAsia="宋体" w:cs="宋体"/>
          <w:sz w:val="21"/>
          <w:szCs w:val="21"/>
          <w:lang w:val="en-US" w:eastAsia="zh-CN"/>
        </w:rPr>
        <w:t>履约保证金</w:t>
      </w:r>
      <w:r>
        <w:rPr>
          <w:rFonts w:hint="eastAsia" w:ascii="宋体" w:hAnsi="宋体" w:cs="宋体"/>
          <w:sz w:val="21"/>
          <w:szCs w:val="21"/>
          <w:lang w:val="en-US" w:eastAsia="zh-CN"/>
        </w:rPr>
        <w:t>均为20</w:t>
      </w:r>
      <w:r>
        <w:rPr>
          <w:rFonts w:hint="eastAsia" w:ascii="宋体" w:hAnsi="宋体" w:cs="宋体"/>
          <w:sz w:val="21"/>
          <w:szCs w:val="21"/>
          <w:u w:val="single"/>
          <w:lang w:val="en-US" w:eastAsia="zh-CN"/>
        </w:rPr>
        <w:t>0,000.00元</w:t>
      </w:r>
      <w:r>
        <w:rPr>
          <w:rFonts w:hint="eastAsia" w:ascii="宋体" w:hAnsi="宋体" w:eastAsia="宋体" w:cs="宋体"/>
          <w:sz w:val="21"/>
          <w:szCs w:val="21"/>
          <w:lang w:val="en-US" w:eastAsia="zh-CN"/>
        </w:rPr>
        <w:t>（大写：人民币</w:t>
      </w:r>
      <w:r>
        <w:rPr>
          <w:rFonts w:hint="eastAsia" w:ascii="宋体" w:hAnsi="宋体" w:cs="宋体"/>
          <w:sz w:val="21"/>
          <w:szCs w:val="21"/>
          <w:lang w:val="en-US" w:eastAsia="zh-CN"/>
        </w:rPr>
        <w:t>贰拾万元整</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，由</w:t>
      </w:r>
      <w:r>
        <w:rPr>
          <w:rFonts w:hint="eastAsia" w:ascii="宋体" w:hAnsi="宋体" w:eastAsia="宋体" w:cs="宋体"/>
          <w:sz w:val="21"/>
          <w:szCs w:val="21"/>
          <w:lang w:val="en-US" w:eastAsia="zh-CN"/>
        </w:rPr>
        <w:t>成交人在合同签订前通过银行电汇形式将履约保证金</w:t>
      </w:r>
      <w:r>
        <w:rPr>
          <w:rFonts w:hint="eastAsia" w:ascii="宋体" w:hAnsi="宋体" w:cs="宋体"/>
          <w:sz w:val="21"/>
          <w:szCs w:val="21"/>
          <w:lang w:val="en-US" w:eastAsia="zh-CN"/>
        </w:rPr>
        <w:t>缴纳至</w:t>
      </w:r>
      <w:r>
        <w:rPr>
          <w:rFonts w:hint="eastAsia" w:ascii="宋体" w:hAnsi="宋体" w:eastAsia="宋体" w:cs="宋体"/>
          <w:sz w:val="21"/>
          <w:szCs w:val="21"/>
          <w:lang w:val="en-US" w:eastAsia="zh-CN"/>
        </w:rPr>
        <w:t>甲方指定账户，采购人在接到成交人缴纳履约保证金相关凭证后，方可签订合同。合同期内成交人履行完合同后，成交人提出申请，采购人于10 个工作日内无息返还履约保证金。</w:t>
      </w:r>
    </w:p>
    <w:p w14:paraId="3C3C620C">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4.2因采购人调运原因、环保原因、降价原因、极端天气或者发生不可抗力事故造成合同无法履行的，履约保证金全部无息退还。</w:t>
      </w:r>
    </w:p>
    <w:p w14:paraId="173CD6EB">
      <w:pPr>
        <w:keepNext w:val="0"/>
        <w:keepLines w:val="0"/>
        <w:pageBreakBefore w:val="0"/>
        <w:numPr>
          <w:ilvl w:val="0"/>
          <w:numId w:val="0"/>
        </w:numPr>
        <w:kinsoku/>
        <w:wordWrap/>
        <w:overflowPunct/>
        <w:topLinePunct w:val="0"/>
        <w:autoSpaceDE/>
        <w:autoSpaceDN/>
        <w:bidi w:val="0"/>
        <w:spacing w:line="360" w:lineRule="auto"/>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4.3成交人</w:t>
      </w:r>
      <w:r>
        <w:rPr>
          <w:rFonts w:hint="eastAsia" w:ascii="宋体" w:hAnsi="宋体" w:eastAsia="宋体" w:cs="宋体"/>
          <w:sz w:val="21"/>
          <w:szCs w:val="21"/>
        </w:rPr>
        <w:t>供应燃煤与合同煤质严重不符的，</w:t>
      </w:r>
      <w:r>
        <w:rPr>
          <w:rFonts w:hint="eastAsia" w:ascii="宋体" w:hAnsi="宋体" w:cs="宋体"/>
          <w:sz w:val="21"/>
          <w:szCs w:val="21"/>
          <w:lang w:val="en-US" w:eastAsia="zh-CN"/>
        </w:rPr>
        <w:t>采购人</w:t>
      </w:r>
      <w:r>
        <w:rPr>
          <w:rFonts w:hint="eastAsia" w:ascii="宋体" w:hAnsi="宋体" w:eastAsia="宋体" w:cs="宋体"/>
          <w:sz w:val="21"/>
          <w:szCs w:val="21"/>
        </w:rPr>
        <w:t>有权停止采购乙方燃煤，并扣除全部履约保证金。本次保证金只接受现汇，不接受银行保函、现金等其他形式保证金</w:t>
      </w:r>
      <w:r>
        <w:rPr>
          <w:rFonts w:hint="eastAsia" w:ascii="宋体" w:hAnsi="宋体" w:cs="宋体"/>
          <w:sz w:val="21"/>
          <w:szCs w:val="21"/>
          <w:lang w:val="en-US" w:eastAsia="zh-CN"/>
        </w:rPr>
        <w:t>。</w:t>
      </w:r>
    </w:p>
    <w:p w14:paraId="30CD5929">
      <w:pPr>
        <w:keepNext w:val="0"/>
        <w:keepLines w:val="0"/>
        <w:pageBreakBefore w:val="0"/>
        <w:widowControl/>
        <w:kinsoku/>
        <w:wordWrap/>
        <w:overflowPunct/>
        <w:topLinePunct w:val="0"/>
        <w:autoSpaceDE/>
        <w:autoSpaceDN/>
        <w:bidi w:val="0"/>
        <w:adjustRightInd/>
        <w:snapToGrid/>
        <w:spacing w:line="360" w:lineRule="auto"/>
        <w:jc w:val="both"/>
        <w:textAlignment w:val="auto"/>
        <w:rPr>
          <w:rStyle w:val="89"/>
          <w:rFonts w:hint="eastAsia" w:ascii="宋体" w:hAnsi="宋体" w:cs="宋体" w:eastAsiaTheme="minorEastAsia"/>
          <w:color w:val="auto"/>
          <w:szCs w:val="22"/>
          <w:lang w:val="en-US" w:eastAsia="zh-CN"/>
        </w:rPr>
      </w:pPr>
      <w:r>
        <w:rPr>
          <w:rStyle w:val="89"/>
          <w:rFonts w:hint="eastAsia" w:ascii="宋体" w:hAnsi="宋体" w:cs="宋体" w:eastAsiaTheme="minorEastAsia"/>
          <w:color w:val="auto"/>
          <w:szCs w:val="22"/>
          <w:lang w:val="en-US" w:eastAsia="zh-CN"/>
        </w:rPr>
        <w:t>4.4合同履约保证金缴纳账户：</w:t>
      </w:r>
    </w:p>
    <w:p w14:paraId="439AA992">
      <w:pPr>
        <w:keepNext w:val="0"/>
        <w:keepLines w:val="0"/>
        <w:pageBreakBefore w:val="0"/>
        <w:widowControl/>
        <w:kinsoku/>
        <w:wordWrap/>
        <w:overflowPunct/>
        <w:topLinePunct w:val="0"/>
        <w:autoSpaceDE/>
        <w:autoSpaceDN/>
        <w:bidi w:val="0"/>
        <w:adjustRightInd/>
        <w:snapToGrid/>
        <w:spacing w:line="360" w:lineRule="auto"/>
        <w:jc w:val="both"/>
        <w:textAlignment w:val="auto"/>
        <w:rPr>
          <w:rStyle w:val="89"/>
          <w:rFonts w:hint="eastAsia" w:ascii="宋体" w:hAnsi="宋体" w:cs="宋体" w:eastAsiaTheme="minorEastAsia"/>
          <w:color w:val="auto"/>
          <w:szCs w:val="22"/>
          <w:lang w:val="en-US" w:eastAsia="zh-CN"/>
        </w:rPr>
      </w:pPr>
      <w:r>
        <w:rPr>
          <w:rStyle w:val="89"/>
          <w:rFonts w:hint="eastAsia" w:ascii="宋体" w:hAnsi="宋体" w:cs="宋体" w:eastAsiaTheme="minorEastAsia"/>
          <w:color w:val="auto"/>
          <w:szCs w:val="22"/>
          <w:lang w:val="en-US" w:eastAsia="zh-CN"/>
        </w:rPr>
        <w:t>名  称：贵州钟山野马寨热电有限责任公司</w:t>
      </w:r>
    </w:p>
    <w:p w14:paraId="5672E14B">
      <w:pPr>
        <w:keepNext w:val="0"/>
        <w:keepLines w:val="0"/>
        <w:pageBreakBefore w:val="0"/>
        <w:widowControl/>
        <w:kinsoku/>
        <w:wordWrap/>
        <w:overflowPunct/>
        <w:topLinePunct w:val="0"/>
        <w:autoSpaceDE/>
        <w:autoSpaceDN/>
        <w:bidi w:val="0"/>
        <w:adjustRightInd/>
        <w:snapToGrid/>
        <w:spacing w:line="360" w:lineRule="auto"/>
        <w:jc w:val="both"/>
        <w:textAlignment w:val="auto"/>
        <w:rPr>
          <w:rStyle w:val="89"/>
          <w:rFonts w:hint="eastAsia" w:ascii="宋体" w:hAnsi="宋体" w:cs="宋体" w:eastAsiaTheme="minorEastAsia"/>
          <w:color w:val="auto"/>
          <w:szCs w:val="22"/>
          <w:lang w:val="en-US" w:eastAsia="zh-CN"/>
        </w:rPr>
      </w:pPr>
      <w:r>
        <w:rPr>
          <w:rStyle w:val="89"/>
          <w:rFonts w:hint="eastAsia" w:ascii="宋体" w:hAnsi="宋体" w:cs="宋体" w:eastAsiaTheme="minorEastAsia"/>
          <w:color w:val="auto"/>
          <w:szCs w:val="22"/>
          <w:lang w:val="en-US" w:eastAsia="zh-CN"/>
        </w:rPr>
        <w:t>开户行：贵州银行金泰支行</w:t>
      </w:r>
    </w:p>
    <w:p w14:paraId="359D7817">
      <w:pPr>
        <w:keepNext w:val="0"/>
        <w:keepLines w:val="0"/>
        <w:pageBreakBefore w:val="0"/>
        <w:widowControl/>
        <w:kinsoku/>
        <w:wordWrap/>
        <w:overflowPunct/>
        <w:topLinePunct w:val="0"/>
        <w:autoSpaceDE/>
        <w:autoSpaceDN/>
        <w:bidi w:val="0"/>
        <w:adjustRightInd/>
        <w:snapToGrid/>
        <w:spacing w:line="360" w:lineRule="auto"/>
        <w:jc w:val="both"/>
        <w:textAlignment w:val="auto"/>
        <w:rPr>
          <w:rStyle w:val="89"/>
          <w:rFonts w:hint="eastAsia" w:ascii="宋体" w:hAnsi="宋体" w:cs="宋体" w:eastAsiaTheme="minorEastAsia"/>
          <w:color w:val="auto"/>
          <w:szCs w:val="22"/>
          <w:lang w:val="en-US" w:eastAsia="zh-CN"/>
        </w:rPr>
      </w:pPr>
      <w:r>
        <w:rPr>
          <w:rStyle w:val="89"/>
          <w:rFonts w:hint="eastAsia" w:ascii="宋体" w:hAnsi="宋体" w:cs="宋体" w:eastAsiaTheme="minorEastAsia"/>
          <w:color w:val="auto"/>
          <w:szCs w:val="22"/>
          <w:lang w:val="en-US" w:eastAsia="zh-CN"/>
        </w:rPr>
        <w:t>账  号: 080180001400006765</w:t>
      </w:r>
    </w:p>
    <w:p w14:paraId="57B5FE2E">
      <w:pPr>
        <w:keepNext w:val="0"/>
        <w:keepLines w:val="0"/>
        <w:pageBreakBefore w:val="0"/>
        <w:widowControl/>
        <w:kinsoku/>
        <w:wordWrap/>
        <w:overflowPunct/>
        <w:topLinePunct w:val="0"/>
        <w:autoSpaceDE/>
        <w:autoSpaceDN/>
        <w:bidi w:val="0"/>
        <w:adjustRightInd/>
        <w:snapToGrid/>
        <w:spacing w:line="360" w:lineRule="auto"/>
        <w:jc w:val="both"/>
        <w:textAlignment w:val="auto"/>
        <w:rPr>
          <w:rStyle w:val="89"/>
          <w:rFonts w:hint="default" w:ascii="宋体" w:hAnsi="宋体" w:cs="宋体" w:eastAsiaTheme="minorEastAsia"/>
          <w:color w:val="auto"/>
          <w:szCs w:val="22"/>
          <w:lang w:val="en-US" w:eastAsia="zh-CN"/>
        </w:rPr>
      </w:pPr>
      <w:r>
        <w:rPr>
          <w:rStyle w:val="89"/>
          <w:rFonts w:hint="eastAsia" w:ascii="宋体" w:hAnsi="宋体" w:cs="宋体" w:eastAsiaTheme="minorEastAsia"/>
          <w:color w:val="auto"/>
          <w:szCs w:val="22"/>
          <w:lang w:val="en-US" w:eastAsia="zh-CN"/>
        </w:rPr>
        <w:t>4.5成交人也可按合同格式文本要求向采购人供应和保证金同等价值的燃煤。</w:t>
      </w:r>
    </w:p>
    <w:p w14:paraId="6D7C1789">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b/>
          <w:bCs/>
          <w:sz w:val="21"/>
          <w:szCs w:val="21"/>
        </w:rPr>
      </w:pPr>
      <w:r>
        <w:rPr>
          <w:rFonts w:hint="eastAsia" w:ascii="宋体" w:hAnsi="宋体" w:cs="宋体"/>
          <w:b/>
          <w:bCs/>
          <w:sz w:val="21"/>
          <w:szCs w:val="21"/>
          <w:lang w:val="en-US" w:eastAsia="zh-CN"/>
        </w:rPr>
        <w:t>5.</w:t>
      </w:r>
      <w:r>
        <w:rPr>
          <w:rFonts w:hint="eastAsia" w:ascii="宋体" w:hAnsi="宋体" w:eastAsia="宋体" w:cs="宋体"/>
          <w:b/>
          <w:bCs/>
          <w:sz w:val="21"/>
          <w:szCs w:val="21"/>
        </w:rPr>
        <w:t>结算及付款方式</w:t>
      </w:r>
    </w:p>
    <w:p w14:paraId="5532D70F">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5.1 结算方式：</w:t>
      </w:r>
    </w:p>
    <w:p w14:paraId="12F7A2C1">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（1）合同期内以</w:t>
      </w:r>
      <w:r>
        <w:rPr>
          <w:rFonts w:hint="eastAsia" w:ascii="宋体" w:hAnsi="宋体" w:cs="宋体"/>
          <w:sz w:val="21"/>
          <w:szCs w:val="21"/>
          <w:highlight w:val="none"/>
          <w:lang w:val="en-US" w:eastAsia="zh-CN"/>
        </w:rPr>
        <w:t>采购人</w:t>
      </w:r>
      <w:r>
        <w:rPr>
          <w:rFonts w:hint="eastAsia" w:ascii="宋体" w:hAnsi="宋体" w:eastAsia="宋体" w:cs="宋体"/>
          <w:sz w:val="21"/>
          <w:szCs w:val="21"/>
          <w:highlight w:val="none"/>
          <w:lang w:val="en-US" w:eastAsia="zh-CN"/>
        </w:rPr>
        <w:t>提供的到厂计量数量、化验结果为结算依据，合同期内所供电煤按</w:t>
      </w:r>
      <w:r>
        <w:rPr>
          <w:rFonts w:hint="eastAsia" w:ascii="宋体" w:hAnsi="宋体" w:cs="宋体"/>
          <w:sz w:val="21"/>
          <w:szCs w:val="21"/>
          <w:highlight w:val="none"/>
          <w:lang w:val="en-US" w:eastAsia="zh-CN"/>
        </w:rPr>
        <w:t>2500</w:t>
      </w:r>
      <w:r>
        <w:rPr>
          <w:rFonts w:hint="eastAsia" w:ascii="宋体" w:hAnsi="宋体" w:eastAsia="宋体" w:cs="宋体"/>
          <w:sz w:val="21"/>
          <w:szCs w:val="21"/>
          <w:highlight w:val="none"/>
          <w:lang w:val="en-US" w:eastAsia="zh-CN"/>
        </w:rPr>
        <w:t>kcal/kg以上热值加权（或单批次）方式计算后合计一票到厂结算</w:t>
      </w:r>
      <w:r>
        <w:rPr>
          <w:rFonts w:hint="eastAsia" w:ascii="宋体" w:hAnsi="宋体" w:cs="宋体"/>
          <w:b/>
          <w:bCs/>
          <w:sz w:val="21"/>
          <w:szCs w:val="21"/>
          <w:highlight w:val="none"/>
          <w:lang w:val="en-US" w:eastAsia="zh-CN"/>
        </w:rPr>
        <w:t>（若成交人选择供应同等价值及以上燃煤作为合同履约保证金，则自《中标通知书》发出之日起至合同签订之日前，所供应同等价值及以上燃煤煤量纳入全合同量一并结算）</w:t>
      </w:r>
      <w:r>
        <w:rPr>
          <w:rFonts w:hint="eastAsia" w:ascii="宋体" w:hAnsi="宋体" w:eastAsia="宋体" w:cs="宋体"/>
          <w:sz w:val="21"/>
          <w:szCs w:val="21"/>
          <w:highlight w:val="none"/>
          <w:lang w:val="en-US" w:eastAsia="zh-CN"/>
        </w:rPr>
        <w:t>；</w:t>
      </w:r>
      <w:r>
        <w:rPr>
          <w:rFonts w:hint="eastAsia" w:ascii="宋体" w:hAnsi="宋体" w:eastAsia="宋体" w:cs="宋体"/>
          <w:b w:val="0"/>
          <w:bCs w:val="0"/>
          <w:color w:val="000000"/>
          <w:kern w:val="0"/>
          <w:sz w:val="21"/>
          <w:szCs w:val="21"/>
          <w:lang w:val="en-US" w:eastAsia="zh-CN" w:bidi="ar"/>
        </w:rPr>
        <w:t xml:space="preserve"> </w:t>
      </w:r>
    </w:p>
    <w:p w14:paraId="7BC94208">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（2）所有指标用扣</w:t>
      </w:r>
      <w:r>
        <w:rPr>
          <w:rFonts w:hint="eastAsia" w:ascii="宋体" w:hAnsi="宋体" w:cs="宋体"/>
          <w:sz w:val="21"/>
          <w:szCs w:val="21"/>
          <w:highlight w:val="none"/>
          <w:lang w:val="en-US" w:eastAsia="zh-CN"/>
        </w:rPr>
        <w:t>吨</w:t>
      </w:r>
      <w:r>
        <w:rPr>
          <w:rFonts w:hint="eastAsia" w:ascii="宋体" w:hAnsi="宋体" w:eastAsia="宋体" w:cs="宋体"/>
          <w:sz w:val="21"/>
          <w:szCs w:val="21"/>
          <w:highlight w:val="none"/>
          <w:lang w:val="en-US" w:eastAsia="zh-CN"/>
        </w:rPr>
        <w:t>后的煤量进行加权计算单价，并用扣</w:t>
      </w:r>
      <w:r>
        <w:rPr>
          <w:rFonts w:hint="eastAsia" w:ascii="宋体" w:hAnsi="宋体" w:cs="宋体"/>
          <w:sz w:val="21"/>
          <w:szCs w:val="21"/>
          <w:highlight w:val="none"/>
          <w:lang w:val="en-US" w:eastAsia="zh-CN"/>
        </w:rPr>
        <w:t>吨</w:t>
      </w:r>
      <w:r>
        <w:rPr>
          <w:rFonts w:hint="eastAsia" w:ascii="宋体" w:hAnsi="宋体" w:eastAsia="宋体" w:cs="宋体"/>
          <w:sz w:val="21"/>
          <w:szCs w:val="21"/>
          <w:highlight w:val="none"/>
          <w:lang w:val="en-US" w:eastAsia="zh-CN"/>
        </w:rPr>
        <w:t>后的</w:t>
      </w:r>
      <w:r>
        <w:rPr>
          <w:rFonts w:hint="eastAsia" w:ascii="宋体" w:hAnsi="宋体" w:cs="宋体"/>
          <w:sz w:val="21"/>
          <w:szCs w:val="21"/>
          <w:highlight w:val="none"/>
          <w:lang w:val="en-US" w:eastAsia="zh-CN"/>
        </w:rPr>
        <w:t>煤量</w:t>
      </w:r>
      <w:r>
        <w:rPr>
          <w:rFonts w:hint="eastAsia" w:ascii="宋体" w:hAnsi="宋体" w:eastAsia="宋体" w:cs="宋体"/>
          <w:sz w:val="21"/>
          <w:szCs w:val="21"/>
          <w:highlight w:val="none"/>
          <w:lang w:val="en-US" w:eastAsia="zh-CN"/>
        </w:rPr>
        <w:t>计算应结算煤款。</w:t>
      </w:r>
    </w:p>
    <w:p w14:paraId="27279726">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（3）合同约定的供煤量完成后双方办理结算（</w:t>
      </w:r>
      <w:r>
        <w:rPr>
          <w:rFonts w:hint="eastAsia" w:ascii="宋体" w:hAnsi="宋体" w:cs="宋体"/>
          <w:sz w:val="21"/>
          <w:szCs w:val="21"/>
          <w:highlight w:val="none"/>
          <w:lang w:val="en-US" w:eastAsia="zh-CN"/>
        </w:rPr>
        <w:t>若成交人超期天数超过30天</w:t>
      </w:r>
      <w:r>
        <w:rPr>
          <w:rFonts w:hint="eastAsia" w:ascii="宋体" w:hAnsi="宋体" w:eastAsia="宋体" w:cs="宋体"/>
          <w:sz w:val="21"/>
          <w:szCs w:val="21"/>
          <w:highlight w:val="none"/>
          <w:lang w:val="en-US" w:eastAsia="zh-CN"/>
        </w:rPr>
        <w:t>仍未供应完合同约定煤量，则</w:t>
      </w:r>
      <w:r>
        <w:rPr>
          <w:rFonts w:hint="eastAsia" w:ascii="宋体" w:hAnsi="宋体" w:cs="宋体"/>
          <w:sz w:val="21"/>
          <w:szCs w:val="21"/>
          <w:highlight w:val="none"/>
          <w:lang w:val="en-US" w:eastAsia="zh-CN"/>
        </w:rPr>
        <w:t>采购人</w:t>
      </w:r>
      <w:r>
        <w:rPr>
          <w:rFonts w:hint="eastAsia" w:ascii="宋体" w:hAnsi="宋体" w:eastAsia="宋体" w:cs="宋体"/>
          <w:sz w:val="21"/>
          <w:szCs w:val="21"/>
          <w:highlight w:val="none"/>
          <w:lang w:val="en-US" w:eastAsia="zh-CN"/>
        </w:rPr>
        <w:t>通知</w:t>
      </w:r>
      <w:r>
        <w:rPr>
          <w:rFonts w:hint="eastAsia" w:ascii="宋体" w:hAnsi="宋体" w:cs="宋体"/>
          <w:sz w:val="21"/>
          <w:szCs w:val="21"/>
          <w:highlight w:val="none"/>
          <w:lang w:val="en-US" w:eastAsia="zh-CN"/>
        </w:rPr>
        <w:t>成交人</w:t>
      </w:r>
      <w:r>
        <w:rPr>
          <w:rFonts w:hint="eastAsia" w:ascii="宋体" w:hAnsi="宋体" w:eastAsia="宋体" w:cs="宋体"/>
          <w:sz w:val="21"/>
          <w:szCs w:val="21"/>
          <w:highlight w:val="none"/>
          <w:lang w:val="en-US" w:eastAsia="zh-CN"/>
        </w:rPr>
        <w:t>办理结算），</w:t>
      </w:r>
      <w:r>
        <w:rPr>
          <w:rFonts w:hint="eastAsia" w:ascii="宋体" w:hAnsi="宋体" w:cs="宋体"/>
          <w:sz w:val="21"/>
          <w:szCs w:val="21"/>
          <w:highlight w:val="none"/>
          <w:lang w:val="en-US" w:eastAsia="zh-CN"/>
        </w:rPr>
        <w:t>成交人</w:t>
      </w:r>
      <w:r>
        <w:rPr>
          <w:rFonts w:hint="eastAsia" w:ascii="宋体" w:hAnsi="宋体" w:eastAsia="宋体" w:cs="宋体"/>
          <w:sz w:val="21"/>
          <w:szCs w:val="21"/>
          <w:highlight w:val="none"/>
          <w:lang w:val="en-US" w:eastAsia="zh-CN"/>
        </w:rPr>
        <w:t>根据双方共同签字确认的结算单，开具相应增值税专用发票（税率13%）交到</w:t>
      </w:r>
      <w:r>
        <w:rPr>
          <w:rFonts w:hint="eastAsia" w:ascii="宋体" w:hAnsi="宋体" w:cs="宋体"/>
          <w:sz w:val="21"/>
          <w:szCs w:val="21"/>
          <w:highlight w:val="none"/>
          <w:lang w:val="en-US" w:eastAsia="zh-CN"/>
        </w:rPr>
        <w:t>采购人；</w:t>
      </w:r>
    </w:p>
    <w:p w14:paraId="39FAB855">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lang w:val="en-US" w:eastAsia="zh-CN"/>
        </w:rPr>
        <w:t>乙方完成合同约定供煤量，甲方于次月底前向乙方支付50%煤款，第三月月底前向乙方付清剩余煤款。乙方未提供发票的，甲方有权延期付款。</w:t>
      </w:r>
    </w:p>
    <w:p w14:paraId="6FB4B6C4">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sz w:val="21"/>
          <w:szCs w:val="21"/>
          <w:highlight w:val="yellow"/>
          <w:lang w:val="en-US" w:eastAsia="zh-CN"/>
        </w:rPr>
      </w:pP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lang w:val="en-US" w:eastAsia="zh-CN"/>
        </w:rPr>
        <w:t>2付款方式：现汇</w:t>
      </w:r>
      <w:r>
        <w:rPr>
          <w:rFonts w:hint="eastAsia" w:ascii="宋体" w:hAnsi="宋体" w:cs="宋体"/>
          <w:sz w:val="21"/>
          <w:szCs w:val="21"/>
          <w:highlight w:val="none"/>
          <w:lang w:val="en-US" w:eastAsia="zh-CN"/>
        </w:rPr>
        <w:t>、银行承兑汇票</w:t>
      </w:r>
      <w:r>
        <w:rPr>
          <w:rFonts w:hint="eastAsia" w:ascii="宋体" w:hAnsi="宋体" w:eastAsia="宋体" w:cs="宋体"/>
          <w:sz w:val="21"/>
          <w:szCs w:val="21"/>
          <w:highlight w:val="none"/>
          <w:lang w:val="en-US" w:eastAsia="zh-CN"/>
        </w:rPr>
        <w:t>或其他。</w:t>
      </w:r>
    </w:p>
    <w:p w14:paraId="08D8CCBF">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6.</w:t>
      </w:r>
      <w:r>
        <w:rPr>
          <w:rFonts w:hint="eastAsia" w:ascii="宋体" w:hAnsi="宋体" w:eastAsia="宋体" w:cs="宋体"/>
          <w:b/>
          <w:bCs/>
          <w:sz w:val="21"/>
          <w:szCs w:val="21"/>
        </w:rPr>
        <w:t>包装、运输与装卸</w:t>
      </w:r>
    </w:p>
    <w:p w14:paraId="1867BA73">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6.1</w:t>
      </w:r>
      <w:r>
        <w:rPr>
          <w:rFonts w:hint="eastAsia" w:ascii="宋体" w:hAnsi="宋体" w:eastAsia="宋体" w:cs="宋体"/>
          <w:sz w:val="21"/>
          <w:szCs w:val="21"/>
        </w:rPr>
        <w:t>除供货合同另有规定外，</w:t>
      </w:r>
      <w:r>
        <w:rPr>
          <w:rFonts w:hint="eastAsia" w:ascii="宋体" w:hAnsi="宋体" w:eastAsia="宋体" w:cs="宋体"/>
          <w:sz w:val="21"/>
          <w:szCs w:val="21"/>
          <w:lang w:eastAsia="zh-CN"/>
        </w:rPr>
        <w:t>成交人</w:t>
      </w:r>
      <w:r>
        <w:rPr>
          <w:rFonts w:hint="eastAsia" w:ascii="宋体" w:hAnsi="宋体" w:eastAsia="宋体" w:cs="宋体"/>
          <w:sz w:val="21"/>
          <w:szCs w:val="21"/>
        </w:rPr>
        <w:t>供应的货物，均应按国家、行业标准保护措施进行包装。这类包装应适应于远距离运输、防损、多次搬运装卸，以确货物完好无损运抵指定现场。由于</w:t>
      </w:r>
      <w:r>
        <w:rPr>
          <w:rFonts w:hint="eastAsia" w:ascii="宋体" w:hAnsi="宋体" w:eastAsia="宋体" w:cs="宋体"/>
          <w:sz w:val="21"/>
          <w:szCs w:val="21"/>
          <w:lang w:eastAsia="zh-CN"/>
        </w:rPr>
        <w:t>成交人</w:t>
      </w:r>
      <w:r>
        <w:rPr>
          <w:rFonts w:hint="eastAsia" w:ascii="宋体" w:hAnsi="宋体" w:eastAsia="宋体" w:cs="宋体"/>
          <w:sz w:val="21"/>
          <w:szCs w:val="21"/>
        </w:rPr>
        <w:t>包装、运输不善所造成的任何损失，由</w:t>
      </w:r>
      <w:r>
        <w:rPr>
          <w:rFonts w:hint="eastAsia" w:ascii="宋体" w:hAnsi="宋体" w:eastAsia="宋体" w:cs="宋体"/>
          <w:sz w:val="21"/>
          <w:szCs w:val="21"/>
          <w:lang w:eastAsia="zh-CN"/>
        </w:rPr>
        <w:t>成交人</w:t>
      </w:r>
      <w:r>
        <w:rPr>
          <w:rFonts w:hint="eastAsia" w:ascii="宋体" w:hAnsi="宋体" w:eastAsia="宋体" w:cs="宋体"/>
          <w:sz w:val="21"/>
          <w:szCs w:val="21"/>
        </w:rPr>
        <w:t>负责；</w:t>
      </w:r>
    </w:p>
    <w:p w14:paraId="3650E5CF">
      <w:pPr>
        <w:keepNext w:val="0"/>
        <w:keepLines w:val="0"/>
        <w:pageBreakBefore w:val="0"/>
        <w:kinsoku/>
        <w:wordWrap/>
        <w:overflowPunct/>
        <w:topLinePunct w:val="0"/>
        <w:autoSpaceDE/>
        <w:autoSpaceDN/>
        <w:bidi w:val="0"/>
        <w:spacing w:line="360" w:lineRule="auto"/>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6.2</w:t>
      </w:r>
      <w:r>
        <w:rPr>
          <w:rFonts w:hint="eastAsia" w:ascii="宋体" w:hAnsi="宋体" w:eastAsia="宋体" w:cs="宋体"/>
          <w:sz w:val="21"/>
          <w:szCs w:val="21"/>
          <w:lang w:eastAsia="zh-CN"/>
        </w:rPr>
        <w:t>成交人</w:t>
      </w:r>
      <w:r>
        <w:rPr>
          <w:rFonts w:hint="eastAsia" w:ascii="宋体" w:hAnsi="宋体" w:eastAsia="宋体" w:cs="宋体"/>
          <w:sz w:val="21"/>
          <w:szCs w:val="21"/>
        </w:rPr>
        <w:t>应选择合适的运输方式，并负责货物的安全合法发运、保险、装卸工作及费用和安全，</w:t>
      </w:r>
      <w:r>
        <w:rPr>
          <w:rFonts w:hint="eastAsia" w:ascii="宋体" w:hAnsi="宋体" w:eastAsia="宋体" w:cs="宋体"/>
          <w:sz w:val="21"/>
          <w:szCs w:val="21"/>
          <w:lang w:eastAsia="zh-CN"/>
        </w:rPr>
        <w:t>成交人</w:t>
      </w:r>
      <w:r>
        <w:rPr>
          <w:rFonts w:hint="eastAsia" w:ascii="宋体" w:hAnsi="宋体" w:eastAsia="宋体" w:cs="宋体"/>
          <w:sz w:val="21"/>
          <w:szCs w:val="21"/>
        </w:rPr>
        <w:t>运输人员必须具有相关从业资格证书,</w:t>
      </w:r>
      <w:r>
        <w:rPr>
          <w:rFonts w:hint="eastAsia" w:ascii="宋体" w:hAnsi="宋体" w:eastAsia="宋体" w:cs="宋体"/>
          <w:sz w:val="21"/>
          <w:szCs w:val="21"/>
          <w:lang w:eastAsia="zh-CN"/>
        </w:rPr>
        <w:t>成交人</w:t>
      </w:r>
      <w:r>
        <w:rPr>
          <w:rFonts w:hint="eastAsia" w:ascii="宋体" w:hAnsi="宋体" w:eastAsia="宋体" w:cs="宋体"/>
          <w:sz w:val="21"/>
          <w:szCs w:val="21"/>
        </w:rPr>
        <w:t>未按国家相关法律法规和本合同的约定在货物运输所造成的一切安全事故和损失，由</w:t>
      </w:r>
      <w:r>
        <w:rPr>
          <w:rFonts w:hint="eastAsia" w:ascii="宋体" w:hAnsi="宋体" w:eastAsia="宋体" w:cs="宋体"/>
          <w:sz w:val="21"/>
          <w:szCs w:val="21"/>
          <w:lang w:eastAsia="zh-CN"/>
        </w:rPr>
        <w:t>成交人</w:t>
      </w:r>
      <w:r>
        <w:rPr>
          <w:rFonts w:hint="eastAsia" w:ascii="宋体" w:hAnsi="宋体" w:eastAsia="宋体" w:cs="宋体"/>
          <w:sz w:val="21"/>
          <w:szCs w:val="21"/>
        </w:rPr>
        <w:t>负责。</w:t>
      </w:r>
    </w:p>
    <w:p w14:paraId="0DFF883A">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7.数量、质量验收</w:t>
      </w:r>
    </w:p>
    <w:p w14:paraId="051028F4">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7.1数量验收：数量以吨为计量单位（四舍五入保留两位小数），以甲方汽车衡计量结果为验收依据；质量以甲方化验结果为验收依据（按照国家标准采样、制样、化验）。乙方有权对数量及质量验收过程进行监督（仅限1人监督，监督人员安全自行负责，与甲方无关），但不得影响和干预甲方验收工作。供煤数量</w:t>
      </w:r>
      <w:r>
        <w:rPr>
          <w:rFonts w:hint="eastAsia" w:ascii="宋体" w:hAnsi="宋体" w:cs="宋体"/>
          <w:sz w:val="21"/>
          <w:szCs w:val="21"/>
          <w:lang w:val="en-US" w:eastAsia="zh-CN"/>
        </w:rPr>
        <w:t>为≥10000吨</w:t>
      </w:r>
      <w:r>
        <w:rPr>
          <w:rFonts w:hint="eastAsia" w:ascii="宋体" w:hAnsi="宋体" w:eastAsia="宋体" w:cs="宋体"/>
          <w:sz w:val="21"/>
          <w:szCs w:val="21"/>
          <w:lang w:val="en-US" w:eastAsia="zh-CN"/>
        </w:rPr>
        <w:t>。</w:t>
      </w:r>
    </w:p>
    <w:p w14:paraId="3423AC8B">
      <w:pPr>
        <w:keepNext w:val="0"/>
        <w:keepLines w:val="0"/>
        <w:pageBreakBefore w:val="0"/>
        <w:widowControl/>
        <w:suppressLineNumbers w:val="0"/>
        <w:kinsoku/>
        <w:wordWrap/>
        <w:overflowPunct/>
        <w:topLinePunct w:val="0"/>
        <w:bidi w:val="0"/>
        <w:spacing w:line="360" w:lineRule="auto"/>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7.2质量验收：产品计量方法为过衡计量，计量单位为吨为计量单位，保留两位小数。采购人对成交人所供燃煤采取车车采样，按批次（每天一个批次）进行化验，取样时按国家采制样标准执行，成交人</w:t>
      </w:r>
      <w:r>
        <w:rPr>
          <w:rFonts w:hint="eastAsia" w:ascii="宋体" w:hAnsi="宋体" w:cs="宋体"/>
          <w:color w:val="auto"/>
          <w:sz w:val="21"/>
          <w:szCs w:val="21"/>
          <w:lang w:val="en-US" w:eastAsia="zh-CN"/>
        </w:rPr>
        <w:t>有权监督</w:t>
      </w:r>
      <w:r>
        <w:rPr>
          <w:rFonts w:hint="eastAsia" w:ascii="宋体" w:hAnsi="宋体" w:eastAsia="宋体" w:cs="宋体"/>
          <w:sz w:val="21"/>
          <w:szCs w:val="21"/>
          <w:lang w:val="en-US" w:eastAsia="zh-CN"/>
        </w:rPr>
        <w:t>采购人取样、制样、缩分</w:t>
      </w:r>
      <w:r>
        <w:rPr>
          <w:rFonts w:hint="eastAsia" w:ascii="宋体" w:hAnsi="宋体" w:cs="宋体"/>
          <w:color w:val="auto"/>
          <w:sz w:val="21"/>
          <w:szCs w:val="21"/>
          <w:lang w:val="en-US" w:eastAsia="zh-CN"/>
        </w:rPr>
        <w:t>等操作</w:t>
      </w:r>
      <w:r>
        <w:rPr>
          <w:rFonts w:hint="eastAsia" w:ascii="宋体" w:hAnsi="宋体" w:eastAsia="宋体" w:cs="宋体"/>
          <w:color w:val="auto"/>
          <w:sz w:val="21"/>
          <w:szCs w:val="21"/>
          <w:lang w:val="en-US" w:eastAsia="zh-CN"/>
        </w:rPr>
        <w:t>过程</w:t>
      </w:r>
      <w:r>
        <w:rPr>
          <w:rFonts w:hint="eastAsia" w:ascii="宋体" w:hAnsi="宋体" w:cs="宋体"/>
          <w:color w:val="auto"/>
          <w:sz w:val="21"/>
          <w:szCs w:val="21"/>
          <w:lang w:val="en-US" w:eastAsia="zh-CN"/>
        </w:rPr>
        <w:t>，</w:t>
      </w:r>
      <w:r>
        <w:rPr>
          <w:rFonts w:hint="eastAsia" w:ascii="宋体" w:hAnsi="宋体" w:eastAsia="宋体" w:cs="宋体"/>
          <w:color w:val="auto"/>
          <w:sz w:val="21"/>
          <w:szCs w:val="21"/>
          <w:lang w:val="en-US" w:eastAsia="zh-CN"/>
        </w:rPr>
        <w:t>并对封存样</w:t>
      </w:r>
      <w:r>
        <w:rPr>
          <w:rFonts w:hint="eastAsia" w:ascii="宋体" w:hAnsi="宋体" w:cs="宋体"/>
          <w:color w:val="auto"/>
          <w:sz w:val="21"/>
          <w:szCs w:val="21"/>
          <w:lang w:val="en-US" w:eastAsia="zh-CN"/>
        </w:rPr>
        <w:t>进行</w:t>
      </w:r>
      <w:r>
        <w:rPr>
          <w:rFonts w:hint="eastAsia" w:ascii="宋体" w:hAnsi="宋体" w:eastAsia="宋体" w:cs="宋体"/>
          <w:color w:val="auto"/>
          <w:sz w:val="21"/>
          <w:szCs w:val="21"/>
          <w:lang w:val="en-US" w:eastAsia="zh-CN"/>
        </w:rPr>
        <w:t>签字确认，若成交人不到场签字确认则视为认可采购人的取、制、分样过程，以采购人化验结果作为结算付款的依据（采购人对入厂燃煤的采制样、质量检验严格执行国家相关标准）；从入厂之日起，乙方应在交货后 5 个工作日内到</w:t>
      </w:r>
      <w:r>
        <w:rPr>
          <w:rFonts w:hint="eastAsia" w:ascii="宋体" w:hAnsi="宋体" w:cs="宋体"/>
          <w:color w:val="auto"/>
          <w:sz w:val="21"/>
          <w:szCs w:val="21"/>
          <w:lang w:val="en-US" w:eastAsia="zh-CN"/>
        </w:rPr>
        <w:t>采购人</w:t>
      </w:r>
      <w:r>
        <w:rPr>
          <w:rFonts w:hint="eastAsia" w:ascii="宋体" w:hAnsi="宋体" w:eastAsia="宋体" w:cs="宋体"/>
          <w:color w:val="auto"/>
          <w:sz w:val="21"/>
          <w:szCs w:val="21"/>
          <w:lang w:val="en-US" w:eastAsia="zh-CN"/>
        </w:rPr>
        <w:t>索取化验结果，若 5 个工作日内未取，</w:t>
      </w:r>
      <w:r>
        <w:rPr>
          <w:rFonts w:hint="eastAsia" w:ascii="宋体" w:hAnsi="宋体" w:cs="宋体"/>
          <w:color w:val="auto"/>
          <w:sz w:val="21"/>
          <w:szCs w:val="21"/>
          <w:lang w:val="en-US" w:eastAsia="zh-CN"/>
        </w:rPr>
        <w:t>采购人</w:t>
      </w:r>
      <w:r>
        <w:rPr>
          <w:rFonts w:hint="eastAsia" w:ascii="宋体" w:hAnsi="宋体" w:eastAsia="宋体" w:cs="宋体"/>
          <w:color w:val="auto"/>
          <w:sz w:val="21"/>
          <w:szCs w:val="21"/>
          <w:lang w:val="en-US" w:eastAsia="zh-CN"/>
        </w:rPr>
        <w:t>视为</w:t>
      </w:r>
      <w:r>
        <w:rPr>
          <w:rFonts w:hint="eastAsia" w:ascii="宋体" w:hAnsi="宋体" w:cs="宋体"/>
          <w:color w:val="auto"/>
          <w:sz w:val="21"/>
          <w:szCs w:val="21"/>
          <w:lang w:val="en-US" w:eastAsia="zh-CN"/>
        </w:rPr>
        <w:t>乙方</w:t>
      </w:r>
      <w:r>
        <w:rPr>
          <w:rFonts w:hint="eastAsia" w:ascii="宋体" w:hAnsi="宋体" w:eastAsia="宋体" w:cs="宋体"/>
          <w:color w:val="auto"/>
          <w:sz w:val="21"/>
          <w:szCs w:val="21"/>
          <w:lang w:val="en-US" w:eastAsia="zh-CN"/>
        </w:rPr>
        <w:t>对化验结果知晓</w:t>
      </w:r>
      <w:r>
        <w:rPr>
          <w:rFonts w:hint="eastAsia" w:ascii="宋体" w:hAnsi="宋体" w:cs="宋体"/>
          <w:color w:val="auto"/>
          <w:sz w:val="21"/>
          <w:szCs w:val="21"/>
          <w:lang w:val="en-US" w:eastAsia="zh-CN"/>
        </w:rPr>
        <w:t>。</w:t>
      </w:r>
      <w:r>
        <w:rPr>
          <w:rFonts w:hint="eastAsia" w:ascii="宋体" w:hAnsi="宋体" w:eastAsia="宋体" w:cs="宋体"/>
          <w:color w:val="auto"/>
          <w:sz w:val="21"/>
          <w:szCs w:val="21"/>
          <w:lang w:val="en-US" w:eastAsia="zh-CN"/>
        </w:rPr>
        <w:t>成交人在知晓检验结果后3天内未书面提出异议的，即视为同意采购人的检验报告，</w:t>
      </w:r>
      <w:r>
        <w:rPr>
          <w:rFonts w:hint="eastAsia" w:ascii="宋体" w:hAnsi="宋体" w:eastAsia="宋体" w:cs="宋体"/>
          <w:sz w:val="21"/>
          <w:szCs w:val="21"/>
          <w:lang w:val="en-US" w:eastAsia="zh-CN"/>
        </w:rPr>
        <w:t>采购人不再保存和提供该批燃煤的留样；若有异议，以采购人封存样送至双方认可的化验机构鉴证、复核［鉴证、复核机构为贵州省燃煤产品质量监督检验院］进行复检，并以复检结果作为结算依据（若复检结果在国家标准允许误差范围内，则以采购人化验结果作为结算依据，若超过国家标准允许误差范围，则该化验批次煤量按贵州省燃煤产品质量监督检验院仲裁结果作为结算依据，水份指标按采购人检验结果为准，不予复检），复检及仲裁所产生的一切费用由责任方承担。</w:t>
      </w:r>
    </w:p>
    <w:p w14:paraId="28D6D80D">
      <w:pPr>
        <w:keepNext w:val="0"/>
        <w:keepLines w:val="0"/>
        <w:pageBreakBefore w:val="0"/>
        <w:widowControl/>
        <w:kinsoku/>
        <w:wordWrap/>
        <w:overflowPunct/>
        <w:topLinePunct w:val="0"/>
        <w:autoSpaceDE/>
        <w:autoSpaceDN/>
        <w:bidi w:val="0"/>
        <w:adjustRightInd/>
        <w:spacing w:line="360" w:lineRule="auto"/>
        <w:jc w:val="both"/>
        <w:rPr>
          <w:rFonts w:hint="eastAsia" w:ascii="宋体" w:hAnsi="宋体" w:eastAsia="宋体" w:cs="宋体"/>
          <w:color w:val="000000"/>
          <w:kern w:val="0"/>
          <w:sz w:val="21"/>
          <w:szCs w:val="21"/>
        </w:rPr>
      </w:pPr>
      <w:r>
        <w:rPr>
          <w:rFonts w:hint="eastAsia" w:ascii="宋体" w:hAnsi="宋体" w:eastAsia="宋体" w:cs="宋体"/>
          <w:sz w:val="21"/>
          <w:szCs w:val="21"/>
          <w:lang w:val="en-US" w:eastAsia="zh-CN"/>
        </w:rPr>
        <w:t>7.</w:t>
      </w:r>
      <w:r>
        <w:rPr>
          <w:rFonts w:hint="eastAsia" w:ascii="宋体" w:hAnsi="宋体" w:cs="宋体"/>
          <w:sz w:val="21"/>
          <w:szCs w:val="21"/>
          <w:lang w:val="en-US" w:eastAsia="zh-CN"/>
        </w:rPr>
        <w:t>3</w:t>
      </w:r>
      <w:r>
        <w:rPr>
          <w:rFonts w:hint="eastAsia" w:ascii="宋体" w:hAnsi="宋体" w:eastAsia="宋体" w:cs="宋体"/>
          <w:color w:val="000000"/>
          <w:kern w:val="0"/>
          <w:sz w:val="21"/>
          <w:szCs w:val="21"/>
        </w:rPr>
        <w:t>供应燃煤达到下列条件之一,甲方</w:t>
      </w:r>
      <w:r>
        <w:rPr>
          <w:rFonts w:hint="eastAsia" w:ascii="宋体" w:hAnsi="宋体" w:eastAsia="宋体" w:cs="宋体"/>
          <w:color w:val="000000"/>
          <w:kern w:val="0"/>
          <w:sz w:val="21"/>
          <w:szCs w:val="21"/>
          <w:lang w:val="en-US" w:eastAsia="zh-CN"/>
        </w:rPr>
        <w:t>按照</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lang w:val="en-US" w:eastAsia="zh-CN"/>
        </w:rPr>
        <w:t>贵州钟山野马寨热电有限责任公司入厂煤煤质异常及纠纷处理办法</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lang w:val="en-US" w:eastAsia="zh-CN"/>
        </w:rPr>
        <w:t>处理</w:t>
      </w:r>
      <w:r>
        <w:rPr>
          <w:rFonts w:hint="eastAsia" w:ascii="宋体" w:hAnsi="宋体" w:eastAsia="宋体" w:cs="宋体"/>
          <w:color w:val="000000"/>
          <w:kern w:val="0"/>
          <w:sz w:val="21"/>
          <w:szCs w:val="21"/>
        </w:rPr>
        <w:t>：</w:t>
      </w:r>
    </w:p>
    <w:p w14:paraId="7DB6CFA6">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both"/>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lang w:eastAsia="zh-CN"/>
        </w:rPr>
        <w:t>（</w:t>
      </w:r>
      <w:r>
        <w:rPr>
          <w:rFonts w:hint="eastAsia" w:ascii="宋体" w:hAnsi="宋体" w:cs="宋体"/>
          <w:color w:val="000000"/>
          <w:kern w:val="0"/>
          <w:sz w:val="21"/>
          <w:szCs w:val="21"/>
          <w:lang w:val="en-US" w:eastAsia="zh-CN"/>
        </w:rPr>
        <w:t>1</w:t>
      </w:r>
      <w:r>
        <w:rPr>
          <w:rFonts w:hint="eastAsia" w:ascii="宋体" w:hAnsi="宋体" w:cs="宋体"/>
          <w:color w:val="000000"/>
          <w:kern w:val="0"/>
          <w:sz w:val="21"/>
          <w:szCs w:val="21"/>
          <w:lang w:eastAsia="zh-CN"/>
        </w:rPr>
        <w:t>）</w:t>
      </w:r>
      <w:r>
        <w:rPr>
          <w:rFonts w:hint="eastAsia" w:ascii="宋体" w:hAnsi="宋体" w:eastAsia="宋体" w:cs="宋体"/>
          <w:color w:val="000000"/>
          <w:kern w:val="0"/>
          <w:sz w:val="21"/>
          <w:szCs w:val="21"/>
        </w:rPr>
        <w:t>在卸车过程中，验收人员应认真观察煤质，如果出现分 层、分段、上下混装、夹心、前后装不同煤种等情况(包括下层 水分含量明显高于上层),目测热值相差500大卡的视为异常</w:t>
      </w:r>
      <w:r>
        <w:rPr>
          <w:rFonts w:hint="eastAsia" w:ascii="宋体" w:hAnsi="宋体" w:eastAsia="宋体" w:cs="宋体"/>
          <w:color w:val="000000"/>
          <w:kern w:val="0"/>
          <w:sz w:val="21"/>
          <w:szCs w:val="21"/>
          <w:lang w:eastAsia="zh-CN"/>
        </w:rPr>
        <w:t>。</w:t>
      </w:r>
    </w:p>
    <w:p w14:paraId="5BBB6A1D">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both"/>
        <w:rPr>
          <w:rFonts w:hint="eastAsia" w:ascii="宋体" w:hAnsi="宋体" w:eastAsia="宋体" w:cs="宋体"/>
          <w:color w:val="000000"/>
          <w:kern w:val="0"/>
          <w:sz w:val="21"/>
          <w:szCs w:val="21"/>
        </w:rPr>
      </w:pPr>
      <w:r>
        <w:rPr>
          <w:rFonts w:hint="eastAsia" w:ascii="宋体" w:hAnsi="宋体" w:cs="宋体"/>
          <w:color w:val="000000"/>
          <w:kern w:val="0"/>
          <w:sz w:val="21"/>
          <w:szCs w:val="21"/>
          <w:lang w:eastAsia="zh-CN"/>
        </w:rPr>
        <w:t>（</w:t>
      </w:r>
      <w:r>
        <w:rPr>
          <w:rFonts w:hint="eastAsia" w:ascii="宋体" w:hAnsi="宋体" w:cs="宋体"/>
          <w:color w:val="000000"/>
          <w:kern w:val="0"/>
          <w:sz w:val="21"/>
          <w:szCs w:val="21"/>
          <w:lang w:val="en-US" w:eastAsia="zh-CN"/>
        </w:rPr>
        <w:t>2</w:t>
      </w:r>
      <w:r>
        <w:rPr>
          <w:rFonts w:hint="eastAsia" w:ascii="宋体" w:hAnsi="宋体" w:cs="宋体"/>
          <w:color w:val="000000"/>
          <w:kern w:val="0"/>
          <w:sz w:val="21"/>
          <w:szCs w:val="21"/>
          <w:lang w:eastAsia="zh-CN"/>
        </w:rPr>
        <w:t>）</w:t>
      </w:r>
      <w:r>
        <w:rPr>
          <w:rFonts w:hint="eastAsia" w:ascii="宋体" w:hAnsi="宋体" w:eastAsia="宋体" w:cs="宋体"/>
          <w:color w:val="000000"/>
          <w:kern w:val="0"/>
          <w:sz w:val="21"/>
          <w:szCs w:val="21"/>
        </w:rPr>
        <w:t>来煤中未均匀分布的石头、矸石(直径大于50mm),</w:t>
      </w:r>
    </w:p>
    <w:p w14:paraId="6B4F96AF">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both"/>
        <w:rPr>
          <w:rFonts w:hint="eastAsia" w:ascii="宋体" w:hAnsi="宋体" w:eastAsia="宋体" w:cs="宋体"/>
          <w:color w:val="000000"/>
          <w:kern w:val="0"/>
          <w:sz w:val="21"/>
          <w:szCs w:val="21"/>
        </w:rPr>
      </w:pPr>
      <w:r>
        <w:rPr>
          <w:rFonts w:hint="eastAsia" w:ascii="宋体" w:hAnsi="宋体" w:cs="宋体"/>
          <w:color w:val="000000"/>
          <w:kern w:val="0"/>
          <w:sz w:val="21"/>
          <w:szCs w:val="21"/>
          <w:lang w:eastAsia="zh-CN"/>
        </w:rPr>
        <w:t>（</w:t>
      </w:r>
      <w:r>
        <w:rPr>
          <w:rFonts w:hint="eastAsia" w:ascii="宋体" w:hAnsi="宋体" w:cs="宋体"/>
          <w:color w:val="000000"/>
          <w:kern w:val="0"/>
          <w:sz w:val="21"/>
          <w:szCs w:val="21"/>
          <w:lang w:val="en-US" w:eastAsia="zh-CN"/>
        </w:rPr>
        <w:t>3</w:t>
      </w:r>
      <w:r>
        <w:rPr>
          <w:rFonts w:hint="eastAsia" w:ascii="宋体" w:hAnsi="宋体" w:cs="宋体"/>
          <w:color w:val="000000"/>
          <w:kern w:val="0"/>
          <w:sz w:val="21"/>
          <w:szCs w:val="21"/>
          <w:lang w:eastAsia="zh-CN"/>
        </w:rPr>
        <w:t>）</w:t>
      </w:r>
      <w:r>
        <w:rPr>
          <w:rFonts w:hint="eastAsia" w:ascii="宋体" w:hAnsi="宋体" w:eastAsia="宋体" w:cs="宋体"/>
          <w:color w:val="000000"/>
          <w:kern w:val="0"/>
          <w:sz w:val="21"/>
          <w:szCs w:val="21"/>
        </w:rPr>
        <w:t>泥团、油土、石灰石、碎石、泥土、矿粉、炉渣、石膏、油泥以 及其他杂物等。</w:t>
      </w:r>
    </w:p>
    <w:p w14:paraId="68A54D86">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both"/>
        <w:rPr>
          <w:rFonts w:hint="eastAsia" w:ascii="宋体" w:hAnsi="宋体" w:eastAsia="宋体" w:cs="宋体"/>
          <w:color w:val="000000"/>
          <w:kern w:val="0"/>
          <w:sz w:val="21"/>
          <w:szCs w:val="21"/>
        </w:rPr>
      </w:pPr>
      <w:r>
        <w:rPr>
          <w:rFonts w:hint="eastAsia" w:ascii="宋体" w:hAnsi="宋体" w:cs="宋体"/>
          <w:color w:val="000000"/>
          <w:kern w:val="0"/>
          <w:sz w:val="21"/>
          <w:szCs w:val="21"/>
          <w:lang w:eastAsia="zh-CN"/>
        </w:rPr>
        <w:t>（</w:t>
      </w:r>
      <w:r>
        <w:rPr>
          <w:rFonts w:hint="eastAsia" w:ascii="宋体" w:hAnsi="宋体" w:cs="宋体"/>
          <w:color w:val="000000"/>
          <w:kern w:val="0"/>
          <w:sz w:val="21"/>
          <w:szCs w:val="21"/>
          <w:lang w:val="en-US" w:eastAsia="zh-CN"/>
        </w:rPr>
        <w:t>4</w:t>
      </w:r>
      <w:r>
        <w:rPr>
          <w:rFonts w:hint="eastAsia" w:ascii="宋体" w:hAnsi="宋体" w:cs="宋体"/>
          <w:color w:val="000000"/>
          <w:kern w:val="0"/>
          <w:sz w:val="21"/>
          <w:szCs w:val="21"/>
          <w:lang w:eastAsia="zh-CN"/>
        </w:rPr>
        <w:t>）</w:t>
      </w:r>
      <w:r>
        <w:rPr>
          <w:rFonts w:hint="eastAsia" w:ascii="宋体" w:hAnsi="宋体" w:eastAsia="宋体" w:cs="宋体"/>
          <w:color w:val="000000"/>
          <w:kern w:val="0"/>
          <w:sz w:val="21"/>
          <w:szCs w:val="21"/>
        </w:rPr>
        <w:t>同批次不同车辆装不同煤种(包括同批次的大、小车； 若发现小车装质量好的煤，而大车装质量差的煤),热值超过500kcal/kg 的。</w:t>
      </w:r>
    </w:p>
    <w:p w14:paraId="177E0909">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both"/>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lang w:eastAsia="zh-CN"/>
        </w:rPr>
        <w:t>（</w:t>
      </w:r>
      <w:r>
        <w:rPr>
          <w:rFonts w:hint="eastAsia" w:ascii="宋体" w:hAnsi="宋体" w:cs="宋体"/>
          <w:color w:val="000000"/>
          <w:kern w:val="0"/>
          <w:sz w:val="21"/>
          <w:szCs w:val="21"/>
          <w:lang w:val="en-US" w:eastAsia="zh-CN"/>
        </w:rPr>
        <w:t>5</w:t>
      </w:r>
      <w:r>
        <w:rPr>
          <w:rFonts w:hint="eastAsia" w:ascii="宋体" w:hAnsi="宋体" w:cs="宋体"/>
          <w:color w:val="000000"/>
          <w:kern w:val="0"/>
          <w:sz w:val="21"/>
          <w:szCs w:val="21"/>
          <w:lang w:eastAsia="zh-CN"/>
        </w:rPr>
        <w:t>）</w:t>
      </w:r>
      <w:r>
        <w:rPr>
          <w:rFonts w:hint="eastAsia" w:ascii="宋体" w:hAnsi="宋体" w:eastAsia="宋体" w:cs="宋体"/>
          <w:color w:val="000000"/>
          <w:kern w:val="0"/>
          <w:sz w:val="21"/>
          <w:szCs w:val="21"/>
        </w:rPr>
        <w:t>来煤为无烟煤和来煤中掺配无烟煤的(以公司化验收到基挥发分Var小于</w:t>
      </w:r>
      <w:r>
        <w:rPr>
          <w:rFonts w:hint="eastAsia" w:ascii="宋体" w:hAnsi="宋体" w:eastAsia="宋体" w:cs="宋体"/>
          <w:color w:val="000000" w:themeColor="text1"/>
          <w:kern w:val="0"/>
          <w:sz w:val="21"/>
          <w:szCs w:val="21"/>
          <w14:textFill>
            <w14:solidFill>
              <w14:schemeClr w14:val="tx1"/>
            </w14:solidFill>
          </w14:textFill>
        </w:rPr>
        <w:t>1</w:t>
      </w:r>
      <w:r>
        <w:rPr>
          <w:rFonts w:hint="eastAsia" w:ascii="宋体" w:hAnsi="宋体" w:cs="宋体"/>
          <w:color w:val="000000" w:themeColor="text1"/>
          <w:kern w:val="0"/>
          <w:sz w:val="21"/>
          <w:szCs w:val="21"/>
          <w:lang w:val="en-US" w:eastAsia="zh-CN"/>
          <w14:textFill>
            <w14:solidFill>
              <w14:schemeClr w14:val="tx1"/>
            </w14:solidFill>
          </w14:textFill>
        </w:rPr>
        <w:t>0</w:t>
      </w:r>
      <w:r>
        <w:rPr>
          <w:rFonts w:hint="eastAsia" w:ascii="宋体" w:hAnsi="宋体" w:eastAsia="宋体" w:cs="宋体"/>
          <w:color w:val="000000" w:themeColor="text1"/>
          <w:kern w:val="0"/>
          <w:sz w:val="21"/>
          <w:szCs w:val="21"/>
          <w14:textFill>
            <w14:solidFill>
              <w14:schemeClr w14:val="tx1"/>
            </w14:solidFill>
          </w14:textFill>
        </w:rPr>
        <w:t>.00%</w:t>
      </w:r>
      <w:r>
        <w:rPr>
          <w:rFonts w:hint="eastAsia" w:ascii="宋体" w:hAnsi="宋体" w:eastAsia="宋体" w:cs="宋体"/>
          <w:color w:val="000000"/>
          <w:kern w:val="0"/>
          <w:sz w:val="21"/>
          <w:szCs w:val="21"/>
        </w:rPr>
        <w:t>为基准)。</w:t>
      </w:r>
    </w:p>
    <w:p w14:paraId="1D2145FD">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lang w:val="en-US" w:eastAsia="zh-CN"/>
        </w:rPr>
        <w:t>6</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车辆过重磅后在煤场内放水的。</w:t>
      </w:r>
    </w:p>
    <w:p w14:paraId="4A83F1BB">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both"/>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lang w:val="en-US" w:eastAsia="zh-CN"/>
        </w:rPr>
        <w:t>7</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lang w:val="en-US" w:eastAsia="zh-CN"/>
        </w:rPr>
        <w:t>乙方入厂煤如掺配有新疆煤、无烟煤的。</w:t>
      </w:r>
    </w:p>
    <w:p w14:paraId="6B08F63A">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both"/>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lang w:val="en-US" w:eastAsia="zh-CN"/>
        </w:rPr>
        <w:t>8</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其它疑似异常或特殊情况时，由</w:t>
      </w:r>
      <w:r>
        <w:rPr>
          <w:rFonts w:hint="eastAsia" w:ascii="宋体" w:hAnsi="宋体" w:eastAsia="宋体" w:cs="宋体"/>
          <w:color w:val="000000"/>
          <w:kern w:val="0"/>
          <w:sz w:val="21"/>
          <w:szCs w:val="21"/>
          <w:lang w:val="en-US" w:eastAsia="zh-CN"/>
        </w:rPr>
        <w:t>采购人</w:t>
      </w:r>
      <w:r>
        <w:rPr>
          <w:rFonts w:hint="eastAsia" w:ascii="宋体" w:hAnsi="宋体" w:eastAsia="宋体" w:cs="宋体"/>
          <w:color w:val="000000"/>
          <w:kern w:val="0"/>
          <w:sz w:val="21"/>
          <w:szCs w:val="21"/>
        </w:rPr>
        <w:t>燃料部、</w:t>
      </w:r>
      <w:r>
        <w:rPr>
          <w:rFonts w:hint="eastAsia" w:ascii="宋体" w:hAnsi="宋体" w:eastAsia="宋体" w:cs="宋体"/>
          <w:color w:val="000000"/>
          <w:kern w:val="0"/>
          <w:sz w:val="21"/>
          <w:szCs w:val="21"/>
          <w:lang w:val="en-US" w:eastAsia="zh-CN"/>
        </w:rPr>
        <w:t>采购人</w:t>
      </w:r>
      <w:r>
        <w:rPr>
          <w:rFonts w:hint="eastAsia" w:ascii="宋体" w:hAnsi="宋体" w:eastAsia="宋体" w:cs="宋体"/>
          <w:color w:val="000000"/>
          <w:kern w:val="0"/>
          <w:sz w:val="21"/>
          <w:szCs w:val="21"/>
        </w:rPr>
        <w:t>监察审计部</w:t>
      </w:r>
      <w:r>
        <w:rPr>
          <w:rFonts w:hint="eastAsia" w:ascii="宋体" w:hAnsi="宋体" w:eastAsia="宋体" w:cs="宋体"/>
          <w:color w:val="000000"/>
          <w:kern w:val="0"/>
          <w:sz w:val="21"/>
          <w:szCs w:val="21"/>
          <w:lang w:val="en-US" w:eastAsia="zh-CN"/>
        </w:rPr>
        <w:t>及成交人</w:t>
      </w:r>
      <w:r>
        <w:rPr>
          <w:rFonts w:hint="eastAsia" w:ascii="宋体" w:hAnsi="宋体" w:eastAsia="宋体" w:cs="宋体"/>
          <w:color w:val="000000"/>
          <w:kern w:val="0"/>
          <w:sz w:val="21"/>
          <w:szCs w:val="21"/>
        </w:rPr>
        <w:t>三方见证，达成一致意见后，认定为煤质异常</w:t>
      </w:r>
      <w:r>
        <w:rPr>
          <w:rFonts w:hint="eastAsia" w:ascii="宋体" w:hAnsi="宋体" w:eastAsia="宋体" w:cs="宋体"/>
          <w:color w:val="000000"/>
          <w:kern w:val="0"/>
          <w:sz w:val="21"/>
          <w:szCs w:val="21"/>
          <w:lang w:val="en-US" w:eastAsia="zh-CN"/>
        </w:rPr>
        <w:t>。</w:t>
      </w:r>
    </w:p>
    <w:p w14:paraId="3FFECA19">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8.违约责任</w:t>
      </w:r>
    </w:p>
    <w:p w14:paraId="2EFD5F11">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rPr>
      </w:pPr>
      <w:r>
        <w:rPr>
          <w:rFonts w:hint="eastAsia" w:ascii="宋体" w:hAnsi="宋体" w:eastAsia="宋体" w:cs="宋体"/>
          <w:sz w:val="21"/>
          <w:szCs w:val="21"/>
          <w:lang w:val="en-US" w:eastAsia="zh-CN"/>
        </w:rPr>
        <w:t>8.1</w:t>
      </w:r>
      <w:r>
        <w:rPr>
          <w:rFonts w:hint="eastAsia" w:ascii="宋体" w:hAnsi="宋体" w:eastAsia="宋体" w:cs="宋体"/>
          <w:b/>
          <w:bCs/>
          <w:sz w:val="21"/>
          <w:szCs w:val="21"/>
          <w:highlight w:val="none"/>
          <w:lang w:val="en-US" w:eastAsia="zh-CN"/>
        </w:rPr>
        <w:t>成交人必须按要求进行均衡发运，发运过程中，除因采购人接卸和其他不可抗力原因外</w:t>
      </w:r>
      <w:r>
        <w:rPr>
          <w:rFonts w:hint="eastAsia" w:ascii="宋体" w:hAnsi="宋体" w:cs="宋体"/>
          <w:b/>
          <w:bCs/>
          <w:sz w:val="21"/>
          <w:szCs w:val="21"/>
          <w:highlight w:val="none"/>
          <w:lang w:val="en-US" w:eastAsia="zh-CN"/>
        </w:rPr>
        <w:t>，</w:t>
      </w:r>
      <w:r>
        <w:rPr>
          <w:rFonts w:hint="eastAsia" w:ascii="宋体" w:hAnsi="宋体" w:eastAsia="宋体" w:cs="宋体"/>
          <w:b/>
          <w:bCs/>
          <w:sz w:val="21"/>
          <w:szCs w:val="21"/>
          <w:highlight w:val="none"/>
          <w:lang w:val="en-US" w:eastAsia="zh-CN"/>
        </w:rPr>
        <w:t>中标供应商在合同签订之日起</w:t>
      </w:r>
      <w:r>
        <w:rPr>
          <w:rFonts w:hint="eastAsia" w:ascii="宋体" w:hAnsi="宋体" w:cs="宋体"/>
          <w:b/>
          <w:bCs/>
          <w:sz w:val="21"/>
          <w:szCs w:val="21"/>
          <w:highlight w:val="none"/>
          <w:lang w:val="en-US" w:eastAsia="zh-CN"/>
        </w:rPr>
        <w:t>30个日历天</w:t>
      </w:r>
      <w:r>
        <w:rPr>
          <w:rFonts w:hint="eastAsia" w:ascii="宋体" w:hAnsi="宋体" w:eastAsia="宋体" w:cs="宋体"/>
          <w:b/>
          <w:bCs/>
          <w:sz w:val="21"/>
          <w:szCs w:val="21"/>
          <w:highlight w:val="none"/>
          <w:lang w:val="en-US" w:eastAsia="zh-CN"/>
        </w:rPr>
        <w:t>内向采购人供应燃煤</w:t>
      </w:r>
      <w:r>
        <w:rPr>
          <w:rFonts w:hint="eastAsia" w:ascii="宋体" w:hAnsi="宋体" w:cs="宋体"/>
          <w:b/>
          <w:bCs/>
          <w:sz w:val="21"/>
          <w:szCs w:val="21"/>
          <w:highlight w:val="none"/>
          <w:lang w:val="en-US" w:eastAsia="zh-CN"/>
        </w:rPr>
        <w:t>为≥10000</w:t>
      </w:r>
      <w:r>
        <w:rPr>
          <w:rFonts w:hint="eastAsia" w:ascii="宋体" w:hAnsi="宋体" w:eastAsia="宋体" w:cs="宋体"/>
          <w:b/>
          <w:bCs/>
          <w:sz w:val="21"/>
          <w:szCs w:val="21"/>
          <w:highlight w:val="none"/>
          <w:lang w:val="en-US" w:eastAsia="zh-CN"/>
        </w:rPr>
        <w:t>吨。供应商在收到采购人发出的</w:t>
      </w:r>
      <w:r>
        <w:rPr>
          <w:rFonts w:hint="eastAsia" w:ascii="宋体" w:hAnsi="宋体" w:cs="宋体"/>
          <w:b/>
          <w:bCs/>
          <w:sz w:val="21"/>
          <w:szCs w:val="21"/>
          <w:highlight w:val="none"/>
          <w:lang w:val="en-US" w:eastAsia="zh-CN"/>
        </w:rPr>
        <w:t>《中标通知书》7个工作日</w:t>
      </w:r>
      <w:r>
        <w:rPr>
          <w:rFonts w:hint="eastAsia" w:ascii="宋体" w:hAnsi="宋体" w:eastAsia="宋体" w:cs="宋体"/>
          <w:b/>
          <w:bCs/>
          <w:sz w:val="21"/>
          <w:szCs w:val="21"/>
          <w:highlight w:val="none"/>
          <w:lang w:val="en-US" w:eastAsia="zh-CN"/>
        </w:rPr>
        <w:t>内在采购人指定地点签订合同。</w:t>
      </w:r>
      <w:r>
        <w:rPr>
          <w:rFonts w:hint="eastAsia" w:ascii="宋体" w:hAnsi="宋体" w:cs="宋体"/>
          <w:b/>
          <w:bCs/>
          <w:sz w:val="21"/>
          <w:szCs w:val="21"/>
          <w:highlight w:val="none"/>
          <w:lang w:val="en-US" w:eastAsia="zh-CN"/>
        </w:rPr>
        <w:t>若</w:t>
      </w:r>
      <w:r>
        <w:rPr>
          <w:rStyle w:val="89"/>
          <w:rFonts w:hint="eastAsia" w:ascii="宋体" w:hAnsi="宋体" w:cs="宋体" w:eastAsiaTheme="minorEastAsia"/>
          <w:b/>
          <w:bCs/>
          <w:color w:val="auto"/>
          <w:szCs w:val="22"/>
          <w:lang w:val="en-US" w:eastAsia="zh-CN"/>
        </w:rPr>
        <w:t>合同期结束时</w:t>
      </w:r>
      <w:r>
        <w:rPr>
          <w:rFonts w:hint="eastAsia" w:ascii="宋体" w:hAnsi="宋体" w:eastAsia="宋体" w:cs="宋体"/>
          <w:b/>
          <w:bCs/>
          <w:sz w:val="21"/>
          <w:szCs w:val="21"/>
          <w:highlight w:val="none"/>
          <w:lang w:val="en-US" w:eastAsia="zh-CN"/>
        </w:rPr>
        <w:t>中标供应商</w:t>
      </w:r>
      <w:r>
        <w:rPr>
          <w:rStyle w:val="89"/>
          <w:rFonts w:hint="eastAsia" w:ascii="宋体" w:hAnsi="宋体" w:cs="宋体" w:eastAsiaTheme="minorEastAsia"/>
          <w:b/>
          <w:bCs/>
          <w:color w:val="auto"/>
          <w:szCs w:val="22"/>
          <w:lang w:val="en-US" w:eastAsia="zh-CN"/>
        </w:rPr>
        <w:t>供应燃煤小于10000吨，基准单价降低0.01元/[(kcal/kg)×吨]同时不予退还合同履约保证金；未在规定的时间节点完成发运量，甲方有权终止合同。</w:t>
      </w:r>
    </w:p>
    <w:p w14:paraId="4FF8D6FB">
      <w:pPr>
        <w:keepNext w:val="0"/>
        <w:keepLines w:val="0"/>
        <w:pageBreakBefore w:val="0"/>
        <w:kinsoku/>
        <w:wordWrap/>
        <w:overflowPunct/>
        <w:topLinePunct w:val="0"/>
        <w:autoSpaceDE/>
        <w:autoSpaceDN/>
        <w:bidi w:val="0"/>
        <w:spacing w:line="360" w:lineRule="auto"/>
        <w:jc w:val="both"/>
        <w:textAlignment w:val="auto"/>
        <w:rPr>
          <w:rFonts w:hint="eastAsia" w:ascii="宋体" w:hAnsi="宋体" w:cs="宋体"/>
          <w:b/>
          <w:bCs/>
          <w:color w:val="auto"/>
          <w:sz w:val="21"/>
          <w:szCs w:val="21"/>
          <w:lang w:val="en-US" w:eastAsia="zh-CN"/>
        </w:rPr>
      </w:pPr>
      <w:r>
        <w:rPr>
          <w:rFonts w:hint="eastAsia" w:ascii="宋体" w:hAnsi="宋体" w:eastAsia="宋体" w:cs="宋体"/>
          <w:color w:val="auto"/>
          <w:sz w:val="21"/>
          <w:szCs w:val="21"/>
          <w:lang w:val="en-US" w:eastAsia="zh-CN"/>
        </w:rPr>
        <w:t>8.</w:t>
      </w:r>
      <w:r>
        <w:rPr>
          <w:rFonts w:hint="eastAsia" w:ascii="宋体" w:hAnsi="宋体" w:cs="宋体"/>
          <w:color w:val="auto"/>
          <w:sz w:val="21"/>
          <w:szCs w:val="21"/>
          <w:lang w:val="en-US" w:eastAsia="zh-CN"/>
        </w:rPr>
        <w:t>2</w:t>
      </w:r>
      <w:r>
        <w:rPr>
          <w:rFonts w:hint="eastAsia" w:ascii="宋体" w:hAnsi="宋体" w:eastAsia="宋体" w:cs="宋体"/>
          <w:b/>
          <w:bCs/>
          <w:color w:val="000000" w:themeColor="text1"/>
          <w:sz w:val="21"/>
          <w:szCs w:val="21"/>
          <w:lang w:eastAsia="zh-CN"/>
          <w14:textFill>
            <w14:solidFill>
              <w14:schemeClr w14:val="tx1"/>
            </w14:solidFill>
          </w14:textFill>
        </w:rPr>
        <w:t>成交人</w:t>
      </w:r>
      <w:r>
        <w:rPr>
          <w:rFonts w:hint="eastAsia" w:ascii="宋体" w:hAnsi="宋体" w:eastAsia="宋体" w:cs="宋体"/>
          <w:b/>
          <w:bCs/>
          <w:color w:val="000000" w:themeColor="text1"/>
          <w:sz w:val="21"/>
          <w:szCs w:val="21"/>
          <w14:textFill>
            <w14:solidFill>
              <w14:schemeClr w14:val="tx1"/>
            </w14:solidFill>
          </w14:textFill>
        </w:rPr>
        <w:t>来煤</w:t>
      </w:r>
      <w:r>
        <w:rPr>
          <w:rStyle w:val="89"/>
          <w:rFonts w:hint="eastAsia" w:ascii="宋体" w:hAnsi="宋体" w:cs="宋体" w:eastAsiaTheme="minorEastAsia"/>
          <w:b/>
          <w:bCs/>
          <w:color w:val="000000" w:themeColor="text1"/>
          <w:szCs w:val="22"/>
          <w:lang w:val="en-US" w:eastAsia="zh-CN"/>
          <w14:textFill>
            <w14:solidFill>
              <w14:schemeClr w14:val="tx1"/>
            </w14:solidFill>
          </w14:textFill>
        </w:rPr>
        <w:t>若掺配新疆煤、无烟煤采购人有权拒付。</w:t>
      </w:r>
    </w:p>
    <w:p w14:paraId="10825B22">
      <w:pPr>
        <w:keepNext w:val="0"/>
        <w:keepLines w:val="0"/>
        <w:pageBreakBefore w:val="0"/>
        <w:kinsoku/>
        <w:wordWrap/>
        <w:overflowPunct/>
        <w:topLinePunct w:val="0"/>
        <w:autoSpaceDE/>
        <w:autoSpaceDN/>
        <w:bidi w:val="0"/>
        <w:spacing w:line="360" w:lineRule="auto"/>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8.</w:t>
      </w:r>
      <w:r>
        <w:rPr>
          <w:rFonts w:hint="eastAsia" w:ascii="宋体" w:hAnsi="宋体" w:cs="宋体"/>
          <w:sz w:val="21"/>
          <w:szCs w:val="21"/>
          <w:lang w:val="en-US" w:eastAsia="zh-CN"/>
        </w:rPr>
        <w:t xml:space="preserve">3 </w:t>
      </w:r>
      <w:r>
        <w:rPr>
          <w:rFonts w:hint="eastAsia" w:ascii="宋体" w:hAnsi="宋体" w:eastAsia="宋体" w:cs="宋体"/>
          <w:sz w:val="21"/>
          <w:szCs w:val="21"/>
          <w:lang w:val="en-US" w:eastAsia="zh-CN"/>
        </w:rPr>
        <w:t>因</w:t>
      </w:r>
      <w:r>
        <w:rPr>
          <w:rFonts w:hint="eastAsia" w:ascii="宋体" w:hAnsi="宋体" w:cs="宋体"/>
          <w:sz w:val="21"/>
          <w:szCs w:val="21"/>
          <w:lang w:val="en-US" w:eastAsia="zh-CN"/>
        </w:rPr>
        <w:t>成交人</w:t>
      </w:r>
      <w:r>
        <w:rPr>
          <w:rFonts w:hint="eastAsia" w:ascii="宋体" w:hAnsi="宋体" w:eastAsia="宋体" w:cs="宋体"/>
          <w:sz w:val="21"/>
          <w:szCs w:val="21"/>
          <w:lang w:val="en-US" w:eastAsia="zh-CN"/>
        </w:rPr>
        <w:t>提供的</w:t>
      </w:r>
      <w:r>
        <w:rPr>
          <w:rFonts w:hint="eastAsia" w:ascii="宋体" w:hAnsi="宋体" w:cs="宋体"/>
          <w:sz w:val="21"/>
          <w:szCs w:val="21"/>
          <w:lang w:val="en-US" w:eastAsia="zh-CN"/>
        </w:rPr>
        <w:t>燃煤</w:t>
      </w:r>
      <w:r>
        <w:rPr>
          <w:rFonts w:hint="eastAsia" w:ascii="宋体" w:hAnsi="宋体" w:eastAsia="宋体" w:cs="宋体"/>
          <w:sz w:val="21"/>
          <w:szCs w:val="21"/>
          <w:lang w:val="en-US" w:eastAsia="zh-CN"/>
        </w:rPr>
        <w:t>不符合合同质量要求导致</w:t>
      </w:r>
      <w:r>
        <w:rPr>
          <w:rFonts w:hint="eastAsia" w:ascii="宋体" w:hAnsi="宋体" w:cs="宋体"/>
          <w:sz w:val="21"/>
          <w:szCs w:val="21"/>
          <w:lang w:val="en-US" w:eastAsia="zh-CN"/>
        </w:rPr>
        <w:t>采购</w:t>
      </w:r>
      <w:r>
        <w:rPr>
          <w:rFonts w:hint="eastAsia" w:ascii="宋体" w:hAnsi="宋体" w:eastAsia="宋体" w:cs="宋体"/>
          <w:sz w:val="21"/>
          <w:szCs w:val="21"/>
          <w:lang w:val="en-US" w:eastAsia="zh-CN"/>
        </w:rPr>
        <w:t>缺煤停机或造成设备异常损坏的，</w:t>
      </w:r>
      <w:r>
        <w:rPr>
          <w:rFonts w:hint="eastAsia" w:ascii="宋体" w:hAnsi="宋体" w:cs="宋体"/>
          <w:sz w:val="21"/>
          <w:szCs w:val="21"/>
          <w:lang w:val="en-US" w:eastAsia="zh-CN"/>
        </w:rPr>
        <w:t>成交人</w:t>
      </w:r>
      <w:r>
        <w:rPr>
          <w:rFonts w:hint="eastAsia" w:ascii="宋体" w:hAnsi="宋体" w:eastAsia="宋体" w:cs="宋体"/>
          <w:sz w:val="21"/>
          <w:szCs w:val="21"/>
          <w:lang w:val="en-US" w:eastAsia="zh-CN"/>
        </w:rPr>
        <w:t>应采取更换、补发符合合同约定的</w:t>
      </w:r>
      <w:r>
        <w:rPr>
          <w:rFonts w:hint="eastAsia" w:ascii="宋体" w:hAnsi="宋体" w:cs="宋体"/>
          <w:sz w:val="21"/>
          <w:szCs w:val="21"/>
          <w:lang w:val="en-US" w:eastAsia="zh-CN"/>
        </w:rPr>
        <w:t>燃煤</w:t>
      </w:r>
      <w:r>
        <w:rPr>
          <w:rFonts w:hint="eastAsia" w:ascii="宋体" w:hAnsi="宋体" w:eastAsia="宋体" w:cs="宋体"/>
          <w:sz w:val="21"/>
          <w:szCs w:val="21"/>
          <w:lang w:val="en-US" w:eastAsia="zh-CN"/>
        </w:rPr>
        <w:t>，并承担由此产生的费用，给</w:t>
      </w:r>
      <w:r>
        <w:rPr>
          <w:rFonts w:hint="eastAsia" w:ascii="宋体" w:hAnsi="宋体" w:cs="宋体"/>
          <w:sz w:val="21"/>
          <w:szCs w:val="21"/>
          <w:lang w:val="en-US" w:eastAsia="zh-CN"/>
        </w:rPr>
        <w:t>采购人</w:t>
      </w:r>
      <w:r>
        <w:rPr>
          <w:rFonts w:hint="eastAsia" w:ascii="宋体" w:hAnsi="宋体" w:eastAsia="宋体" w:cs="宋体"/>
          <w:sz w:val="21"/>
          <w:szCs w:val="21"/>
          <w:lang w:val="en-US" w:eastAsia="zh-CN"/>
        </w:rPr>
        <w:t>造成的经济损失应予以全额赔偿，</w:t>
      </w:r>
      <w:r>
        <w:rPr>
          <w:rFonts w:hint="eastAsia" w:ascii="宋体" w:hAnsi="宋体" w:cs="宋体"/>
          <w:sz w:val="21"/>
          <w:szCs w:val="21"/>
          <w:lang w:val="en-US" w:eastAsia="zh-CN"/>
        </w:rPr>
        <w:t>采购人</w:t>
      </w:r>
      <w:r>
        <w:rPr>
          <w:rFonts w:hint="eastAsia" w:ascii="宋体" w:hAnsi="宋体" w:eastAsia="宋体" w:cs="宋体"/>
          <w:sz w:val="21"/>
          <w:szCs w:val="21"/>
          <w:lang w:val="en-US" w:eastAsia="zh-CN"/>
        </w:rPr>
        <w:t>有权解除合同</w:t>
      </w:r>
      <w:r>
        <w:rPr>
          <w:rFonts w:hint="eastAsia" w:ascii="宋体" w:hAnsi="宋体" w:cs="宋体"/>
          <w:sz w:val="21"/>
          <w:szCs w:val="21"/>
          <w:lang w:val="en-US" w:eastAsia="zh-CN"/>
        </w:rPr>
        <w:t>。</w:t>
      </w:r>
    </w:p>
    <w:p w14:paraId="129E74B5">
      <w:pPr>
        <w:keepNext w:val="0"/>
        <w:keepLines w:val="0"/>
        <w:pageBreakBefore w:val="0"/>
        <w:kinsoku/>
        <w:wordWrap/>
        <w:overflowPunct/>
        <w:topLinePunct w:val="0"/>
        <w:autoSpaceDE/>
        <w:autoSpaceDN/>
        <w:bidi w:val="0"/>
        <w:spacing w:line="360" w:lineRule="auto"/>
        <w:jc w:val="both"/>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9</w:t>
      </w:r>
      <w:r>
        <w:rPr>
          <w:rFonts w:hint="eastAsia" w:ascii="宋体" w:hAnsi="宋体" w:eastAsia="宋体" w:cs="宋体"/>
          <w:b/>
          <w:bCs/>
          <w:sz w:val="21"/>
          <w:szCs w:val="21"/>
        </w:rPr>
        <w:t>.</w:t>
      </w:r>
      <w:r>
        <w:rPr>
          <w:rFonts w:hint="eastAsia" w:ascii="宋体" w:hAnsi="宋体" w:eastAsia="宋体" w:cs="宋体"/>
          <w:b/>
          <w:bCs/>
          <w:sz w:val="21"/>
          <w:szCs w:val="21"/>
          <w:lang w:val="en-US" w:eastAsia="zh-CN"/>
        </w:rPr>
        <w:t>其他</w:t>
      </w:r>
    </w:p>
    <w:p w14:paraId="697C8464">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9.1采购人和成交人双方在燃煤供应全过程中，均不得有行贿受贿或有意刁难对方的行为，违者按有关法律、法规及制度严惩；</w:t>
      </w:r>
    </w:p>
    <w:p w14:paraId="155BDAE4">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9.2成交人车辆及司机进入采购人厂区后，应服从管理，听从指挥，一车一人，限速行驶（5km/h）,严禁超速；</w:t>
      </w:r>
    </w:p>
    <w:p w14:paraId="0281BA50">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9.3禁止成交人司机及其他人员在公司物料卸货区域及其它地方随意逗留、穿行，由此发</w:t>
      </w:r>
      <w:r>
        <w:rPr>
          <w:rFonts w:hint="eastAsia" w:ascii="宋体" w:hAnsi="宋体" w:cs="宋体"/>
          <w:sz w:val="21"/>
          <w:szCs w:val="21"/>
          <w:lang w:val="en-US" w:eastAsia="zh-CN"/>
        </w:rPr>
        <w:t>生</w:t>
      </w:r>
      <w:r>
        <w:rPr>
          <w:rFonts w:hint="eastAsia" w:ascii="宋体" w:hAnsi="宋体" w:eastAsia="宋体" w:cs="宋体"/>
          <w:sz w:val="21"/>
          <w:szCs w:val="21"/>
          <w:lang w:val="en-US" w:eastAsia="zh-CN"/>
        </w:rPr>
        <w:t>的安全风险及责任由成交人自行承担；</w:t>
      </w:r>
    </w:p>
    <w:p w14:paraId="68B5165F">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9.4成交人车辆及司机证照齐全有效，严格遵守道路交通法规和野马寨电厂相关管理规章制度。严禁违章作业；</w:t>
      </w:r>
    </w:p>
    <w:p w14:paraId="750C6837">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sz w:val="21"/>
          <w:szCs w:val="21"/>
          <w:highlight w:val="yellow"/>
          <w:lang w:val="en-US" w:eastAsia="zh-CN"/>
        </w:rPr>
      </w:pPr>
      <w:r>
        <w:rPr>
          <w:rFonts w:hint="eastAsia" w:ascii="宋体" w:hAnsi="宋体" w:eastAsia="宋体" w:cs="宋体"/>
          <w:sz w:val="21"/>
          <w:szCs w:val="21"/>
          <w:lang w:val="en-US" w:eastAsia="zh-CN"/>
        </w:rPr>
        <w:t>9.5成交人车辆外观整洁，车况完好，不得带病行驶，运输燃煤必须加盖篷布，防止道路遗洒和扬尘。不得采用前后轮距超过11.8米的拖挂车进行运输，不得采用平板车进行运输、不得组织民工进行卸煤</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成交人车辆如在野马寨电厂厂区内发生事故需要维修时，修理产生的废弃物不得随意乱扔、焚烧，泄露的各类油品必须用容器盛装，严禁随意排放、倾倒，必须按野马寨电厂规定处理，由此引发的纠纷和责任由成交人承担；</w:t>
      </w:r>
    </w:p>
    <w:p w14:paraId="7494C6FD">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highlight w:val="none"/>
          <w:lang w:val="en-US" w:eastAsia="zh-CN"/>
        </w:rPr>
        <w:t>9.6成交人运输煤的车辆必须确保在每天8：30时至18：30时</w:t>
      </w:r>
      <w:r>
        <w:rPr>
          <w:rFonts w:hint="eastAsia" w:ascii="宋体" w:hAnsi="宋体" w:eastAsia="宋体" w:cs="宋体"/>
          <w:sz w:val="21"/>
          <w:szCs w:val="21"/>
          <w:lang w:val="en-US" w:eastAsia="zh-CN"/>
        </w:rPr>
        <w:t>范围内到厂，其他时间内到厂的车辆须等到次日上班后才能过磅（特殊情况除外）；</w:t>
      </w:r>
    </w:p>
    <w:p w14:paraId="74388FA1">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9.7如采购人因生产、产品市场、政策性规定、行政指令等原因需要在短时间内增加或减少煤的供应数量，成交人必须全力保证满足采购人的数量供应要求及调度指令的执行，不能以任何理由提出调整合同价格或给予补助的任何损失弥补要求；</w:t>
      </w:r>
    </w:p>
    <w:p w14:paraId="21642DF9">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9.8为确保发票传递安全，成交人应采取专人送达发票的方式，交采购人指定的经办人当场查验签收，如指定的经办人员不在，必须交采购部门负责人当场查验签收，若未按上述要求送达与签收，发票遗失所造成的税损由成交人全额承担。成交人如采取邮寄方式传递发票，需采用中国邮政EMS特快专递邮寄方式，采取其他邮寄方式造成发票污损或遗失的，由此造成的税损由成交人全额承担；</w:t>
      </w:r>
    </w:p>
    <w:p w14:paraId="29E590E0">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9.9成交人承诺在出票日30天内，送达或采用EMS特快专递邮寄方式寄达采购人，若超过30天，采购人将拒绝，由成交人负责重新开票。若成交人不能重新开票，导致发票无法正常抵扣的，由此造成的税损由成交人全额承担。成交人同意若造成税损由采购人在应付成交人的货款中扣除。</w:t>
      </w:r>
    </w:p>
    <w:p w14:paraId="42AE3659">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9.10若需采用银行承兑汇票支付货款，原则上由成交人携带委托书、介绍信、身份证复印件等办理签收手续。若通过邮寄方式成交人需出具书面承诺，因邮寄产生的任何经济损失与采购人无关，同时，做好收妥确认手续。</w:t>
      </w:r>
    </w:p>
    <w:p w14:paraId="01B78DD9">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9.11成交人与采购人的业务涉及税务调查，成交人必须履行通知义务；采购人与成交人的业务涉及税务调查，成交人有义务配合。</w:t>
      </w:r>
    </w:p>
    <w:p w14:paraId="6A5FE7C0">
      <w:pPr>
        <w:keepNext w:val="0"/>
        <w:keepLines w:val="0"/>
        <w:pageBreakBefore w:val="0"/>
        <w:numPr>
          <w:ilvl w:val="0"/>
          <w:numId w:val="3"/>
        </w:numPr>
        <w:kinsoku/>
        <w:wordWrap/>
        <w:overflowPunct/>
        <w:topLinePunct w:val="0"/>
        <w:autoSpaceDE/>
        <w:autoSpaceDN/>
        <w:bidi w:val="0"/>
        <w:spacing w:line="360" w:lineRule="auto"/>
        <w:textAlignment w:val="auto"/>
        <w:rPr>
          <w:rFonts w:hint="eastAsia" w:ascii="宋体" w:hAnsi="宋体" w:eastAsia="宋体" w:cs="宋体"/>
          <w:b/>
          <w:bCs/>
          <w:sz w:val="21"/>
          <w:szCs w:val="21"/>
          <w:lang w:val="en-US" w:eastAsia="zh-CN"/>
        </w:rPr>
      </w:pPr>
      <w:r>
        <w:rPr>
          <w:rFonts w:hint="eastAsia" w:ascii="宋体" w:hAnsi="宋体" w:cs="宋体"/>
          <w:b/>
          <w:bCs/>
          <w:sz w:val="21"/>
          <w:szCs w:val="21"/>
          <w:lang w:val="en-US" w:eastAsia="zh-CN"/>
        </w:rPr>
        <w:t>供应商</w:t>
      </w:r>
      <w:r>
        <w:rPr>
          <w:rFonts w:hint="eastAsia" w:ascii="宋体" w:hAnsi="宋体" w:eastAsia="宋体" w:cs="宋体"/>
          <w:b/>
          <w:bCs/>
          <w:sz w:val="21"/>
          <w:szCs w:val="21"/>
          <w:lang w:val="en-US" w:eastAsia="zh-CN"/>
        </w:rPr>
        <w:t>应完全响应</w:t>
      </w:r>
      <w:r>
        <w:rPr>
          <w:rFonts w:hint="eastAsia" w:ascii="宋体" w:hAnsi="宋体" w:cs="宋体"/>
          <w:b/>
          <w:bCs/>
          <w:sz w:val="21"/>
          <w:szCs w:val="21"/>
          <w:lang w:val="en-US" w:eastAsia="zh-CN"/>
        </w:rPr>
        <w:t>或优于</w:t>
      </w:r>
      <w:r>
        <w:rPr>
          <w:rFonts w:hint="eastAsia" w:ascii="宋体" w:hAnsi="宋体" w:eastAsia="宋体" w:cs="宋体"/>
          <w:b/>
          <w:bCs/>
          <w:sz w:val="21"/>
          <w:szCs w:val="21"/>
          <w:lang w:val="en-US" w:eastAsia="zh-CN"/>
        </w:rPr>
        <w:t>采购文件商务</w:t>
      </w:r>
      <w:r>
        <w:rPr>
          <w:rFonts w:hint="eastAsia" w:ascii="宋体" w:hAnsi="宋体" w:cs="宋体"/>
          <w:b/>
          <w:bCs/>
          <w:sz w:val="21"/>
          <w:szCs w:val="21"/>
          <w:lang w:val="en-US" w:eastAsia="zh-CN"/>
        </w:rPr>
        <w:t>要求</w:t>
      </w:r>
      <w:r>
        <w:rPr>
          <w:rFonts w:hint="eastAsia" w:ascii="宋体" w:hAnsi="宋体" w:eastAsia="宋体" w:cs="宋体"/>
          <w:b/>
          <w:bCs/>
          <w:sz w:val="21"/>
          <w:szCs w:val="21"/>
          <w:lang w:val="en-US" w:eastAsia="zh-CN"/>
        </w:rPr>
        <w:t>，否则响应文件无效。</w:t>
      </w:r>
    </w:p>
    <w:p w14:paraId="26F0061B">
      <w:pPr>
        <w:pStyle w:val="49"/>
        <w:numPr>
          <w:ilvl w:val="0"/>
          <w:numId w:val="0"/>
        </w:numPr>
        <w:rPr>
          <w:rFonts w:hint="default"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注：</w:t>
      </w:r>
    </w:p>
    <w:p w14:paraId="2415CACE">
      <w:pPr>
        <w:pStyle w:val="33"/>
        <w:keepNext w:val="0"/>
        <w:keepLines w:val="0"/>
        <w:pageBreakBefore w:val="0"/>
        <w:kinsoku/>
        <w:wordWrap/>
        <w:overflowPunct/>
        <w:topLinePunct w:val="0"/>
        <w:autoSpaceDE/>
        <w:autoSpaceDN/>
        <w:bidi w:val="0"/>
        <w:snapToGrid w:val="0"/>
        <w:spacing w:after="0" w:line="360" w:lineRule="auto"/>
        <w:ind w:left="0" w:leftChars="0" w:firstLine="0" w:firstLineChars="0"/>
        <w:textAlignment w:val="auto"/>
        <w:rPr>
          <w:rFonts w:hint="eastAsia" w:ascii="宋体" w:hAnsi="宋体" w:eastAsia="宋体" w:cs="宋体"/>
          <w:b w:val="0"/>
          <w:bCs w:val="0"/>
          <w:color w:val="auto"/>
          <w:sz w:val="24"/>
          <w:szCs w:val="24"/>
        </w:rPr>
      </w:pPr>
      <w:r>
        <w:rPr>
          <w:rFonts w:hint="eastAsia" w:ascii="宋体" w:hAnsi="宋体" w:eastAsia="宋体" w:cs="宋体"/>
          <w:b/>
          <w:bCs/>
          <w:sz w:val="21"/>
          <w:szCs w:val="21"/>
          <w:lang w:val="en-US" w:eastAsia="zh-CN"/>
        </w:rPr>
        <w:t>1.</w:t>
      </w:r>
      <w:r>
        <w:rPr>
          <w:rFonts w:hint="eastAsia" w:ascii="宋体" w:hAnsi="宋体" w:eastAsia="宋体" w:cs="宋体"/>
          <w:b/>
          <w:bCs/>
          <w:sz w:val="21"/>
          <w:szCs w:val="21"/>
        </w:rPr>
        <w:t>供应商在</w:t>
      </w:r>
      <w:r>
        <w:rPr>
          <w:rFonts w:hint="eastAsia" w:ascii="宋体" w:hAnsi="宋体" w:eastAsia="宋体" w:cs="宋体"/>
          <w:b/>
          <w:bCs/>
          <w:sz w:val="21"/>
          <w:szCs w:val="21"/>
          <w:lang w:val="en-US" w:eastAsia="zh-CN"/>
        </w:rPr>
        <w:t>成交</w:t>
      </w:r>
      <w:r>
        <w:rPr>
          <w:rFonts w:hint="eastAsia" w:ascii="宋体" w:hAnsi="宋体" w:eastAsia="宋体" w:cs="宋体"/>
          <w:b/>
          <w:bCs/>
          <w:sz w:val="21"/>
          <w:szCs w:val="21"/>
        </w:rPr>
        <w:t>后不能按照本</w:t>
      </w:r>
      <w:r>
        <w:rPr>
          <w:rFonts w:hint="eastAsia" w:ascii="宋体" w:hAnsi="宋体" w:eastAsia="宋体" w:cs="宋体"/>
          <w:b/>
          <w:bCs/>
          <w:sz w:val="21"/>
          <w:szCs w:val="21"/>
          <w:lang w:eastAsia="zh-CN"/>
        </w:rPr>
        <w:t>采购文件</w:t>
      </w:r>
      <w:r>
        <w:rPr>
          <w:rFonts w:hint="eastAsia" w:ascii="宋体" w:hAnsi="宋体" w:eastAsia="宋体" w:cs="宋体"/>
          <w:b/>
          <w:bCs/>
          <w:sz w:val="21"/>
          <w:szCs w:val="21"/>
        </w:rPr>
        <w:t>及其</w:t>
      </w:r>
      <w:r>
        <w:rPr>
          <w:rFonts w:hint="eastAsia" w:ascii="宋体" w:hAnsi="宋体" w:eastAsia="宋体" w:cs="宋体"/>
          <w:b/>
          <w:bCs/>
          <w:sz w:val="21"/>
          <w:szCs w:val="21"/>
          <w:lang w:eastAsia="zh-CN"/>
        </w:rPr>
        <w:t>响应文件</w:t>
      </w:r>
      <w:r>
        <w:rPr>
          <w:rFonts w:hint="eastAsia" w:ascii="宋体" w:hAnsi="宋体" w:eastAsia="宋体" w:cs="宋体"/>
          <w:b/>
          <w:bCs/>
          <w:sz w:val="21"/>
          <w:szCs w:val="21"/>
        </w:rPr>
        <w:t>、包括供应商的澄清、修改等书面资料提供相关货物的，采购方将有权取消其</w:t>
      </w:r>
      <w:r>
        <w:rPr>
          <w:rFonts w:hint="eastAsia" w:ascii="宋体" w:hAnsi="宋体" w:eastAsia="宋体" w:cs="宋体"/>
          <w:b/>
          <w:bCs/>
          <w:sz w:val="21"/>
          <w:szCs w:val="21"/>
          <w:lang w:val="en-US" w:eastAsia="zh-CN"/>
        </w:rPr>
        <w:t>成交</w:t>
      </w:r>
      <w:r>
        <w:rPr>
          <w:rFonts w:hint="eastAsia" w:ascii="宋体" w:hAnsi="宋体" w:eastAsia="宋体" w:cs="宋体"/>
          <w:b/>
          <w:bCs/>
          <w:sz w:val="21"/>
          <w:szCs w:val="21"/>
        </w:rPr>
        <w:t>资格；造成严重后果的，将有权追究其法律责任。</w:t>
      </w:r>
    </w:p>
    <w:p w14:paraId="1C2F41FB">
      <w:pP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br w:type="page"/>
      </w:r>
    </w:p>
    <w:p w14:paraId="1C59829D">
      <w:pPr>
        <w:pStyle w:val="2"/>
        <w:spacing w:after="240"/>
        <w:rPr>
          <w:rFonts w:hint="eastAsia" w:ascii="宋体" w:hAnsi="宋体" w:eastAsia="宋体" w:cs="宋体"/>
          <w:sz w:val="30"/>
          <w:szCs w:val="30"/>
          <w:lang w:eastAsia="zh-CN"/>
        </w:rPr>
      </w:pPr>
      <w:bookmarkStart w:id="25" w:name="_Toc26378"/>
      <w:bookmarkStart w:id="26" w:name="_Toc16691"/>
      <w:r>
        <w:rPr>
          <w:rFonts w:hint="eastAsia" w:ascii="宋体" w:hAnsi="宋体" w:cs="宋体"/>
          <w:sz w:val="30"/>
          <w:szCs w:val="30"/>
        </w:rPr>
        <w:t xml:space="preserve">第五章 </w:t>
      </w:r>
      <w:r>
        <w:rPr>
          <w:rFonts w:hint="eastAsia" w:ascii="宋体" w:hAnsi="宋体" w:cs="宋体"/>
          <w:sz w:val="30"/>
          <w:szCs w:val="30"/>
          <w:lang w:val="en-US" w:eastAsia="zh-CN"/>
        </w:rPr>
        <w:t xml:space="preserve"> </w:t>
      </w:r>
      <w:r>
        <w:rPr>
          <w:rFonts w:hint="eastAsia" w:ascii="宋体" w:hAnsi="宋体" w:cs="宋体"/>
          <w:sz w:val="30"/>
          <w:szCs w:val="30"/>
        </w:rPr>
        <w:t>合同</w:t>
      </w:r>
      <w:bookmarkEnd w:id="25"/>
      <w:r>
        <w:rPr>
          <w:rFonts w:hint="eastAsia" w:ascii="宋体" w:hAnsi="宋体" w:cs="宋体"/>
          <w:sz w:val="30"/>
          <w:szCs w:val="30"/>
        </w:rPr>
        <w:t>格式文本</w:t>
      </w:r>
      <w:bookmarkEnd w:id="26"/>
    </w:p>
    <w:p w14:paraId="163FAED1">
      <w:pPr>
        <w:keepNext w:val="0"/>
        <w:keepLines w:val="0"/>
        <w:pageBreakBefore w:val="0"/>
        <w:widowControl/>
        <w:kinsoku/>
        <w:wordWrap/>
        <w:overflowPunct/>
        <w:topLinePunct w:val="0"/>
        <w:autoSpaceDE/>
        <w:autoSpaceDN/>
        <w:bidi w:val="0"/>
        <w:adjustRightInd/>
        <w:spacing w:line="360" w:lineRule="auto"/>
        <w:jc w:val="center"/>
        <w:rPr>
          <w:rFonts w:hint="eastAsia" w:ascii="宋体" w:hAnsi="宋体" w:eastAsia="宋体" w:cs="宋体"/>
          <w:b/>
          <w:bCs/>
          <w:color w:val="000000"/>
          <w:kern w:val="0"/>
          <w:sz w:val="16"/>
          <w:szCs w:val="16"/>
        </w:rPr>
      </w:pPr>
      <w:r>
        <w:rPr>
          <w:rFonts w:hint="eastAsia" w:ascii="宋体" w:hAnsi="宋体" w:cs="宋体"/>
          <w:sz w:val="22"/>
          <w:szCs w:val="22"/>
          <w:lang w:eastAsia="zh-CN"/>
        </w:rPr>
        <w:t>（</w:t>
      </w:r>
      <w:r>
        <w:rPr>
          <w:rFonts w:hint="eastAsia" w:ascii="宋体" w:hAnsi="宋体" w:cs="宋体"/>
          <w:sz w:val="22"/>
          <w:szCs w:val="22"/>
          <w:lang w:val="en-US" w:eastAsia="zh-CN"/>
        </w:rPr>
        <w:t>以采购热值3000大卡燃煤为例，具体以各标段实际签订的合同为准</w:t>
      </w:r>
      <w:r>
        <w:rPr>
          <w:rFonts w:hint="eastAsia" w:ascii="宋体" w:hAnsi="宋体" w:cs="宋体"/>
          <w:sz w:val="22"/>
          <w:szCs w:val="22"/>
          <w:lang w:eastAsia="zh-CN"/>
        </w:rPr>
        <w:t>）</w:t>
      </w:r>
    </w:p>
    <w:p w14:paraId="09C46FFD">
      <w:pPr>
        <w:keepNext w:val="0"/>
        <w:keepLines w:val="0"/>
        <w:pageBreakBefore w:val="0"/>
        <w:widowControl/>
        <w:kinsoku/>
        <w:wordWrap/>
        <w:overflowPunct/>
        <w:topLinePunct w:val="0"/>
        <w:autoSpaceDE/>
        <w:autoSpaceDN/>
        <w:bidi w:val="0"/>
        <w:adjustRightInd/>
        <w:spacing w:line="360" w:lineRule="auto"/>
        <w:ind w:firstLine="422" w:firstLineChars="200"/>
        <w:jc w:val="left"/>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甲方：贵州钟山野马寨热电有限责任公司</w:t>
      </w:r>
    </w:p>
    <w:p w14:paraId="6C8ED51C">
      <w:pPr>
        <w:keepNext w:val="0"/>
        <w:keepLines w:val="0"/>
        <w:pageBreakBefore w:val="0"/>
        <w:widowControl/>
        <w:kinsoku/>
        <w:wordWrap/>
        <w:overflowPunct/>
        <w:topLinePunct w:val="0"/>
        <w:autoSpaceDE/>
        <w:autoSpaceDN/>
        <w:bidi w:val="0"/>
        <w:adjustRightInd/>
        <w:spacing w:line="360" w:lineRule="auto"/>
        <w:ind w:firstLine="422" w:firstLineChars="200"/>
        <w:jc w:val="left"/>
        <w:rPr>
          <w:rFonts w:hint="eastAsia" w:ascii="宋体" w:hAnsi="宋体" w:eastAsia="宋体" w:cs="宋体"/>
          <w:sz w:val="21"/>
          <w:szCs w:val="21"/>
        </w:rPr>
      </w:pPr>
      <w:r>
        <w:rPr>
          <w:rFonts w:hint="eastAsia" w:ascii="宋体" w:hAnsi="宋体" w:eastAsia="宋体" w:cs="宋体"/>
          <w:b/>
          <w:bCs/>
          <w:color w:val="000000"/>
          <w:kern w:val="0"/>
          <w:sz w:val="21"/>
          <w:szCs w:val="21"/>
        </w:rPr>
        <w:t>乙方：XX</w:t>
      </w:r>
      <w:r>
        <w:rPr>
          <w:rFonts w:hint="eastAsia" w:ascii="宋体" w:hAnsi="宋体" w:cs="宋体"/>
          <w:b/>
          <w:bCs/>
          <w:color w:val="000000"/>
          <w:kern w:val="0"/>
          <w:sz w:val="21"/>
          <w:szCs w:val="21"/>
          <w:lang w:val="en-US" w:eastAsia="zh-CN"/>
        </w:rPr>
        <w:t>XXXXXX</w:t>
      </w:r>
      <w:r>
        <w:rPr>
          <w:rFonts w:hint="eastAsia" w:ascii="宋体" w:hAnsi="宋体" w:eastAsia="宋体" w:cs="宋体"/>
          <w:b/>
          <w:bCs/>
          <w:color w:val="000000"/>
          <w:kern w:val="0"/>
          <w:sz w:val="21"/>
          <w:szCs w:val="21"/>
        </w:rPr>
        <w:t xml:space="preserve">公司 </w:t>
      </w:r>
    </w:p>
    <w:p w14:paraId="5D942574">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000000"/>
          <w:kern w:val="0"/>
          <w:sz w:val="21"/>
          <w:szCs w:val="21"/>
        </w:rPr>
      </w:pPr>
    </w:p>
    <w:p w14:paraId="52170E58">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
          <w:bCs/>
          <w:color w:val="000000"/>
          <w:kern w:val="0"/>
          <w:sz w:val="21"/>
          <w:szCs w:val="21"/>
        </w:rPr>
      </w:pPr>
      <w:r>
        <w:rPr>
          <w:rFonts w:hint="eastAsia" w:ascii="宋体" w:hAnsi="宋体" w:eastAsia="宋体" w:cs="宋体"/>
          <w:color w:val="000000"/>
          <w:kern w:val="0"/>
          <w:sz w:val="21"/>
          <w:szCs w:val="21"/>
        </w:rPr>
        <w:t>根据《中华人民共和国民法典》等相关法律法规的规定，经甲、乙双方平等协商,就燃煤购销事宜签订本合同，以资共同遵守。</w:t>
      </w:r>
    </w:p>
    <w:p w14:paraId="4FEE701E">
      <w:pPr>
        <w:keepNext w:val="0"/>
        <w:keepLines w:val="0"/>
        <w:pageBreakBefore w:val="0"/>
        <w:widowControl/>
        <w:kinsoku/>
        <w:wordWrap/>
        <w:overflowPunct/>
        <w:topLinePunct w:val="0"/>
        <w:autoSpaceDE/>
        <w:autoSpaceDN/>
        <w:bidi w:val="0"/>
        <w:adjustRightInd/>
        <w:spacing w:line="360" w:lineRule="auto"/>
        <w:ind w:left="0" w:leftChars="0" w:firstLine="422" w:firstLineChars="200"/>
        <w:jc w:val="left"/>
        <w:rPr>
          <w:rFonts w:hint="eastAsia" w:ascii="宋体" w:hAnsi="宋体" w:eastAsia="宋体" w:cs="宋体"/>
          <w:sz w:val="21"/>
          <w:szCs w:val="21"/>
        </w:rPr>
      </w:pPr>
      <w:r>
        <w:rPr>
          <w:rFonts w:hint="eastAsia" w:ascii="宋体" w:hAnsi="宋体" w:eastAsia="宋体" w:cs="宋体"/>
          <w:b/>
          <w:bCs/>
          <w:color w:val="000000"/>
          <w:kern w:val="0"/>
          <w:sz w:val="21"/>
          <w:szCs w:val="21"/>
        </w:rPr>
        <w:t>一、</w:t>
      </w:r>
      <w:r>
        <w:rPr>
          <w:rFonts w:hint="eastAsia" w:ascii="宋体" w:hAnsi="宋体" w:eastAsia="宋体" w:cs="宋体"/>
          <w:color w:val="000000"/>
          <w:kern w:val="0"/>
          <w:sz w:val="21"/>
          <w:szCs w:val="21"/>
        </w:rPr>
        <w:t xml:space="preserve"> </w:t>
      </w:r>
      <w:r>
        <w:rPr>
          <w:rFonts w:hint="eastAsia" w:ascii="宋体" w:hAnsi="宋体" w:eastAsia="宋体" w:cs="宋体"/>
          <w:b/>
          <w:bCs/>
          <w:color w:val="000000"/>
          <w:kern w:val="0"/>
          <w:sz w:val="21"/>
          <w:szCs w:val="21"/>
        </w:rPr>
        <w:t xml:space="preserve">收货方名称、供煤矿点、交货地点、品种规格、质量、交货时间及数量 </w:t>
      </w:r>
    </w:p>
    <w:p w14:paraId="279CD732">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eastAsia="zh-CN"/>
        </w:rPr>
        <w:t>（</w:t>
      </w:r>
      <w:r>
        <w:rPr>
          <w:rFonts w:hint="eastAsia" w:ascii="宋体" w:hAnsi="宋体" w:cs="宋体"/>
          <w:color w:val="000000"/>
          <w:kern w:val="0"/>
          <w:sz w:val="21"/>
          <w:szCs w:val="21"/>
          <w:lang w:val="en-US" w:eastAsia="zh-CN"/>
        </w:rPr>
        <w:t>一</w:t>
      </w:r>
      <w:r>
        <w:rPr>
          <w:rFonts w:hint="eastAsia" w:ascii="宋体" w:hAnsi="宋体" w:cs="宋体"/>
          <w:color w:val="000000"/>
          <w:kern w:val="0"/>
          <w:sz w:val="21"/>
          <w:szCs w:val="21"/>
          <w:lang w:eastAsia="zh-CN"/>
        </w:rPr>
        <w:t>）</w:t>
      </w:r>
      <w:r>
        <w:rPr>
          <w:rFonts w:hint="eastAsia" w:ascii="宋体" w:hAnsi="宋体" w:eastAsia="宋体" w:cs="宋体"/>
          <w:color w:val="000000"/>
          <w:kern w:val="0"/>
          <w:sz w:val="21"/>
          <w:szCs w:val="21"/>
        </w:rPr>
        <w:t>交货时间：202</w:t>
      </w:r>
      <w:r>
        <w:rPr>
          <w:rFonts w:hint="eastAsia" w:ascii="宋体" w:hAnsi="宋体" w:cs="宋体"/>
          <w:color w:val="000000"/>
          <w:kern w:val="0"/>
          <w:sz w:val="21"/>
          <w:szCs w:val="21"/>
          <w:lang w:val="en-US" w:eastAsia="zh-CN"/>
        </w:rPr>
        <w:t>5</w:t>
      </w:r>
      <w:r>
        <w:rPr>
          <w:rFonts w:hint="eastAsia" w:ascii="宋体" w:hAnsi="宋体" w:eastAsia="宋体" w:cs="宋体"/>
          <w:color w:val="000000"/>
          <w:kern w:val="0"/>
          <w:sz w:val="21"/>
          <w:szCs w:val="21"/>
        </w:rPr>
        <w:t>年</w:t>
      </w:r>
      <w:r>
        <w:rPr>
          <w:rFonts w:hint="eastAsia" w:ascii="宋体" w:hAnsi="宋体" w:eastAsia="宋体" w:cs="宋体"/>
          <w:color w:val="000000"/>
          <w:kern w:val="0"/>
          <w:sz w:val="21"/>
          <w:szCs w:val="21"/>
          <w:u w:val="single"/>
        </w:rPr>
        <w:t xml:space="preserve"> </w:t>
      </w:r>
      <w:r>
        <w:rPr>
          <w:rFonts w:hint="eastAsia" w:ascii="宋体" w:hAnsi="宋体" w:cs="宋体"/>
          <w:color w:val="000000"/>
          <w:kern w:val="0"/>
          <w:sz w:val="21"/>
          <w:szCs w:val="21"/>
          <w:u w:val="single"/>
          <w:lang w:val="en-US" w:eastAsia="zh-CN"/>
        </w:rPr>
        <w:t>XX</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rPr>
        <w:t>月</w:t>
      </w:r>
      <w:r>
        <w:rPr>
          <w:rFonts w:hint="eastAsia" w:ascii="宋体" w:hAnsi="宋体" w:eastAsia="宋体" w:cs="宋体"/>
          <w:color w:val="000000"/>
          <w:kern w:val="0"/>
          <w:sz w:val="21"/>
          <w:szCs w:val="21"/>
          <w:u w:val="single"/>
        </w:rPr>
        <w:t xml:space="preserve"> </w:t>
      </w:r>
      <w:r>
        <w:rPr>
          <w:rFonts w:hint="eastAsia" w:ascii="宋体" w:hAnsi="宋体" w:cs="宋体"/>
          <w:color w:val="000000"/>
          <w:kern w:val="0"/>
          <w:sz w:val="21"/>
          <w:szCs w:val="21"/>
          <w:u w:val="single"/>
          <w:lang w:val="en-US" w:eastAsia="zh-CN"/>
        </w:rPr>
        <w:t>XX</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rPr>
        <w:t>日至</w:t>
      </w:r>
      <w:r>
        <w:rPr>
          <w:rFonts w:hint="eastAsia" w:ascii="宋体" w:hAnsi="宋体" w:eastAsia="宋体" w:cs="宋体"/>
          <w:kern w:val="0"/>
          <w:sz w:val="21"/>
          <w:szCs w:val="21"/>
        </w:rPr>
        <w:t xml:space="preserve"> 202</w:t>
      </w:r>
      <w:r>
        <w:rPr>
          <w:rFonts w:hint="eastAsia" w:ascii="宋体" w:hAnsi="宋体" w:cs="宋体"/>
          <w:kern w:val="0"/>
          <w:sz w:val="21"/>
          <w:szCs w:val="21"/>
          <w:lang w:val="en-US" w:eastAsia="zh-CN"/>
        </w:rPr>
        <w:t>5</w:t>
      </w:r>
      <w:r>
        <w:rPr>
          <w:rFonts w:hint="eastAsia" w:ascii="宋体" w:hAnsi="宋体" w:eastAsia="宋体" w:cs="宋体"/>
          <w:kern w:val="0"/>
          <w:sz w:val="21"/>
          <w:szCs w:val="21"/>
        </w:rPr>
        <w:t>年</w:t>
      </w:r>
      <w:r>
        <w:rPr>
          <w:rFonts w:hint="eastAsia" w:ascii="宋体" w:hAnsi="宋体" w:eastAsia="宋体" w:cs="宋体"/>
          <w:kern w:val="0"/>
          <w:sz w:val="21"/>
          <w:szCs w:val="21"/>
          <w:u w:val="single"/>
        </w:rPr>
        <w:t xml:space="preserve"> </w:t>
      </w:r>
      <w:r>
        <w:rPr>
          <w:rFonts w:hint="eastAsia" w:ascii="宋体" w:hAnsi="宋体" w:cs="宋体"/>
          <w:kern w:val="0"/>
          <w:sz w:val="21"/>
          <w:szCs w:val="21"/>
          <w:u w:val="single"/>
          <w:lang w:val="en-US" w:eastAsia="zh-CN"/>
        </w:rPr>
        <w:t>XX</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月</w:t>
      </w:r>
      <w:r>
        <w:rPr>
          <w:rFonts w:hint="eastAsia" w:ascii="宋体" w:hAnsi="宋体" w:eastAsia="宋体" w:cs="宋体"/>
          <w:kern w:val="0"/>
          <w:sz w:val="21"/>
          <w:szCs w:val="21"/>
          <w:u w:val="single"/>
        </w:rPr>
        <w:t xml:space="preserve"> </w:t>
      </w:r>
      <w:r>
        <w:rPr>
          <w:rFonts w:hint="eastAsia" w:ascii="宋体" w:hAnsi="宋体" w:cs="宋体"/>
          <w:kern w:val="0"/>
          <w:sz w:val="21"/>
          <w:szCs w:val="21"/>
          <w:u w:val="single"/>
          <w:lang w:val="en-US" w:eastAsia="zh-CN"/>
        </w:rPr>
        <w:t>XX</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日</w:t>
      </w:r>
      <w:r>
        <w:rPr>
          <w:rFonts w:hint="eastAsia" w:ascii="宋体" w:hAnsi="宋体" w:eastAsia="宋体" w:cs="宋体"/>
          <w:color w:val="000000"/>
          <w:kern w:val="0"/>
          <w:sz w:val="21"/>
          <w:szCs w:val="21"/>
        </w:rPr>
        <w:t xml:space="preserve">（数量验收时间以甲方到厂验收时间为准，不以乙方发运时间）。 </w:t>
      </w:r>
    </w:p>
    <w:p w14:paraId="34AC693E">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sz w:val="21"/>
          <w:szCs w:val="21"/>
        </w:rPr>
      </w:pPr>
      <w:r>
        <w:rPr>
          <w:rFonts w:hint="eastAsia" w:ascii="宋体" w:hAnsi="宋体" w:cs="宋体"/>
          <w:color w:val="000000"/>
          <w:kern w:val="0"/>
          <w:sz w:val="21"/>
          <w:szCs w:val="21"/>
          <w:lang w:eastAsia="zh-CN"/>
        </w:rPr>
        <w:t>（</w:t>
      </w:r>
      <w:r>
        <w:rPr>
          <w:rFonts w:hint="eastAsia" w:ascii="宋体" w:hAnsi="宋体" w:cs="宋体"/>
          <w:color w:val="000000"/>
          <w:kern w:val="0"/>
          <w:sz w:val="21"/>
          <w:szCs w:val="21"/>
          <w:lang w:val="en-US" w:eastAsia="zh-CN"/>
        </w:rPr>
        <w:t>二</w:t>
      </w:r>
      <w:r>
        <w:rPr>
          <w:rFonts w:hint="eastAsia" w:ascii="宋体" w:hAnsi="宋体" w:cs="宋体"/>
          <w:color w:val="000000"/>
          <w:kern w:val="0"/>
          <w:sz w:val="21"/>
          <w:szCs w:val="21"/>
          <w:lang w:eastAsia="zh-CN"/>
        </w:rPr>
        <w:t>）</w:t>
      </w:r>
      <w:r>
        <w:rPr>
          <w:rFonts w:hint="eastAsia" w:ascii="宋体" w:hAnsi="宋体" w:eastAsia="宋体" w:cs="宋体"/>
          <w:color w:val="000000"/>
          <w:kern w:val="0"/>
          <w:sz w:val="21"/>
          <w:szCs w:val="21"/>
        </w:rPr>
        <w:t xml:space="preserve">收货方名称、供煤矿点、交货地点、交货时间及数量如下： </w:t>
      </w:r>
    </w:p>
    <w:tbl>
      <w:tblPr>
        <w:tblStyle w:val="35"/>
        <w:tblW w:w="9866" w:type="dxa"/>
        <w:jc w:val="center"/>
        <w:tblLayout w:type="fixed"/>
        <w:tblCellMar>
          <w:top w:w="0" w:type="dxa"/>
          <w:left w:w="108" w:type="dxa"/>
          <w:bottom w:w="0" w:type="dxa"/>
          <w:right w:w="108" w:type="dxa"/>
        </w:tblCellMar>
      </w:tblPr>
      <w:tblGrid>
        <w:gridCol w:w="1732"/>
        <w:gridCol w:w="1574"/>
        <w:gridCol w:w="1446"/>
        <w:gridCol w:w="1739"/>
        <w:gridCol w:w="2012"/>
        <w:gridCol w:w="1363"/>
      </w:tblGrid>
      <w:tr w14:paraId="19A2909C">
        <w:tblPrEx>
          <w:tblCellMar>
            <w:top w:w="0" w:type="dxa"/>
            <w:left w:w="108" w:type="dxa"/>
            <w:bottom w:w="0" w:type="dxa"/>
            <w:right w:w="108" w:type="dxa"/>
          </w:tblCellMar>
        </w:tblPrEx>
        <w:trPr>
          <w:trHeight w:val="629" w:hRule="atLeast"/>
          <w:jc w:val="center"/>
        </w:trPr>
        <w:tc>
          <w:tcPr>
            <w:tcW w:w="1732" w:type="dxa"/>
            <w:tcBorders>
              <w:top w:val="single" w:color="000000" w:sz="4" w:space="0"/>
              <w:left w:val="single" w:color="000000" w:sz="4" w:space="0"/>
              <w:bottom w:val="single" w:color="000000" w:sz="4" w:space="0"/>
              <w:right w:val="single" w:color="000000" w:sz="4" w:space="0"/>
            </w:tcBorders>
            <w:noWrap/>
            <w:vAlign w:val="center"/>
          </w:tcPr>
          <w:p w14:paraId="43FDAED7">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rPr>
              <w:t>收货方名称</w:t>
            </w:r>
          </w:p>
        </w:tc>
        <w:tc>
          <w:tcPr>
            <w:tcW w:w="1574" w:type="dxa"/>
            <w:tcBorders>
              <w:top w:val="single" w:color="000000" w:sz="4" w:space="0"/>
              <w:left w:val="single" w:color="000000" w:sz="4" w:space="0"/>
              <w:bottom w:val="single" w:color="000000" w:sz="4" w:space="0"/>
              <w:right w:val="single" w:color="000000" w:sz="4" w:space="0"/>
            </w:tcBorders>
            <w:noWrap/>
            <w:vAlign w:val="center"/>
          </w:tcPr>
          <w:p w14:paraId="0825A11A">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b/>
                <w:bCs/>
                <w:kern w:val="0"/>
                <w:sz w:val="21"/>
                <w:szCs w:val="21"/>
              </w:rPr>
            </w:pPr>
            <w:r>
              <w:rPr>
                <w:rFonts w:hint="eastAsia" w:ascii="宋体" w:hAnsi="宋体" w:eastAsia="宋体" w:cs="宋体"/>
                <w:b/>
                <w:bCs/>
                <w:kern w:val="0"/>
                <w:sz w:val="21"/>
                <w:szCs w:val="21"/>
              </w:rPr>
              <w:t>供煤矿点</w:t>
            </w:r>
          </w:p>
          <w:p w14:paraId="03137ECB">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b/>
                <w:bCs/>
                <w:kern w:val="0"/>
                <w:sz w:val="21"/>
                <w:szCs w:val="21"/>
              </w:rPr>
            </w:pPr>
            <w:r>
              <w:rPr>
                <w:rFonts w:hint="eastAsia" w:ascii="宋体" w:hAnsi="宋体" w:eastAsia="宋体" w:cs="宋体"/>
                <w:b/>
                <w:bCs/>
                <w:kern w:val="0"/>
                <w:sz w:val="21"/>
                <w:szCs w:val="21"/>
              </w:rPr>
              <w:t>（户名）</w:t>
            </w:r>
          </w:p>
        </w:tc>
        <w:tc>
          <w:tcPr>
            <w:tcW w:w="1446" w:type="dxa"/>
            <w:tcBorders>
              <w:top w:val="single" w:color="000000" w:sz="4" w:space="0"/>
              <w:left w:val="single" w:color="000000" w:sz="4" w:space="0"/>
              <w:bottom w:val="single" w:color="000000" w:sz="4" w:space="0"/>
              <w:right w:val="single" w:color="000000" w:sz="4" w:space="0"/>
            </w:tcBorders>
            <w:noWrap/>
            <w:vAlign w:val="center"/>
          </w:tcPr>
          <w:p w14:paraId="38DC00D8">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b/>
                <w:bCs/>
                <w:kern w:val="0"/>
                <w:sz w:val="21"/>
                <w:szCs w:val="21"/>
              </w:rPr>
            </w:pPr>
            <w:r>
              <w:rPr>
                <w:rFonts w:hint="eastAsia" w:ascii="宋体" w:hAnsi="宋体" w:eastAsia="宋体" w:cs="宋体"/>
                <w:b/>
                <w:bCs/>
                <w:kern w:val="0"/>
                <w:sz w:val="21"/>
                <w:szCs w:val="21"/>
              </w:rPr>
              <w:t>采购区域</w:t>
            </w:r>
          </w:p>
        </w:tc>
        <w:tc>
          <w:tcPr>
            <w:tcW w:w="1739" w:type="dxa"/>
            <w:tcBorders>
              <w:top w:val="single" w:color="000000" w:sz="4" w:space="0"/>
              <w:left w:val="single" w:color="000000" w:sz="4" w:space="0"/>
              <w:bottom w:val="single" w:color="000000" w:sz="4" w:space="0"/>
              <w:right w:val="single" w:color="000000" w:sz="4" w:space="0"/>
            </w:tcBorders>
            <w:noWrap/>
            <w:vAlign w:val="center"/>
          </w:tcPr>
          <w:p w14:paraId="1740346B">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b/>
                <w:bCs/>
                <w:kern w:val="0"/>
                <w:sz w:val="21"/>
                <w:szCs w:val="21"/>
              </w:rPr>
            </w:pPr>
            <w:r>
              <w:rPr>
                <w:rFonts w:hint="eastAsia" w:ascii="宋体" w:hAnsi="宋体" w:eastAsia="宋体" w:cs="宋体"/>
                <w:b/>
                <w:bCs/>
                <w:kern w:val="0"/>
                <w:sz w:val="21"/>
                <w:szCs w:val="21"/>
              </w:rPr>
              <w:t>交货地点</w:t>
            </w:r>
          </w:p>
          <w:p w14:paraId="131A2705">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b/>
                <w:bCs/>
                <w:sz w:val="21"/>
                <w:szCs w:val="21"/>
              </w:rPr>
            </w:pPr>
            <w:r>
              <w:rPr>
                <w:rFonts w:hint="eastAsia" w:ascii="宋体" w:hAnsi="宋体" w:eastAsia="宋体" w:cs="宋体"/>
                <w:b/>
                <w:bCs/>
                <w:kern w:val="0"/>
                <w:sz w:val="21"/>
                <w:szCs w:val="21"/>
              </w:rPr>
              <w:t>（到场）</w:t>
            </w:r>
          </w:p>
        </w:tc>
        <w:tc>
          <w:tcPr>
            <w:tcW w:w="2012" w:type="dxa"/>
            <w:tcBorders>
              <w:top w:val="single" w:color="000000" w:sz="4" w:space="0"/>
              <w:left w:val="single" w:color="000000" w:sz="4" w:space="0"/>
              <w:bottom w:val="single" w:color="000000" w:sz="4" w:space="0"/>
              <w:right w:val="single" w:color="000000" w:sz="4" w:space="0"/>
            </w:tcBorders>
            <w:noWrap/>
            <w:vAlign w:val="center"/>
          </w:tcPr>
          <w:p w14:paraId="3309A2BD">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b/>
                <w:bCs/>
                <w:sz w:val="21"/>
                <w:szCs w:val="21"/>
              </w:rPr>
            </w:pPr>
            <w:r>
              <w:rPr>
                <w:rFonts w:hint="eastAsia" w:ascii="宋体" w:hAnsi="宋体" w:eastAsia="宋体" w:cs="宋体"/>
                <w:b/>
                <w:bCs/>
                <w:kern w:val="0"/>
                <w:sz w:val="21"/>
                <w:szCs w:val="21"/>
              </w:rPr>
              <w:t>交货时间</w:t>
            </w:r>
          </w:p>
        </w:tc>
        <w:tc>
          <w:tcPr>
            <w:tcW w:w="1363" w:type="dxa"/>
            <w:tcBorders>
              <w:top w:val="single" w:color="000000" w:sz="4" w:space="0"/>
              <w:left w:val="single" w:color="000000" w:sz="4" w:space="0"/>
              <w:bottom w:val="single" w:color="000000" w:sz="4" w:space="0"/>
              <w:right w:val="single" w:color="000000" w:sz="4" w:space="0"/>
            </w:tcBorders>
            <w:noWrap/>
            <w:vAlign w:val="center"/>
          </w:tcPr>
          <w:p w14:paraId="621B27B6">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b/>
                <w:bCs/>
                <w:color w:val="000000"/>
                <w:sz w:val="21"/>
                <w:szCs w:val="21"/>
                <w:lang w:eastAsia="zh-CN"/>
              </w:rPr>
            </w:pPr>
            <w:r>
              <w:rPr>
                <w:rFonts w:hint="eastAsia" w:ascii="宋体" w:hAnsi="宋体" w:eastAsia="宋体" w:cs="宋体"/>
                <w:b/>
                <w:bCs/>
                <w:color w:val="000000"/>
                <w:kern w:val="0"/>
                <w:sz w:val="21"/>
                <w:szCs w:val="21"/>
              </w:rPr>
              <w:t>供煤数量</w:t>
            </w:r>
            <w:r>
              <w:rPr>
                <w:rFonts w:hint="eastAsia" w:ascii="宋体" w:hAnsi="宋体" w:eastAsia="宋体" w:cs="宋体"/>
                <w:b/>
                <w:bCs/>
                <w:color w:val="000000"/>
                <w:kern w:val="0"/>
                <w:sz w:val="21"/>
                <w:szCs w:val="21"/>
                <w:lang w:eastAsia="zh-CN"/>
              </w:rPr>
              <w:t>（</w:t>
            </w:r>
            <w:r>
              <w:rPr>
                <w:rFonts w:hint="eastAsia" w:ascii="宋体" w:hAnsi="宋体" w:eastAsia="宋体" w:cs="宋体"/>
                <w:color w:val="000000"/>
                <w:sz w:val="21"/>
                <w:szCs w:val="21"/>
              </w:rPr>
              <w:t>万吨</w:t>
            </w:r>
            <w:r>
              <w:rPr>
                <w:rFonts w:hint="eastAsia" w:ascii="宋体" w:hAnsi="宋体" w:eastAsia="宋体" w:cs="宋体"/>
                <w:b/>
                <w:bCs/>
                <w:color w:val="000000"/>
                <w:kern w:val="0"/>
                <w:sz w:val="21"/>
                <w:szCs w:val="21"/>
                <w:lang w:eastAsia="zh-CN"/>
              </w:rPr>
              <w:t>）</w:t>
            </w:r>
          </w:p>
        </w:tc>
      </w:tr>
      <w:tr w14:paraId="21091D54">
        <w:tblPrEx>
          <w:tblCellMar>
            <w:top w:w="0" w:type="dxa"/>
            <w:left w:w="108" w:type="dxa"/>
            <w:bottom w:w="0" w:type="dxa"/>
            <w:right w:w="108" w:type="dxa"/>
          </w:tblCellMar>
        </w:tblPrEx>
        <w:trPr>
          <w:trHeight w:val="947" w:hRule="atLeast"/>
          <w:jc w:val="center"/>
        </w:trPr>
        <w:tc>
          <w:tcPr>
            <w:tcW w:w="1732" w:type="dxa"/>
            <w:tcBorders>
              <w:top w:val="single" w:color="000000" w:sz="4" w:space="0"/>
              <w:left w:val="single" w:color="000000" w:sz="4" w:space="0"/>
              <w:bottom w:val="single" w:color="000000" w:sz="4" w:space="0"/>
              <w:right w:val="single" w:color="000000" w:sz="4" w:space="0"/>
            </w:tcBorders>
            <w:vAlign w:val="center"/>
          </w:tcPr>
          <w:p w14:paraId="0A978F93">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val="en-US" w:eastAsia="zh-CN"/>
              </w:rPr>
              <w:t>贵州钟山野马寨热电</w:t>
            </w:r>
            <w:r>
              <w:rPr>
                <w:rFonts w:hint="eastAsia" w:ascii="宋体" w:hAnsi="宋体" w:eastAsia="宋体" w:cs="宋体"/>
                <w:color w:val="000000"/>
                <w:kern w:val="0"/>
                <w:sz w:val="21"/>
                <w:szCs w:val="21"/>
              </w:rPr>
              <w:t>有限责任公司</w:t>
            </w:r>
          </w:p>
        </w:tc>
        <w:tc>
          <w:tcPr>
            <w:tcW w:w="1574" w:type="dxa"/>
            <w:tcBorders>
              <w:top w:val="single" w:color="000000" w:sz="4" w:space="0"/>
              <w:left w:val="single" w:color="000000" w:sz="4" w:space="0"/>
              <w:bottom w:val="single" w:color="000000" w:sz="4" w:space="0"/>
              <w:right w:val="single" w:color="000000" w:sz="4" w:space="0"/>
            </w:tcBorders>
            <w:vAlign w:val="center"/>
          </w:tcPr>
          <w:p w14:paraId="538CAE56">
            <w:pPr>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sz w:val="21"/>
                <w:szCs w:val="21"/>
              </w:rPr>
            </w:pPr>
          </w:p>
        </w:tc>
        <w:tc>
          <w:tcPr>
            <w:tcW w:w="1446" w:type="dxa"/>
            <w:tcBorders>
              <w:top w:val="single" w:color="000000" w:sz="4" w:space="0"/>
              <w:left w:val="single" w:color="000000" w:sz="4" w:space="0"/>
              <w:bottom w:val="single" w:color="000000" w:sz="4" w:space="0"/>
              <w:right w:val="single" w:color="000000" w:sz="4" w:space="0"/>
            </w:tcBorders>
            <w:vAlign w:val="center"/>
          </w:tcPr>
          <w:p w14:paraId="482DBE33">
            <w:pPr>
              <w:keepNext w:val="0"/>
              <w:keepLines w:val="0"/>
              <w:pageBreakBefore w:val="0"/>
              <w:kinsoku/>
              <w:wordWrap/>
              <w:overflowPunct/>
              <w:topLinePunct w:val="0"/>
              <w:autoSpaceDE/>
              <w:autoSpaceDN/>
              <w:bidi w:val="0"/>
              <w:adjustRightInd/>
              <w:snapToGrid/>
              <w:spacing w:line="240" w:lineRule="auto"/>
              <w:ind w:left="0" w:leftChars="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省内</w:t>
            </w:r>
          </w:p>
        </w:tc>
        <w:tc>
          <w:tcPr>
            <w:tcW w:w="1739" w:type="dxa"/>
            <w:tcBorders>
              <w:top w:val="single" w:color="000000" w:sz="4" w:space="0"/>
              <w:left w:val="single" w:color="000000" w:sz="4" w:space="0"/>
              <w:bottom w:val="single" w:color="000000" w:sz="4" w:space="0"/>
              <w:right w:val="single" w:color="000000" w:sz="4" w:space="0"/>
            </w:tcBorders>
            <w:vAlign w:val="center"/>
          </w:tcPr>
          <w:p w14:paraId="090E7E73">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rPr>
              <w:t>贵州钟山野马寨热电</w:t>
            </w:r>
            <w:r>
              <w:rPr>
                <w:rFonts w:hint="eastAsia" w:ascii="宋体" w:hAnsi="宋体" w:eastAsia="宋体" w:cs="宋体"/>
                <w:color w:val="000000"/>
                <w:kern w:val="0"/>
                <w:sz w:val="21"/>
                <w:szCs w:val="21"/>
              </w:rPr>
              <w:t>有限责任公司</w:t>
            </w:r>
          </w:p>
        </w:tc>
        <w:tc>
          <w:tcPr>
            <w:tcW w:w="2012" w:type="dxa"/>
            <w:tcBorders>
              <w:top w:val="single" w:color="000000" w:sz="4" w:space="0"/>
              <w:left w:val="single" w:color="000000" w:sz="4" w:space="0"/>
              <w:bottom w:val="single" w:color="000000" w:sz="4" w:space="0"/>
              <w:right w:val="single" w:color="000000" w:sz="4" w:space="0"/>
            </w:tcBorders>
            <w:noWrap/>
            <w:vAlign w:val="center"/>
          </w:tcPr>
          <w:p w14:paraId="05ECC823">
            <w:pPr>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kern w:val="0"/>
                <w:sz w:val="21"/>
                <w:szCs w:val="21"/>
              </w:rPr>
            </w:pPr>
            <w:r>
              <w:rPr>
                <w:rFonts w:hint="eastAsia" w:ascii="宋体" w:hAnsi="宋体" w:eastAsia="宋体" w:cs="宋体"/>
                <w:kern w:val="0"/>
                <w:sz w:val="21"/>
                <w:szCs w:val="21"/>
              </w:rPr>
              <w:t>202</w:t>
            </w:r>
            <w:r>
              <w:rPr>
                <w:rFonts w:hint="eastAsia" w:ascii="宋体" w:hAnsi="宋体" w:cs="宋体"/>
                <w:kern w:val="0"/>
                <w:sz w:val="21"/>
                <w:szCs w:val="21"/>
                <w:lang w:val="en-US" w:eastAsia="zh-CN"/>
              </w:rPr>
              <w:t>5</w:t>
            </w:r>
            <w:r>
              <w:rPr>
                <w:rFonts w:hint="eastAsia" w:ascii="宋体" w:hAnsi="宋体" w:eastAsia="宋体" w:cs="宋体"/>
                <w:kern w:val="0"/>
                <w:sz w:val="21"/>
                <w:szCs w:val="21"/>
              </w:rPr>
              <w:t>年</w:t>
            </w:r>
            <w:r>
              <w:rPr>
                <w:rFonts w:hint="eastAsia" w:ascii="宋体" w:hAnsi="宋体" w:cs="宋体"/>
                <w:kern w:val="0"/>
                <w:sz w:val="21"/>
                <w:szCs w:val="21"/>
                <w:lang w:val="en-US" w:eastAsia="zh-CN"/>
              </w:rPr>
              <w:t>XX</w:t>
            </w:r>
            <w:r>
              <w:rPr>
                <w:rFonts w:hint="eastAsia" w:ascii="宋体" w:hAnsi="宋体" w:eastAsia="宋体" w:cs="宋体"/>
                <w:kern w:val="0"/>
                <w:sz w:val="21"/>
                <w:szCs w:val="21"/>
              </w:rPr>
              <w:t>月</w:t>
            </w:r>
            <w:r>
              <w:rPr>
                <w:rFonts w:hint="eastAsia" w:ascii="宋体" w:hAnsi="宋体" w:cs="宋体"/>
                <w:kern w:val="0"/>
                <w:sz w:val="21"/>
                <w:szCs w:val="21"/>
                <w:lang w:val="en-US" w:eastAsia="zh-CN"/>
              </w:rPr>
              <w:t>XX</w:t>
            </w:r>
            <w:r>
              <w:rPr>
                <w:rFonts w:hint="eastAsia" w:ascii="宋体" w:hAnsi="宋体" w:eastAsia="宋体" w:cs="宋体"/>
                <w:kern w:val="0"/>
                <w:sz w:val="21"/>
                <w:szCs w:val="21"/>
              </w:rPr>
              <w:t xml:space="preserve"> 日-</w:t>
            </w:r>
          </w:p>
          <w:p w14:paraId="5A9E8660">
            <w:pPr>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sz w:val="21"/>
                <w:szCs w:val="21"/>
              </w:rPr>
            </w:pPr>
            <w:r>
              <w:rPr>
                <w:rFonts w:hint="eastAsia" w:ascii="宋体" w:hAnsi="宋体" w:eastAsia="宋体" w:cs="宋体"/>
                <w:kern w:val="0"/>
                <w:sz w:val="21"/>
                <w:szCs w:val="21"/>
              </w:rPr>
              <w:t>202</w:t>
            </w:r>
            <w:r>
              <w:rPr>
                <w:rFonts w:hint="eastAsia" w:ascii="宋体" w:hAnsi="宋体" w:cs="宋体"/>
                <w:kern w:val="0"/>
                <w:sz w:val="21"/>
                <w:szCs w:val="21"/>
                <w:lang w:val="en-US" w:eastAsia="zh-CN"/>
              </w:rPr>
              <w:t>5</w:t>
            </w:r>
            <w:r>
              <w:rPr>
                <w:rFonts w:hint="eastAsia" w:ascii="宋体" w:hAnsi="宋体" w:eastAsia="宋体" w:cs="宋体"/>
                <w:kern w:val="0"/>
                <w:sz w:val="21"/>
                <w:szCs w:val="21"/>
              </w:rPr>
              <w:t>年</w:t>
            </w:r>
            <w:r>
              <w:rPr>
                <w:rFonts w:hint="eastAsia" w:ascii="宋体" w:hAnsi="宋体" w:cs="宋体"/>
                <w:kern w:val="0"/>
                <w:sz w:val="21"/>
                <w:szCs w:val="21"/>
                <w:lang w:val="en-US" w:eastAsia="zh-CN"/>
              </w:rPr>
              <w:t>XX</w:t>
            </w:r>
            <w:r>
              <w:rPr>
                <w:rFonts w:hint="eastAsia" w:ascii="宋体" w:hAnsi="宋体" w:eastAsia="宋体" w:cs="宋体"/>
                <w:kern w:val="0"/>
                <w:sz w:val="21"/>
                <w:szCs w:val="21"/>
              </w:rPr>
              <w:t xml:space="preserve"> 月</w:t>
            </w:r>
            <w:r>
              <w:rPr>
                <w:rFonts w:hint="eastAsia" w:ascii="宋体" w:hAnsi="宋体" w:cs="宋体"/>
                <w:kern w:val="0"/>
                <w:sz w:val="21"/>
                <w:szCs w:val="21"/>
                <w:lang w:val="en-US" w:eastAsia="zh-CN"/>
              </w:rPr>
              <w:t>XX</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日</w:t>
            </w:r>
          </w:p>
        </w:tc>
        <w:tc>
          <w:tcPr>
            <w:tcW w:w="1363" w:type="dxa"/>
            <w:tcBorders>
              <w:top w:val="single" w:color="000000" w:sz="4" w:space="0"/>
              <w:left w:val="single" w:color="000000" w:sz="4" w:space="0"/>
              <w:bottom w:val="single" w:color="000000" w:sz="4" w:space="0"/>
              <w:right w:val="single" w:color="000000" w:sz="4" w:space="0"/>
            </w:tcBorders>
            <w:noWrap/>
            <w:vAlign w:val="center"/>
          </w:tcPr>
          <w:p w14:paraId="5E3318C2">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rPr>
              <w:t>XX</w:t>
            </w:r>
            <w:r>
              <w:rPr>
                <w:rFonts w:hint="eastAsia" w:ascii="宋体" w:hAnsi="宋体" w:cs="宋体"/>
                <w:color w:val="000000"/>
                <w:sz w:val="21"/>
                <w:szCs w:val="21"/>
                <w:lang w:val="en-US" w:eastAsia="zh-CN"/>
              </w:rPr>
              <w:t>XX</w:t>
            </w:r>
          </w:p>
        </w:tc>
      </w:tr>
    </w:tbl>
    <w:p w14:paraId="209B67E7">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eastAsia="zh-CN"/>
        </w:rPr>
        <w:t>（</w:t>
      </w:r>
      <w:r>
        <w:rPr>
          <w:rFonts w:hint="eastAsia" w:ascii="宋体" w:hAnsi="宋体" w:cs="宋体"/>
          <w:color w:val="000000"/>
          <w:kern w:val="0"/>
          <w:sz w:val="21"/>
          <w:szCs w:val="21"/>
          <w:lang w:val="en-US" w:eastAsia="zh-CN"/>
        </w:rPr>
        <w:t>三</w:t>
      </w:r>
      <w:r>
        <w:rPr>
          <w:rFonts w:hint="eastAsia" w:ascii="宋体" w:hAnsi="宋体" w:cs="宋体"/>
          <w:color w:val="000000"/>
          <w:kern w:val="0"/>
          <w:sz w:val="21"/>
          <w:szCs w:val="21"/>
          <w:lang w:eastAsia="zh-CN"/>
        </w:rPr>
        <w:t>）</w:t>
      </w:r>
      <w:r>
        <w:rPr>
          <w:rFonts w:hint="eastAsia" w:ascii="宋体" w:hAnsi="宋体" w:eastAsia="宋体" w:cs="宋体"/>
          <w:color w:val="000000"/>
          <w:kern w:val="0"/>
          <w:sz w:val="21"/>
          <w:szCs w:val="21"/>
        </w:rPr>
        <w:t>品种规格及质量要求</w:t>
      </w:r>
    </w:p>
    <w:p w14:paraId="2C05FBAE">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sz w:val="21"/>
          <w:szCs w:val="21"/>
        </w:rPr>
      </w:pPr>
      <w:r>
        <w:rPr>
          <w:rFonts w:hint="eastAsia" w:ascii="宋体" w:hAnsi="宋体" w:cs="宋体"/>
          <w:color w:val="000000"/>
          <w:kern w:val="0"/>
          <w:sz w:val="21"/>
          <w:szCs w:val="21"/>
          <w:lang w:val="en-US" w:eastAsia="zh-CN"/>
        </w:rPr>
        <w:t>1.</w:t>
      </w:r>
      <w:r>
        <w:rPr>
          <w:rFonts w:hint="eastAsia" w:ascii="宋体" w:hAnsi="宋体" w:eastAsia="宋体" w:cs="宋体"/>
          <w:color w:val="000000"/>
          <w:kern w:val="0"/>
          <w:sz w:val="21"/>
          <w:szCs w:val="21"/>
        </w:rPr>
        <w:t>乙方所供燃煤需满足本合同相关条款要求，同时所供燃煤中不得含有任何对卸输煤设施、燃煤制粉系统及燃煤设备造成意外损坏的物质，由此造成的相应损失由乙方承担。</w:t>
      </w:r>
    </w:p>
    <w:tbl>
      <w:tblPr>
        <w:tblStyle w:val="35"/>
        <w:tblW w:w="10016" w:type="dxa"/>
        <w:jc w:val="center"/>
        <w:tblLayout w:type="fixed"/>
        <w:tblCellMar>
          <w:top w:w="0" w:type="dxa"/>
          <w:left w:w="108" w:type="dxa"/>
          <w:bottom w:w="0" w:type="dxa"/>
          <w:right w:w="108" w:type="dxa"/>
        </w:tblCellMar>
      </w:tblPr>
      <w:tblGrid>
        <w:gridCol w:w="1008"/>
        <w:gridCol w:w="2496"/>
        <w:gridCol w:w="1304"/>
        <w:gridCol w:w="3109"/>
        <w:gridCol w:w="1232"/>
        <w:gridCol w:w="867"/>
      </w:tblGrid>
      <w:tr w14:paraId="0621B34A">
        <w:tblPrEx>
          <w:tblCellMar>
            <w:top w:w="0" w:type="dxa"/>
            <w:left w:w="108" w:type="dxa"/>
            <w:bottom w:w="0" w:type="dxa"/>
            <w:right w:w="108" w:type="dxa"/>
          </w:tblCellMar>
        </w:tblPrEx>
        <w:trPr>
          <w:trHeight w:val="800" w:hRule="atLeast"/>
          <w:jc w:val="center"/>
        </w:trPr>
        <w:tc>
          <w:tcPr>
            <w:tcW w:w="1008" w:type="dxa"/>
            <w:tcBorders>
              <w:top w:val="single" w:color="000000" w:sz="4" w:space="0"/>
              <w:left w:val="single" w:color="000000" w:sz="4" w:space="0"/>
              <w:bottom w:val="single" w:color="000000" w:sz="4" w:space="0"/>
              <w:right w:val="single" w:color="000000" w:sz="4" w:space="0"/>
            </w:tcBorders>
            <w:noWrap/>
            <w:vAlign w:val="center"/>
          </w:tcPr>
          <w:p w14:paraId="54E3A297">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rPr>
              <w:t>品种/煤种</w:t>
            </w:r>
          </w:p>
        </w:tc>
        <w:tc>
          <w:tcPr>
            <w:tcW w:w="2496" w:type="dxa"/>
            <w:tcBorders>
              <w:top w:val="single" w:color="000000" w:sz="4" w:space="0"/>
              <w:left w:val="single" w:color="000000" w:sz="4" w:space="0"/>
              <w:bottom w:val="single" w:color="000000" w:sz="4" w:space="0"/>
              <w:right w:val="single" w:color="000000" w:sz="4" w:space="0"/>
            </w:tcBorders>
            <w:vAlign w:val="center"/>
          </w:tcPr>
          <w:p w14:paraId="0F168D7B">
            <w:pPr>
              <w:keepNext w:val="0"/>
              <w:keepLines w:val="0"/>
              <w:pageBreakBefore w:val="0"/>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jc w:val="center"/>
              <w:rPr>
                <w:rFonts w:hint="eastAsia" w:ascii="宋体" w:hAnsi="宋体" w:eastAsia="宋体" w:cs="宋体"/>
                <w:b/>
                <w:bCs/>
                <w:sz w:val="21"/>
                <w:szCs w:val="21"/>
              </w:rPr>
            </w:pPr>
            <w:r>
              <w:rPr>
                <w:rFonts w:hint="eastAsia" w:ascii="宋体" w:hAnsi="宋体" w:eastAsia="宋体" w:cs="宋体"/>
                <w:b/>
                <w:bCs/>
                <w:sz w:val="21"/>
                <w:szCs w:val="21"/>
              </w:rPr>
              <w:t>发热量</w:t>
            </w:r>
          </w:p>
          <w:p w14:paraId="3572650F">
            <w:pPr>
              <w:keepNext w:val="0"/>
              <w:keepLines w:val="0"/>
              <w:pageBreakBefore w:val="0"/>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jc w:val="center"/>
              <w:rPr>
                <w:rFonts w:hint="eastAsia" w:ascii="宋体" w:hAnsi="宋体" w:eastAsia="宋体" w:cs="宋体"/>
                <w:b/>
                <w:bCs/>
                <w:color w:val="000000"/>
                <w:sz w:val="21"/>
                <w:szCs w:val="21"/>
              </w:rPr>
            </w:pPr>
            <w:r>
              <w:rPr>
                <w:rFonts w:hint="eastAsia" w:ascii="宋体" w:hAnsi="宋体" w:eastAsia="宋体" w:cs="宋体"/>
                <w:b/>
                <w:bCs/>
                <w:sz w:val="21"/>
                <w:szCs w:val="21"/>
              </w:rPr>
              <w:t>Qnet,ar(kcal/kg)</w:t>
            </w:r>
          </w:p>
        </w:tc>
        <w:tc>
          <w:tcPr>
            <w:tcW w:w="1304" w:type="dxa"/>
            <w:tcBorders>
              <w:top w:val="single" w:color="000000" w:sz="4" w:space="0"/>
              <w:left w:val="single" w:color="000000" w:sz="4" w:space="0"/>
              <w:bottom w:val="single" w:color="000000" w:sz="4" w:space="0"/>
              <w:right w:val="single" w:color="000000" w:sz="4" w:space="0"/>
            </w:tcBorders>
            <w:noWrap/>
            <w:vAlign w:val="center"/>
          </w:tcPr>
          <w:p w14:paraId="56D06402">
            <w:pPr>
              <w:keepNext w:val="0"/>
              <w:keepLines w:val="0"/>
              <w:pageBreakBefore w:val="0"/>
              <w:widowControl/>
              <w:kinsoku/>
              <w:wordWrap/>
              <w:overflowPunct/>
              <w:topLinePunct w:val="0"/>
              <w:autoSpaceDE/>
              <w:autoSpaceDN/>
              <w:bidi w:val="0"/>
              <w:adjustRightInd/>
              <w:snapToGrid/>
              <w:spacing w:line="240" w:lineRule="auto"/>
              <w:ind w:left="0" w:leftChars="0"/>
              <w:jc w:val="center"/>
              <w:rPr>
                <w:rFonts w:hint="eastAsia" w:ascii="宋体" w:hAnsi="宋体" w:eastAsia="宋体" w:cs="宋体"/>
                <w:b/>
                <w:bCs/>
                <w:sz w:val="21"/>
                <w:szCs w:val="21"/>
              </w:rPr>
            </w:pPr>
            <w:r>
              <w:rPr>
                <w:rFonts w:hint="eastAsia" w:ascii="宋体" w:hAnsi="宋体" w:eastAsia="宋体" w:cs="宋体"/>
                <w:b/>
                <w:bCs/>
                <w:sz w:val="21"/>
                <w:szCs w:val="21"/>
              </w:rPr>
              <w:t>全水</w:t>
            </w:r>
          </w:p>
          <w:p w14:paraId="3616D835">
            <w:pPr>
              <w:keepNext w:val="0"/>
              <w:keepLines w:val="0"/>
              <w:pageBreakBefore w:val="0"/>
              <w:widowControl/>
              <w:kinsoku/>
              <w:wordWrap/>
              <w:overflowPunct/>
              <w:topLinePunct w:val="0"/>
              <w:autoSpaceDE/>
              <w:autoSpaceDN/>
              <w:bidi w:val="0"/>
              <w:adjustRightInd/>
              <w:snapToGrid/>
              <w:spacing w:line="240" w:lineRule="auto"/>
              <w:ind w:left="0" w:leftChars="0"/>
              <w:jc w:val="center"/>
              <w:rPr>
                <w:rFonts w:hint="eastAsia" w:ascii="宋体" w:hAnsi="宋体" w:eastAsia="宋体" w:cs="宋体"/>
                <w:b/>
                <w:bCs/>
                <w:color w:val="000000"/>
                <w:sz w:val="21"/>
                <w:szCs w:val="21"/>
              </w:rPr>
            </w:pPr>
            <w:r>
              <w:rPr>
                <w:rFonts w:hint="eastAsia" w:ascii="宋体" w:hAnsi="宋体" w:eastAsia="宋体" w:cs="宋体"/>
                <w:b/>
                <w:bCs/>
                <w:sz w:val="21"/>
                <w:szCs w:val="21"/>
              </w:rPr>
              <w:t>Mt(%)</w:t>
            </w:r>
          </w:p>
        </w:tc>
        <w:tc>
          <w:tcPr>
            <w:tcW w:w="3109" w:type="dxa"/>
            <w:tcBorders>
              <w:top w:val="single" w:color="000000" w:sz="4" w:space="0"/>
              <w:left w:val="single" w:color="000000" w:sz="4" w:space="0"/>
              <w:bottom w:val="single" w:color="000000" w:sz="4" w:space="0"/>
              <w:right w:val="single" w:color="000000" w:sz="4" w:space="0"/>
            </w:tcBorders>
            <w:noWrap/>
            <w:vAlign w:val="center"/>
          </w:tcPr>
          <w:p w14:paraId="0FCE16F0">
            <w:pPr>
              <w:keepNext w:val="0"/>
              <w:keepLines w:val="0"/>
              <w:pageBreakBefore w:val="0"/>
              <w:widowControl/>
              <w:kinsoku/>
              <w:wordWrap/>
              <w:overflowPunct/>
              <w:topLinePunct w:val="0"/>
              <w:autoSpaceDE/>
              <w:autoSpaceDN/>
              <w:bidi w:val="0"/>
              <w:adjustRightInd/>
              <w:snapToGrid/>
              <w:spacing w:line="240" w:lineRule="auto"/>
              <w:ind w:left="0" w:leftChars="0"/>
              <w:jc w:val="center"/>
              <w:rPr>
                <w:rFonts w:hint="eastAsia" w:ascii="宋体" w:hAnsi="宋体" w:eastAsia="宋体" w:cs="宋体"/>
                <w:b/>
                <w:bCs/>
                <w:sz w:val="21"/>
                <w:szCs w:val="21"/>
              </w:rPr>
            </w:pPr>
            <w:r>
              <w:rPr>
                <w:rFonts w:hint="eastAsia" w:ascii="宋体" w:hAnsi="宋体" w:eastAsia="宋体" w:cs="宋体"/>
                <w:b/>
                <w:bCs/>
                <w:sz w:val="21"/>
                <w:szCs w:val="21"/>
              </w:rPr>
              <w:t>挥发分</w:t>
            </w:r>
          </w:p>
          <w:p w14:paraId="2C63455A">
            <w:pPr>
              <w:keepNext w:val="0"/>
              <w:keepLines w:val="0"/>
              <w:pageBreakBefore w:val="0"/>
              <w:widowControl/>
              <w:kinsoku/>
              <w:wordWrap/>
              <w:overflowPunct/>
              <w:topLinePunct w:val="0"/>
              <w:autoSpaceDE/>
              <w:autoSpaceDN/>
              <w:bidi w:val="0"/>
              <w:adjustRightInd/>
              <w:snapToGrid/>
              <w:spacing w:line="240" w:lineRule="auto"/>
              <w:ind w:left="0" w:leftChars="0"/>
              <w:jc w:val="center"/>
              <w:rPr>
                <w:rFonts w:hint="eastAsia" w:ascii="宋体" w:hAnsi="宋体" w:eastAsia="宋体" w:cs="宋体"/>
                <w:b/>
                <w:bCs/>
                <w:color w:val="000000"/>
                <w:sz w:val="21"/>
                <w:szCs w:val="21"/>
              </w:rPr>
            </w:pPr>
            <w:r>
              <w:rPr>
                <w:rFonts w:hint="eastAsia" w:ascii="宋体" w:hAnsi="宋体" w:eastAsia="宋体" w:cs="宋体"/>
                <w:b/>
                <w:bCs/>
                <w:sz w:val="21"/>
                <w:szCs w:val="21"/>
              </w:rPr>
              <w:t>Var(%)</w:t>
            </w:r>
          </w:p>
        </w:tc>
        <w:tc>
          <w:tcPr>
            <w:tcW w:w="1232" w:type="dxa"/>
            <w:tcBorders>
              <w:top w:val="single" w:color="000000" w:sz="4" w:space="0"/>
              <w:left w:val="single" w:color="000000" w:sz="4" w:space="0"/>
              <w:bottom w:val="single" w:color="000000" w:sz="4" w:space="0"/>
              <w:right w:val="single" w:color="000000" w:sz="4" w:space="0"/>
            </w:tcBorders>
            <w:noWrap/>
            <w:vAlign w:val="center"/>
          </w:tcPr>
          <w:p w14:paraId="4A1DA44D">
            <w:pPr>
              <w:keepNext w:val="0"/>
              <w:keepLines w:val="0"/>
              <w:pageBreakBefore w:val="0"/>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jc w:val="center"/>
              <w:rPr>
                <w:rFonts w:hint="eastAsia" w:ascii="宋体" w:hAnsi="宋体" w:eastAsia="宋体" w:cs="宋体"/>
                <w:b/>
                <w:bCs/>
                <w:sz w:val="21"/>
                <w:szCs w:val="21"/>
              </w:rPr>
            </w:pPr>
            <w:r>
              <w:rPr>
                <w:rFonts w:hint="eastAsia" w:ascii="宋体" w:hAnsi="宋体" w:eastAsia="宋体" w:cs="宋体"/>
                <w:b/>
                <w:bCs/>
                <w:sz w:val="21"/>
                <w:szCs w:val="21"/>
              </w:rPr>
              <w:t>硫分</w:t>
            </w:r>
          </w:p>
          <w:p w14:paraId="3B6DCE64">
            <w:pPr>
              <w:keepNext w:val="0"/>
              <w:keepLines w:val="0"/>
              <w:pageBreakBefore w:val="0"/>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jc w:val="center"/>
              <w:rPr>
                <w:rFonts w:hint="eastAsia" w:ascii="宋体" w:hAnsi="宋体" w:eastAsia="宋体" w:cs="宋体"/>
                <w:b/>
                <w:bCs/>
                <w:color w:val="000000"/>
                <w:sz w:val="21"/>
                <w:szCs w:val="21"/>
              </w:rPr>
            </w:pPr>
            <w:r>
              <w:rPr>
                <w:rFonts w:hint="eastAsia" w:ascii="宋体" w:hAnsi="宋体" w:eastAsia="宋体" w:cs="宋体"/>
                <w:b/>
                <w:bCs/>
                <w:sz w:val="21"/>
                <w:szCs w:val="21"/>
              </w:rPr>
              <w:t>St,d(%)</w:t>
            </w:r>
          </w:p>
        </w:tc>
        <w:tc>
          <w:tcPr>
            <w:tcW w:w="867" w:type="dxa"/>
            <w:tcBorders>
              <w:top w:val="single" w:color="000000" w:sz="4" w:space="0"/>
              <w:left w:val="single" w:color="000000" w:sz="4" w:space="0"/>
              <w:bottom w:val="single" w:color="000000" w:sz="4" w:space="0"/>
              <w:right w:val="single" w:color="000000" w:sz="4" w:space="0"/>
            </w:tcBorders>
            <w:noWrap/>
            <w:vAlign w:val="center"/>
          </w:tcPr>
          <w:p w14:paraId="3FB5B3B2">
            <w:pPr>
              <w:keepNext w:val="0"/>
              <w:keepLines w:val="0"/>
              <w:pageBreakBefore w:val="0"/>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jc w:val="center"/>
              <w:rPr>
                <w:rFonts w:hint="eastAsia" w:ascii="宋体" w:hAnsi="宋体" w:eastAsia="宋体" w:cs="宋体"/>
                <w:b/>
                <w:bCs/>
                <w:sz w:val="21"/>
                <w:szCs w:val="21"/>
              </w:rPr>
            </w:pPr>
            <w:r>
              <w:rPr>
                <w:rFonts w:hint="eastAsia" w:ascii="宋体" w:hAnsi="宋体" w:eastAsia="宋体" w:cs="宋体"/>
                <w:b/>
                <w:bCs/>
                <w:sz w:val="21"/>
                <w:szCs w:val="21"/>
              </w:rPr>
              <w:t>粒度（mm）</w:t>
            </w:r>
          </w:p>
        </w:tc>
      </w:tr>
      <w:tr w14:paraId="72AEB4FA">
        <w:tblPrEx>
          <w:tblCellMar>
            <w:top w:w="0" w:type="dxa"/>
            <w:left w:w="108" w:type="dxa"/>
            <w:bottom w:w="0" w:type="dxa"/>
            <w:right w:w="108" w:type="dxa"/>
          </w:tblCellMar>
        </w:tblPrEx>
        <w:trPr>
          <w:trHeight w:val="400" w:hRule="atLeast"/>
          <w:jc w:val="center"/>
        </w:trPr>
        <w:tc>
          <w:tcPr>
            <w:tcW w:w="1008" w:type="dxa"/>
            <w:tcBorders>
              <w:top w:val="single" w:color="000000" w:sz="4" w:space="0"/>
              <w:left w:val="single" w:color="000000" w:sz="4" w:space="0"/>
              <w:bottom w:val="single" w:color="000000" w:sz="4" w:space="0"/>
              <w:right w:val="single" w:color="000000" w:sz="4" w:space="0"/>
            </w:tcBorders>
            <w:noWrap/>
            <w:vAlign w:val="center"/>
          </w:tcPr>
          <w:p w14:paraId="0275D496">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烟煤</w:t>
            </w:r>
          </w:p>
        </w:tc>
        <w:tc>
          <w:tcPr>
            <w:tcW w:w="2496" w:type="dxa"/>
            <w:tcBorders>
              <w:top w:val="single" w:color="000000" w:sz="4" w:space="0"/>
              <w:left w:val="single" w:color="000000" w:sz="4" w:space="0"/>
              <w:bottom w:val="single" w:color="000000" w:sz="4" w:space="0"/>
              <w:right w:val="single" w:color="000000" w:sz="4" w:space="0"/>
            </w:tcBorders>
            <w:noWrap/>
            <w:vAlign w:val="center"/>
          </w:tcPr>
          <w:p w14:paraId="0A32DE16">
            <w:pPr>
              <w:keepNext w:val="0"/>
              <w:keepLines w:val="0"/>
              <w:pageBreakBefore w:val="0"/>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jc w:val="center"/>
              <w:rPr>
                <w:rFonts w:hint="default" w:ascii="宋体" w:hAnsi="宋体" w:eastAsia="宋体" w:cs="宋体"/>
                <w:color w:val="000000"/>
                <w:sz w:val="21"/>
                <w:szCs w:val="21"/>
                <w:lang w:val="en-US"/>
              </w:rPr>
            </w:pPr>
            <w:r>
              <w:rPr>
                <w:rFonts w:hint="eastAsia" w:ascii="宋体" w:hAnsi="宋体" w:eastAsia="宋体" w:cs="宋体"/>
                <w:sz w:val="21"/>
                <w:szCs w:val="21"/>
              </w:rPr>
              <w:t>≥</w:t>
            </w:r>
            <w:r>
              <w:rPr>
                <w:rFonts w:hint="eastAsia" w:ascii="宋体" w:hAnsi="宋体" w:cs="宋体"/>
                <w:sz w:val="21"/>
                <w:szCs w:val="21"/>
                <w:lang w:val="en-US" w:eastAsia="zh-CN"/>
              </w:rPr>
              <w:t>3000</w:t>
            </w:r>
          </w:p>
        </w:tc>
        <w:tc>
          <w:tcPr>
            <w:tcW w:w="1304" w:type="dxa"/>
            <w:tcBorders>
              <w:top w:val="single" w:color="000000" w:sz="4" w:space="0"/>
              <w:left w:val="single" w:color="000000" w:sz="4" w:space="0"/>
              <w:bottom w:val="single" w:color="000000" w:sz="4" w:space="0"/>
              <w:right w:val="single" w:color="000000" w:sz="4" w:space="0"/>
            </w:tcBorders>
            <w:noWrap/>
            <w:vAlign w:val="center"/>
          </w:tcPr>
          <w:p w14:paraId="2AF347C0">
            <w:pPr>
              <w:keepNext w:val="0"/>
              <w:keepLines w:val="0"/>
              <w:pageBreakBefore w:val="0"/>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jc w:val="center"/>
              <w:rPr>
                <w:rFonts w:hint="eastAsia" w:ascii="宋体" w:hAnsi="宋体" w:eastAsia="宋体" w:cs="宋体"/>
                <w:color w:val="000000"/>
                <w:sz w:val="21"/>
                <w:szCs w:val="21"/>
                <w:lang w:val="en-US" w:eastAsia="zh-CN"/>
              </w:rPr>
            </w:pPr>
            <w:r>
              <w:rPr>
                <w:rFonts w:hint="eastAsia" w:ascii="宋体" w:hAnsi="宋体" w:eastAsia="宋体" w:cs="宋体"/>
                <w:sz w:val="21"/>
                <w:szCs w:val="21"/>
              </w:rPr>
              <w:t>≤15.0</w:t>
            </w:r>
            <w:r>
              <w:rPr>
                <w:rFonts w:hint="eastAsia" w:ascii="宋体" w:hAnsi="宋体" w:eastAsia="宋体" w:cs="宋体"/>
                <w:sz w:val="21"/>
                <w:szCs w:val="21"/>
                <w:lang w:val="en-US" w:eastAsia="zh-CN"/>
              </w:rPr>
              <w:t>0</w:t>
            </w:r>
          </w:p>
        </w:tc>
        <w:tc>
          <w:tcPr>
            <w:tcW w:w="3109" w:type="dxa"/>
            <w:tcBorders>
              <w:top w:val="single" w:color="000000" w:sz="4" w:space="0"/>
              <w:left w:val="single" w:color="000000" w:sz="4" w:space="0"/>
              <w:bottom w:val="single" w:color="000000" w:sz="4" w:space="0"/>
              <w:right w:val="single" w:color="000000" w:sz="4" w:space="0"/>
            </w:tcBorders>
            <w:noWrap/>
            <w:vAlign w:val="center"/>
          </w:tcPr>
          <w:p w14:paraId="1E787F52">
            <w:pPr>
              <w:keepNext w:val="0"/>
              <w:keepLines w:val="0"/>
              <w:pageBreakBefore w:val="0"/>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jc w:val="center"/>
              <w:rPr>
                <w:rFonts w:hint="eastAsia" w:ascii="宋体" w:hAnsi="宋体" w:eastAsia="宋体" w:cs="宋体"/>
                <w:color w:val="000000"/>
                <w:sz w:val="21"/>
                <w:szCs w:val="21"/>
                <w:lang w:eastAsia="zh-CN"/>
              </w:rPr>
            </w:pPr>
            <w:r>
              <w:rPr>
                <w:rFonts w:hint="eastAsia" w:ascii="宋体" w:hAnsi="宋体" w:cs="宋体"/>
                <w:sz w:val="21"/>
                <w:szCs w:val="21"/>
                <w:lang w:eastAsia="zh-CN"/>
              </w:rPr>
              <w:t>13.00≤Var(%)≤25.00</w:t>
            </w:r>
          </w:p>
        </w:tc>
        <w:tc>
          <w:tcPr>
            <w:tcW w:w="1232" w:type="dxa"/>
            <w:tcBorders>
              <w:top w:val="single" w:color="000000" w:sz="4" w:space="0"/>
              <w:left w:val="single" w:color="000000" w:sz="4" w:space="0"/>
              <w:bottom w:val="single" w:color="000000" w:sz="4" w:space="0"/>
              <w:right w:val="single" w:color="000000" w:sz="4" w:space="0"/>
            </w:tcBorders>
            <w:noWrap/>
            <w:vAlign w:val="center"/>
          </w:tcPr>
          <w:p w14:paraId="0AC17783">
            <w:pPr>
              <w:keepNext w:val="0"/>
              <w:keepLines w:val="0"/>
              <w:pageBreakBefore w:val="0"/>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jc w:val="center"/>
              <w:rPr>
                <w:rFonts w:hint="eastAsia" w:ascii="宋体" w:hAnsi="宋体" w:eastAsia="宋体" w:cs="宋体"/>
                <w:color w:val="000000"/>
                <w:sz w:val="21"/>
                <w:szCs w:val="21"/>
              </w:rPr>
            </w:pPr>
            <w:r>
              <w:rPr>
                <w:rFonts w:hint="eastAsia" w:ascii="宋体" w:hAnsi="宋体" w:eastAsia="宋体" w:cs="宋体"/>
                <w:sz w:val="21"/>
                <w:szCs w:val="21"/>
              </w:rPr>
              <w:t>≤3.00</w:t>
            </w:r>
          </w:p>
        </w:tc>
        <w:tc>
          <w:tcPr>
            <w:tcW w:w="867" w:type="dxa"/>
            <w:tcBorders>
              <w:top w:val="single" w:color="000000" w:sz="4" w:space="0"/>
              <w:left w:val="single" w:color="000000" w:sz="4" w:space="0"/>
              <w:bottom w:val="single" w:color="000000" w:sz="4" w:space="0"/>
              <w:right w:val="single" w:color="000000" w:sz="4" w:space="0"/>
            </w:tcBorders>
            <w:noWrap/>
            <w:vAlign w:val="center"/>
          </w:tcPr>
          <w:p w14:paraId="3C693C28">
            <w:pPr>
              <w:keepNext w:val="0"/>
              <w:keepLines w:val="0"/>
              <w:pageBreakBefore w:val="0"/>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jc w:val="center"/>
              <w:rPr>
                <w:rFonts w:hint="eastAsia" w:ascii="宋体" w:hAnsi="宋体" w:eastAsia="宋体" w:cs="宋体"/>
                <w:sz w:val="21"/>
                <w:szCs w:val="21"/>
              </w:rPr>
            </w:pPr>
            <w:r>
              <w:rPr>
                <w:rFonts w:hint="eastAsia" w:ascii="宋体" w:hAnsi="宋体" w:eastAsia="宋体" w:cs="宋体"/>
                <w:sz w:val="21"/>
                <w:szCs w:val="21"/>
              </w:rPr>
              <w:t>≤50</w:t>
            </w:r>
          </w:p>
        </w:tc>
      </w:tr>
    </w:tbl>
    <w:p w14:paraId="7477A948">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val="en-US" w:eastAsia="zh-CN"/>
        </w:rPr>
        <w:t>2.</w:t>
      </w:r>
      <w:r>
        <w:rPr>
          <w:rFonts w:hint="eastAsia" w:ascii="宋体" w:hAnsi="宋体" w:eastAsia="宋体" w:cs="宋体"/>
          <w:color w:val="000000"/>
          <w:kern w:val="0"/>
          <w:sz w:val="21"/>
          <w:szCs w:val="21"/>
        </w:rPr>
        <w:t xml:space="preserve">供应燃煤达到下列条件之一,该批次燃煤不进入加权，单批次考核（一天到厂燃煤为一个批次）： </w:t>
      </w:r>
    </w:p>
    <w:p w14:paraId="69AFDAE0">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（1）乙方Qnet,ar收到基低位发热量＜</w:t>
      </w:r>
      <w:r>
        <w:rPr>
          <w:rFonts w:hint="eastAsia" w:ascii="宋体" w:hAnsi="宋体" w:cs="宋体"/>
          <w:color w:val="000000"/>
          <w:kern w:val="0"/>
          <w:sz w:val="21"/>
          <w:szCs w:val="21"/>
          <w:lang w:val="en-US" w:eastAsia="zh-CN"/>
        </w:rPr>
        <w:t>25</w:t>
      </w:r>
      <w:r>
        <w:rPr>
          <w:rFonts w:hint="eastAsia" w:ascii="宋体" w:hAnsi="宋体" w:eastAsia="宋体" w:cs="宋体"/>
          <w:color w:val="000000"/>
          <w:kern w:val="0"/>
          <w:sz w:val="21"/>
          <w:szCs w:val="21"/>
        </w:rPr>
        <w:t>00(kcal/kg）时；</w:t>
      </w:r>
    </w:p>
    <w:p w14:paraId="45DAA467">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（2）乙方来煤St,d＞5.00%时</w:t>
      </w:r>
      <w:r>
        <w:rPr>
          <w:rFonts w:hint="eastAsia" w:ascii="宋体" w:hAnsi="宋体" w:eastAsia="宋体" w:cs="宋体"/>
          <w:color w:val="000000"/>
          <w:kern w:val="0"/>
          <w:sz w:val="21"/>
          <w:szCs w:val="21"/>
          <w:lang w:eastAsia="zh-CN"/>
        </w:rPr>
        <w:t>。</w:t>
      </w:r>
    </w:p>
    <w:p w14:paraId="1B8F389A">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val="en-US" w:eastAsia="zh-CN"/>
        </w:rPr>
        <w:t>3.</w:t>
      </w:r>
      <w:r>
        <w:rPr>
          <w:rFonts w:hint="eastAsia" w:ascii="宋体" w:hAnsi="宋体" w:eastAsia="宋体" w:cs="宋体"/>
          <w:color w:val="000000"/>
          <w:kern w:val="0"/>
          <w:sz w:val="21"/>
          <w:szCs w:val="21"/>
        </w:rPr>
        <w:t>供应燃煤达到下列条件之一,甲方</w:t>
      </w:r>
      <w:r>
        <w:rPr>
          <w:rFonts w:hint="eastAsia" w:ascii="宋体" w:hAnsi="宋体" w:eastAsia="宋体" w:cs="宋体"/>
          <w:color w:val="000000"/>
          <w:kern w:val="0"/>
          <w:sz w:val="21"/>
          <w:szCs w:val="21"/>
          <w:lang w:val="en-US" w:eastAsia="zh-CN"/>
        </w:rPr>
        <w:t>按照</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lang w:val="en-US" w:eastAsia="zh-CN"/>
        </w:rPr>
        <w:t>贵州钟山野马寨热电有限责任公司入厂煤煤质异常及纠纷处理办法</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lang w:val="en-US" w:eastAsia="zh-CN"/>
        </w:rPr>
        <w:t>处理</w:t>
      </w:r>
      <w:r>
        <w:rPr>
          <w:rFonts w:hint="eastAsia" w:ascii="宋体" w:hAnsi="宋体" w:eastAsia="宋体" w:cs="宋体"/>
          <w:color w:val="000000"/>
          <w:kern w:val="0"/>
          <w:sz w:val="21"/>
          <w:szCs w:val="21"/>
        </w:rPr>
        <w:t>：</w:t>
      </w:r>
    </w:p>
    <w:p w14:paraId="60BCCBC1">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lang w:eastAsia="zh-CN"/>
        </w:rPr>
        <w:t>（</w:t>
      </w:r>
      <w:r>
        <w:rPr>
          <w:rFonts w:hint="eastAsia" w:ascii="宋体" w:hAnsi="宋体" w:cs="宋体"/>
          <w:color w:val="000000"/>
          <w:kern w:val="0"/>
          <w:sz w:val="21"/>
          <w:szCs w:val="21"/>
          <w:lang w:val="en-US" w:eastAsia="zh-CN"/>
        </w:rPr>
        <w:t>1</w:t>
      </w:r>
      <w:r>
        <w:rPr>
          <w:rFonts w:hint="eastAsia" w:ascii="宋体" w:hAnsi="宋体" w:cs="宋体"/>
          <w:color w:val="000000"/>
          <w:kern w:val="0"/>
          <w:sz w:val="21"/>
          <w:szCs w:val="21"/>
          <w:lang w:eastAsia="zh-CN"/>
        </w:rPr>
        <w:t>）</w:t>
      </w:r>
      <w:r>
        <w:rPr>
          <w:rFonts w:hint="eastAsia" w:ascii="宋体" w:hAnsi="宋体" w:eastAsia="宋体" w:cs="宋体"/>
          <w:color w:val="000000"/>
          <w:kern w:val="0"/>
          <w:sz w:val="21"/>
          <w:szCs w:val="21"/>
        </w:rPr>
        <w:t>在卸车过程中，验收人员应认真观察煤质，如果出现分 层、分段、上下混装、夹心、前后装不同煤种等情况(包括下层 水分含量明显高于上层),目测热值相差500大卡的视为异常</w:t>
      </w:r>
      <w:r>
        <w:rPr>
          <w:rFonts w:hint="eastAsia" w:ascii="宋体" w:hAnsi="宋体" w:eastAsia="宋体" w:cs="宋体"/>
          <w:color w:val="000000"/>
          <w:kern w:val="0"/>
          <w:sz w:val="21"/>
          <w:szCs w:val="21"/>
          <w:lang w:eastAsia="zh-CN"/>
        </w:rPr>
        <w:t>。</w:t>
      </w:r>
    </w:p>
    <w:p w14:paraId="257B09FE">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eastAsia="zh-CN"/>
        </w:rPr>
        <w:t>（</w:t>
      </w:r>
      <w:r>
        <w:rPr>
          <w:rFonts w:hint="eastAsia" w:ascii="宋体" w:hAnsi="宋体" w:cs="宋体"/>
          <w:color w:val="000000"/>
          <w:kern w:val="0"/>
          <w:sz w:val="21"/>
          <w:szCs w:val="21"/>
          <w:lang w:val="en-US" w:eastAsia="zh-CN"/>
        </w:rPr>
        <w:t>2</w:t>
      </w:r>
      <w:r>
        <w:rPr>
          <w:rFonts w:hint="eastAsia" w:ascii="宋体" w:hAnsi="宋体" w:cs="宋体"/>
          <w:color w:val="000000"/>
          <w:kern w:val="0"/>
          <w:sz w:val="21"/>
          <w:szCs w:val="21"/>
          <w:lang w:eastAsia="zh-CN"/>
        </w:rPr>
        <w:t>）</w:t>
      </w:r>
      <w:r>
        <w:rPr>
          <w:rFonts w:hint="eastAsia" w:ascii="宋体" w:hAnsi="宋体" w:eastAsia="宋体" w:cs="宋体"/>
          <w:color w:val="000000"/>
          <w:kern w:val="0"/>
          <w:sz w:val="21"/>
          <w:szCs w:val="21"/>
        </w:rPr>
        <w:t>来煤中未均匀分布的石头、矸石(直径大于50mm),</w:t>
      </w:r>
    </w:p>
    <w:p w14:paraId="32BF319D">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eastAsia="zh-CN"/>
        </w:rPr>
        <w:t>（</w:t>
      </w:r>
      <w:r>
        <w:rPr>
          <w:rFonts w:hint="eastAsia" w:ascii="宋体" w:hAnsi="宋体" w:cs="宋体"/>
          <w:color w:val="000000"/>
          <w:kern w:val="0"/>
          <w:sz w:val="21"/>
          <w:szCs w:val="21"/>
          <w:lang w:val="en-US" w:eastAsia="zh-CN"/>
        </w:rPr>
        <w:t>3</w:t>
      </w:r>
      <w:r>
        <w:rPr>
          <w:rFonts w:hint="eastAsia" w:ascii="宋体" w:hAnsi="宋体" w:cs="宋体"/>
          <w:color w:val="000000"/>
          <w:kern w:val="0"/>
          <w:sz w:val="21"/>
          <w:szCs w:val="21"/>
          <w:lang w:eastAsia="zh-CN"/>
        </w:rPr>
        <w:t>）</w:t>
      </w:r>
      <w:r>
        <w:rPr>
          <w:rFonts w:hint="eastAsia" w:ascii="宋体" w:hAnsi="宋体" w:eastAsia="宋体" w:cs="宋体"/>
          <w:color w:val="000000"/>
          <w:kern w:val="0"/>
          <w:sz w:val="21"/>
          <w:szCs w:val="21"/>
        </w:rPr>
        <w:t>泥团、油土、石灰石、碎石、泥土、矿粉、炉渣、石膏、油泥以及其他杂物等。</w:t>
      </w:r>
    </w:p>
    <w:p w14:paraId="43B7BA49">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eastAsia="zh-CN"/>
        </w:rPr>
        <w:t>（</w:t>
      </w:r>
      <w:r>
        <w:rPr>
          <w:rFonts w:hint="eastAsia" w:ascii="宋体" w:hAnsi="宋体" w:cs="宋体"/>
          <w:color w:val="000000"/>
          <w:kern w:val="0"/>
          <w:sz w:val="21"/>
          <w:szCs w:val="21"/>
          <w:lang w:val="en-US" w:eastAsia="zh-CN"/>
        </w:rPr>
        <w:t>4</w:t>
      </w:r>
      <w:r>
        <w:rPr>
          <w:rFonts w:hint="eastAsia" w:ascii="宋体" w:hAnsi="宋体" w:cs="宋体"/>
          <w:color w:val="000000"/>
          <w:kern w:val="0"/>
          <w:sz w:val="21"/>
          <w:szCs w:val="21"/>
          <w:lang w:eastAsia="zh-CN"/>
        </w:rPr>
        <w:t>）</w:t>
      </w:r>
      <w:r>
        <w:rPr>
          <w:rFonts w:hint="eastAsia" w:ascii="宋体" w:hAnsi="宋体" w:eastAsia="宋体" w:cs="宋体"/>
          <w:color w:val="000000"/>
          <w:kern w:val="0"/>
          <w:sz w:val="21"/>
          <w:szCs w:val="21"/>
        </w:rPr>
        <w:t>同批次不同车辆装不同煤种(包括同批次的大、小车； 若发现小车装质量好的煤，而大车装质量差的煤),热值超过500kcal/kg 的。</w:t>
      </w:r>
    </w:p>
    <w:p w14:paraId="765351A9">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eastAsia="zh-CN"/>
        </w:rPr>
        <w:t>（</w:t>
      </w:r>
      <w:r>
        <w:rPr>
          <w:rFonts w:hint="eastAsia" w:ascii="宋体" w:hAnsi="宋体" w:cs="宋体"/>
          <w:color w:val="000000"/>
          <w:kern w:val="0"/>
          <w:sz w:val="21"/>
          <w:szCs w:val="21"/>
          <w:lang w:val="en-US" w:eastAsia="zh-CN"/>
        </w:rPr>
        <w:t>5</w:t>
      </w:r>
      <w:r>
        <w:rPr>
          <w:rFonts w:hint="eastAsia" w:ascii="宋体" w:hAnsi="宋体" w:cs="宋体"/>
          <w:color w:val="000000"/>
          <w:kern w:val="0"/>
          <w:sz w:val="21"/>
          <w:szCs w:val="21"/>
          <w:lang w:eastAsia="zh-CN"/>
        </w:rPr>
        <w:t>）</w:t>
      </w:r>
      <w:r>
        <w:rPr>
          <w:rFonts w:hint="eastAsia" w:ascii="宋体" w:hAnsi="宋体" w:eastAsia="宋体" w:cs="宋体"/>
          <w:color w:val="000000"/>
          <w:kern w:val="0"/>
          <w:sz w:val="21"/>
          <w:szCs w:val="21"/>
        </w:rPr>
        <w:t>来煤为无烟煤和来煤中掺配无烟煤的(以公司化验收到基挥发分Var小于1</w:t>
      </w:r>
      <w:r>
        <w:rPr>
          <w:rFonts w:hint="eastAsia" w:ascii="宋体" w:hAnsi="宋体" w:cs="宋体"/>
          <w:color w:val="000000"/>
          <w:kern w:val="0"/>
          <w:sz w:val="21"/>
          <w:szCs w:val="21"/>
          <w:lang w:val="en-US" w:eastAsia="zh-CN"/>
        </w:rPr>
        <w:t>0</w:t>
      </w:r>
      <w:r>
        <w:rPr>
          <w:rFonts w:hint="eastAsia" w:ascii="宋体" w:hAnsi="宋体" w:eastAsia="宋体" w:cs="宋体"/>
          <w:color w:val="000000"/>
          <w:kern w:val="0"/>
          <w:sz w:val="21"/>
          <w:szCs w:val="21"/>
        </w:rPr>
        <w:t>.00%为基准)。</w:t>
      </w:r>
    </w:p>
    <w:p w14:paraId="1F581F6B">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（6）乙方入厂煤如掺配有新疆煤、无烟煤的。</w:t>
      </w:r>
    </w:p>
    <w:p w14:paraId="6E56ADA0">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eastAsia="zh-CN"/>
        </w:rPr>
        <w:t>（</w:t>
      </w:r>
      <w:r>
        <w:rPr>
          <w:rFonts w:hint="eastAsia" w:ascii="宋体" w:hAnsi="宋体" w:cs="宋体"/>
          <w:color w:val="000000"/>
          <w:kern w:val="0"/>
          <w:sz w:val="21"/>
          <w:szCs w:val="21"/>
          <w:lang w:val="en-US" w:eastAsia="zh-CN"/>
        </w:rPr>
        <w:t>7</w:t>
      </w:r>
      <w:r>
        <w:rPr>
          <w:rFonts w:hint="eastAsia" w:ascii="宋体" w:hAnsi="宋体" w:cs="宋体"/>
          <w:color w:val="000000"/>
          <w:kern w:val="0"/>
          <w:sz w:val="21"/>
          <w:szCs w:val="21"/>
          <w:lang w:eastAsia="zh-CN"/>
        </w:rPr>
        <w:t>）</w:t>
      </w:r>
      <w:r>
        <w:rPr>
          <w:rFonts w:hint="eastAsia" w:ascii="宋体" w:hAnsi="宋体" w:eastAsia="宋体" w:cs="宋体"/>
          <w:color w:val="000000"/>
          <w:kern w:val="0"/>
          <w:sz w:val="21"/>
          <w:szCs w:val="21"/>
        </w:rPr>
        <w:t>车辆过重磅后在煤场内放水的。</w:t>
      </w:r>
    </w:p>
    <w:p w14:paraId="6AB593F1">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仿宋_GB2312" w:hAnsi="仿宋_GB2312" w:eastAsia="仿宋_GB2312" w:cs="仿宋_GB2312"/>
          <w:color w:val="000000"/>
          <w:kern w:val="0"/>
          <w:sz w:val="28"/>
          <w:szCs w:val="28"/>
          <w:lang w:val="en-US" w:eastAsia="zh-CN"/>
        </w:rPr>
      </w:pPr>
      <w:r>
        <w:rPr>
          <w:rFonts w:hint="eastAsia" w:ascii="宋体" w:hAnsi="宋体" w:cs="宋体"/>
          <w:color w:val="000000"/>
          <w:kern w:val="0"/>
          <w:sz w:val="21"/>
          <w:szCs w:val="21"/>
          <w:lang w:eastAsia="zh-CN"/>
        </w:rPr>
        <w:t>（</w:t>
      </w:r>
      <w:r>
        <w:rPr>
          <w:rFonts w:hint="eastAsia" w:ascii="宋体" w:hAnsi="宋体" w:cs="宋体"/>
          <w:color w:val="000000"/>
          <w:kern w:val="0"/>
          <w:sz w:val="21"/>
          <w:szCs w:val="21"/>
          <w:lang w:val="en-US" w:eastAsia="zh-CN"/>
        </w:rPr>
        <w:t>8</w:t>
      </w:r>
      <w:r>
        <w:rPr>
          <w:rFonts w:hint="eastAsia" w:ascii="宋体" w:hAnsi="宋体" w:cs="宋体"/>
          <w:color w:val="000000"/>
          <w:kern w:val="0"/>
          <w:sz w:val="21"/>
          <w:szCs w:val="21"/>
          <w:lang w:eastAsia="zh-CN"/>
        </w:rPr>
        <w:t>）</w:t>
      </w:r>
      <w:r>
        <w:rPr>
          <w:rFonts w:hint="eastAsia" w:ascii="宋体" w:hAnsi="宋体" w:eastAsia="宋体" w:cs="宋体"/>
          <w:color w:val="000000"/>
          <w:kern w:val="0"/>
          <w:sz w:val="21"/>
          <w:szCs w:val="21"/>
        </w:rPr>
        <w:t>其它疑似异常或特殊情况时，由</w:t>
      </w:r>
      <w:r>
        <w:rPr>
          <w:rFonts w:hint="eastAsia" w:ascii="宋体" w:hAnsi="宋体" w:cs="宋体"/>
          <w:color w:val="000000"/>
          <w:kern w:val="0"/>
          <w:sz w:val="21"/>
          <w:szCs w:val="21"/>
          <w:lang w:val="en-US" w:eastAsia="zh-CN"/>
        </w:rPr>
        <w:t>甲方</w:t>
      </w:r>
      <w:r>
        <w:rPr>
          <w:rFonts w:hint="eastAsia" w:ascii="宋体" w:hAnsi="宋体" w:eastAsia="宋体" w:cs="宋体"/>
          <w:color w:val="000000"/>
          <w:kern w:val="0"/>
          <w:sz w:val="21"/>
          <w:szCs w:val="21"/>
        </w:rPr>
        <w:t>燃料部、</w:t>
      </w:r>
      <w:r>
        <w:rPr>
          <w:rFonts w:hint="eastAsia" w:ascii="宋体" w:hAnsi="宋体" w:cs="宋体"/>
          <w:color w:val="000000"/>
          <w:kern w:val="0"/>
          <w:sz w:val="21"/>
          <w:szCs w:val="21"/>
          <w:lang w:val="en-US" w:eastAsia="zh-CN"/>
        </w:rPr>
        <w:t>甲方</w:t>
      </w:r>
      <w:r>
        <w:rPr>
          <w:rFonts w:hint="eastAsia" w:ascii="宋体" w:hAnsi="宋体" w:eastAsia="宋体" w:cs="宋体"/>
          <w:color w:val="000000"/>
          <w:kern w:val="0"/>
          <w:sz w:val="21"/>
          <w:szCs w:val="21"/>
        </w:rPr>
        <w:t>监察审计部、 供应商三方见证，达成一致意见后，认定为煤质异常。</w:t>
      </w:r>
    </w:p>
    <w:p w14:paraId="62674C3A">
      <w:pPr>
        <w:keepNext w:val="0"/>
        <w:keepLines w:val="0"/>
        <w:pageBreakBefore w:val="0"/>
        <w:widowControl/>
        <w:kinsoku/>
        <w:wordWrap/>
        <w:overflowPunct/>
        <w:topLinePunct w:val="0"/>
        <w:autoSpaceDE/>
        <w:autoSpaceDN/>
        <w:bidi w:val="0"/>
        <w:adjustRightInd/>
        <w:spacing w:line="360" w:lineRule="auto"/>
        <w:ind w:left="0" w:leftChars="0" w:firstLine="422" w:firstLineChars="200"/>
        <w:jc w:val="left"/>
        <w:rPr>
          <w:rFonts w:hint="eastAsia" w:ascii="宋体" w:hAnsi="宋体" w:eastAsia="宋体" w:cs="宋体"/>
          <w:sz w:val="21"/>
          <w:szCs w:val="21"/>
        </w:rPr>
      </w:pPr>
      <w:r>
        <w:rPr>
          <w:rFonts w:hint="eastAsia" w:ascii="宋体" w:hAnsi="宋体" w:eastAsia="宋体" w:cs="宋体"/>
          <w:b/>
          <w:bCs/>
          <w:color w:val="000000"/>
          <w:kern w:val="0"/>
          <w:sz w:val="21"/>
          <w:szCs w:val="21"/>
        </w:rPr>
        <w:t>二、</w:t>
      </w:r>
      <w:r>
        <w:rPr>
          <w:rFonts w:hint="eastAsia" w:ascii="宋体" w:hAnsi="宋体" w:eastAsia="宋体" w:cs="宋体"/>
          <w:color w:val="000000"/>
          <w:kern w:val="0"/>
          <w:sz w:val="21"/>
          <w:szCs w:val="21"/>
        </w:rPr>
        <w:t xml:space="preserve"> </w:t>
      </w:r>
      <w:r>
        <w:rPr>
          <w:rFonts w:hint="eastAsia" w:ascii="宋体" w:hAnsi="宋体" w:eastAsia="宋体" w:cs="宋体"/>
          <w:b/>
          <w:bCs/>
          <w:color w:val="000000"/>
          <w:kern w:val="0"/>
          <w:sz w:val="21"/>
          <w:szCs w:val="21"/>
        </w:rPr>
        <w:t xml:space="preserve">运输及交货方式 </w:t>
      </w:r>
    </w:p>
    <w:p w14:paraId="2F33CD6E">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sz w:val="21"/>
          <w:szCs w:val="21"/>
        </w:rPr>
      </w:pPr>
      <w:r>
        <w:rPr>
          <w:rFonts w:hint="eastAsia" w:ascii="宋体" w:hAnsi="宋体" w:eastAsia="宋体" w:cs="宋体"/>
          <w:color w:val="000000"/>
          <w:kern w:val="0"/>
          <w:sz w:val="21"/>
          <w:szCs w:val="21"/>
        </w:rPr>
        <w:t>本合同项下燃煤的运输由乙方自行组织，合同约定的交货地点为</w:t>
      </w:r>
      <w:r>
        <w:rPr>
          <w:rFonts w:hint="eastAsia" w:ascii="宋体" w:hAnsi="宋体" w:eastAsia="宋体" w:cs="宋体"/>
          <w:color w:val="000000"/>
          <w:kern w:val="0"/>
          <w:sz w:val="21"/>
          <w:szCs w:val="21"/>
          <w:u w:val="single"/>
          <w:lang w:val="en-US" w:eastAsia="zh-CN"/>
        </w:rPr>
        <w:t>xx</w:t>
      </w:r>
      <w:r>
        <w:rPr>
          <w:rFonts w:hint="eastAsia" w:ascii="宋体" w:hAnsi="宋体" w:eastAsia="宋体" w:cs="宋体"/>
          <w:color w:val="000000"/>
          <w:kern w:val="0"/>
          <w:sz w:val="21"/>
          <w:szCs w:val="21"/>
          <w:u w:val="single"/>
        </w:rPr>
        <w:t>有限责任公司</w:t>
      </w:r>
      <w:r>
        <w:rPr>
          <w:rFonts w:hint="eastAsia" w:ascii="宋体" w:hAnsi="宋体" w:eastAsia="宋体" w:cs="宋体"/>
          <w:kern w:val="0"/>
          <w:sz w:val="21"/>
          <w:szCs w:val="21"/>
          <w:u w:val="single"/>
        </w:rPr>
        <w:t>煤场</w:t>
      </w:r>
      <w:r>
        <w:rPr>
          <w:rFonts w:hint="eastAsia" w:ascii="宋体" w:hAnsi="宋体" w:eastAsia="宋体" w:cs="宋体"/>
          <w:color w:val="000000"/>
          <w:kern w:val="0"/>
          <w:sz w:val="21"/>
          <w:szCs w:val="21"/>
        </w:rPr>
        <w:t xml:space="preserve">。在交货前的一切风险及费用由乙方自行承担。 </w:t>
      </w:r>
    </w:p>
    <w:p w14:paraId="34956D2E">
      <w:pPr>
        <w:keepNext w:val="0"/>
        <w:keepLines w:val="0"/>
        <w:pageBreakBefore w:val="0"/>
        <w:widowControl/>
        <w:kinsoku/>
        <w:wordWrap/>
        <w:overflowPunct/>
        <w:topLinePunct w:val="0"/>
        <w:autoSpaceDE/>
        <w:autoSpaceDN/>
        <w:bidi w:val="0"/>
        <w:adjustRightInd/>
        <w:spacing w:line="360" w:lineRule="auto"/>
        <w:ind w:left="0" w:leftChars="0" w:firstLine="422" w:firstLineChars="200"/>
        <w:jc w:val="left"/>
        <w:rPr>
          <w:rFonts w:hint="eastAsia" w:ascii="宋体" w:hAnsi="宋体" w:eastAsia="宋体" w:cs="宋体"/>
          <w:sz w:val="21"/>
          <w:szCs w:val="21"/>
        </w:rPr>
      </w:pPr>
      <w:r>
        <w:rPr>
          <w:rFonts w:hint="eastAsia" w:ascii="宋体" w:hAnsi="宋体" w:eastAsia="宋体" w:cs="宋体"/>
          <w:b/>
          <w:bCs/>
          <w:color w:val="000000"/>
          <w:kern w:val="0"/>
          <w:sz w:val="21"/>
          <w:szCs w:val="21"/>
        </w:rPr>
        <w:t>三、</w:t>
      </w:r>
      <w:r>
        <w:rPr>
          <w:rFonts w:hint="eastAsia" w:ascii="宋体" w:hAnsi="宋体" w:eastAsia="宋体" w:cs="宋体"/>
          <w:color w:val="000000"/>
          <w:kern w:val="0"/>
          <w:sz w:val="21"/>
          <w:szCs w:val="21"/>
        </w:rPr>
        <w:t xml:space="preserve"> </w:t>
      </w:r>
      <w:r>
        <w:rPr>
          <w:rFonts w:hint="eastAsia" w:ascii="宋体" w:hAnsi="宋体" w:eastAsia="宋体" w:cs="宋体"/>
          <w:b/>
          <w:bCs/>
          <w:color w:val="000000"/>
          <w:kern w:val="0"/>
          <w:sz w:val="21"/>
          <w:szCs w:val="21"/>
        </w:rPr>
        <w:t xml:space="preserve">燃煤价格及执行期 </w:t>
      </w:r>
    </w:p>
    <w:p w14:paraId="4528F2CE">
      <w:pPr>
        <w:keepNext w:val="0"/>
        <w:keepLines w:val="0"/>
        <w:pageBreakBefore w:val="0"/>
        <w:widowControl/>
        <w:kinsoku/>
        <w:wordWrap/>
        <w:overflowPunct/>
        <w:topLinePunct w:val="0"/>
        <w:autoSpaceDE/>
        <w:autoSpaceDN/>
        <w:bidi w:val="0"/>
        <w:adjustRightInd/>
        <w:spacing w:line="360" w:lineRule="auto"/>
        <w:ind w:left="0" w:leftChars="0" w:firstLine="422" w:firstLineChars="200"/>
        <w:jc w:val="left"/>
        <w:rPr>
          <w:rFonts w:hint="eastAsia" w:ascii="宋体" w:hAnsi="宋体" w:eastAsia="宋体" w:cs="宋体"/>
          <w:sz w:val="21"/>
          <w:szCs w:val="21"/>
        </w:rPr>
      </w:pPr>
      <w:r>
        <w:rPr>
          <w:rFonts w:hint="eastAsia" w:ascii="宋体" w:hAnsi="宋体" w:cs="宋体"/>
          <w:b/>
          <w:bCs/>
          <w:color w:val="000000"/>
          <w:kern w:val="0"/>
          <w:sz w:val="21"/>
          <w:szCs w:val="21"/>
          <w:lang w:val="en-US" w:eastAsia="zh-CN"/>
        </w:rPr>
        <w:t>（一）</w:t>
      </w:r>
      <w:r>
        <w:rPr>
          <w:rFonts w:hint="eastAsia" w:ascii="宋体" w:hAnsi="宋体" w:eastAsia="宋体" w:cs="宋体"/>
          <w:b/>
          <w:bCs/>
          <w:color w:val="000000"/>
          <w:kern w:val="0"/>
          <w:sz w:val="21"/>
          <w:szCs w:val="21"/>
        </w:rPr>
        <w:t>燃煤合同基价</w:t>
      </w:r>
    </w:p>
    <w:p w14:paraId="3F9524C0">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kern w:val="0"/>
          <w:sz w:val="21"/>
          <w:szCs w:val="21"/>
        </w:rPr>
      </w:pPr>
      <w:r>
        <w:rPr>
          <w:rFonts w:hint="eastAsia" w:ascii="宋体" w:hAnsi="宋体" w:eastAsia="宋体" w:cs="宋体"/>
          <w:color w:val="000000"/>
          <w:kern w:val="0"/>
          <w:sz w:val="21"/>
          <w:szCs w:val="21"/>
        </w:rPr>
        <w:t>基准指标</w:t>
      </w:r>
      <w:r>
        <w:rPr>
          <w:rFonts w:hint="eastAsia" w:ascii="宋体" w:hAnsi="宋体" w:eastAsia="宋体" w:cs="宋体"/>
          <w:kern w:val="0"/>
          <w:sz w:val="21"/>
          <w:szCs w:val="21"/>
        </w:rPr>
        <w:t>：基准热值 Qnet,ar≥</w:t>
      </w:r>
      <w:r>
        <w:rPr>
          <w:rFonts w:hint="eastAsia" w:ascii="宋体" w:hAnsi="宋体" w:cs="宋体"/>
          <w:kern w:val="0"/>
          <w:sz w:val="21"/>
          <w:szCs w:val="21"/>
          <w:lang w:val="en-US" w:eastAsia="zh-CN"/>
        </w:rPr>
        <w:t>30</w:t>
      </w:r>
      <w:r>
        <w:rPr>
          <w:rFonts w:hint="eastAsia" w:ascii="宋体" w:hAnsi="宋体" w:eastAsia="宋体" w:cs="宋体"/>
          <w:kern w:val="0"/>
          <w:sz w:val="21"/>
          <w:szCs w:val="21"/>
        </w:rPr>
        <w:t>00kcal/kg</w:t>
      </w:r>
      <w:r>
        <w:rPr>
          <w:rFonts w:hint="eastAsia" w:ascii="宋体" w:hAnsi="宋体" w:cs="宋体"/>
          <w:kern w:val="0"/>
          <w:sz w:val="21"/>
          <w:szCs w:val="21"/>
          <w:lang w:eastAsia="zh-CN"/>
        </w:rPr>
        <w:t>，</w:t>
      </w:r>
      <w:r>
        <w:rPr>
          <w:rFonts w:hint="eastAsia" w:ascii="宋体" w:hAnsi="宋体" w:eastAsia="宋体" w:cs="宋体"/>
          <w:kern w:val="0"/>
          <w:sz w:val="21"/>
          <w:szCs w:val="21"/>
        </w:rPr>
        <w:t>热值基准单价为</w:t>
      </w:r>
      <w:r>
        <w:rPr>
          <w:rFonts w:hint="eastAsia" w:ascii="宋体" w:hAnsi="宋体" w:eastAsia="宋体" w:cs="宋体"/>
          <w:kern w:val="0"/>
          <w:sz w:val="21"/>
          <w:szCs w:val="21"/>
          <w:u w:val="single"/>
        </w:rPr>
        <w:t xml:space="preserve">  </w:t>
      </w:r>
      <w:r>
        <w:rPr>
          <w:rFonts w:hint="eastAsia" w:ascii="宋体" w:hAnsi="宋体" w:cs="宋体"/>
          <w:kern w:val="0"/>
          <w:sz w:val="21"/>
          <w:szCs w:val="21"/>
          <w:u w:val="single"/>
          <w:lang w:val="en-US" w:eastAsia="zh-CN"/>
        </w:rPr>
        <w:t>XXX</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元/[(kcal/kg)×吨]（含全额增值税专用发票,税率13%,下同)。</w:t>
      </w:r>
    </w:p>
    <w:p w14:paraId="1F5C374E">
      <w:pPr>
        <w:keepNext w:val="0"/>
        <w:keepLines w:val="0"/>
        <w:pageBreakBefore w:val="0"/>
        <w:widowControl/>
        <w:kinsoku/>
        <w:wordWrap/>
        <w:overflowPunct/>
        <w:topLinePunct w:val="0"/>
        <w:autoSpaceDE/>
        <w:autoSpaceDN/>
        <w:bidi w:val="0"/>
        <w:adjustRightInd/>
        <w:spacing w:line="360" w:lineRule="auto"/>
        <w:ind w:left="0" w:leftChars="0" w:firstLine="422" w:firstLineChars="200"/>
        <w:jc w:val="left"/>
        <w:rPr>
          <w:rFonts w:hint="eastAsia" w:ascii="宋体" w:hAnsi="宋体" w:eastAsia="宋体" w:cs="宋体"/>
          <w:sz w:val="21"/>
          <w:szCs w:val="21"/>
        </w:rPr>
      </w:pPr>
      <w:r>
        <w:rPr>
          <w:rFonts w:hint="eastAsia" w:ascii="宋体" w:hAnsi="宋体" w:cs="宋体"/>
          <w:b/>
          <w:bCs/>
          <w:color w:val="000000"/>
          <w:kern w:val="0"/>
          <w:sz w:val="21"/>
          <w:szCs w:val="21"/>
          <w:lang w:val="en-US" w:eastAsia="zh-CN"/>
        </w:rPr>
        <w:t>（二）</w:t>
      </w:r>
      <w:r>
        <w:rPr>
          <w:rFonts w:hint="eastAsia" w:ascii="宋体" w:hAnsi="宋体" w:eastAsia="宋体" w:cs="宋体"/>
          <w:b/>
          <w:bCs/>
          <w:color w:val="000000"/>
          <w:kern w:val="0"/>
          <w:sz w:val="21"/>
          <w:szCs w:val="21"/>
        </w:rPr>
        <w:t xml:space="preserve">燃煤结算价格采用以下方式确定 </w:t>
      </w:r>
    </w:p>
    <w:p w14:paraId="1110CFD1">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val="en-US" w:eastAsia="zh-CN"/>
        </w:rPr>
        <w:t>1.</w:t>
      </w:r>
      <w:r>
        <w:rPr>
          <w:rFonts w:hint="eastAsia" w:ascii="宋体" w:hAnsi="宋体" w:eastAsia="宋体" w:cs="宋体"/>
          <w:color w:val="000000"/>
          <w:kern w:val="0"/>
          <w:sz w:val="21"/>
          <w:szCs w:val="21"/>
        </w:rPr>
        <w:t>燃煤结算单价=发热量计价+质量调整价+数量调整价+ 其他因素调整价(备注：以下各项计价计算结果按四舍五入保留2位小数）。</w:t>
      </w:r>
    </w:p>
    <w:p w14:paraId="52037C45">
      <w:pPr>
        <w:keepNext w:val="0"/>
        <w:keepLines w:val="0"/>
        <w:pageBreakBefore w:val="0"/>
        <w:widowControl/>
        <w:kinsoku/>
        <w:wordWrap/>
        <w:overflowPunct/>
        <w:topLinePunct w:val="0"/>
        <w:autoSpaceDE/>
        <w:autoSpaceDN/>
        <w:bidi w:val="0"/>
        <w:adjustRightInd/>
        <w:spacing w:line="360" w:lineRule="auto"/>
        <w:ind w:left="0" w:leftChars="0" w:firstLine="422" w:firstLineChars="200"/>
        <w:jc w:val="left"/>
        <w:rPr>
          <w:rFonts w:hint="eastAsia" w:ascii="宋体" w:hAnsi="宋体" w:eastAsia="宋体" w:cs="宋体"/>
          <w:sz w:val="21"/>
          <w:szCs w:val="21"/>
        </w:rPr>
      </w:pPr>
      <w:r>
        <w:rPr>
          <w:rFonts w:hint="eastAsia" w:ascii="宋体" w:hAnsi="宋体" w:eastAsia="宋体" w:cs="宋体"/>
          <w:b/>
          <w:bCs/>
          <w:color w:val="000000"/>
          <w:kern w:val="0"/>
          <w:sz w:val="21"/>
          <w:szCs w:val="21"/>
          <w:lang w:eastAsia="zh-CN"/>
        </w:rPr>
        <w:t>（</w:t>
      </w:r>
      <w:r>
        <w:rPr>
          <w:rFonts w:hint="eastAsia" w:ascii="宋体" w:hAnsi="宋体" w:cs="宋体"/>
          <w:b/>
          <w:bCs/>
          <w:color w:val="000000"/>
          <w:kern w:val="0"/>
          <w:sz w:val="21"/>
          <w:szCs w:val="21"/>
          <w:lang w:val="en-US" w:eastAsia="zh-CN"/>
        </w:rPr>
        <w:t>1</w:t>
      </w:r>
      <w:r>
        <w:rPr>
          <w:rFonts w:hint="eastAsia" w:ascii="宋体" w:hAnsi="宋体" w:eastAsia="宋体" w:cs="宋体"/>
          <w:b/>
          <w:bCs/>
          <w:color w:val="000000"/>
          <w:kern w:val="0"/>
          <w:sz w:val="21"/>
          <w:szCs w:val="21"/>
          <w:lang w:val="en-US" w:eastAsia="zh-CN"/>
        </w:rPr>
        <w:t>）</w:t>
      </w:r>
      <w:r>
        <w:rPr>
          <w:rFonts w:hint="eastAsia" w:ascii="宋体" w:hAnsi="宋体" w:eastAsia="宋体" w:cs="宋体"/>
          <w:b/>
          <w:bCs/>
          <w:color w:val="000000"/>
          <w:kern w:val="0"/>
          <w:sz w:val="21"/>
          <w:szCs w:val="21"/>
        </w:rPr>
        <w:t>发热量计价（通过热值计价方式进行确定）</w:t>
      </w:r>
    </w:p>
    <w:tbl>
      <w:tblPr>
        <w:tblStyle w:val="35"/>
        <w:tblW w:w="9623" w:type="dxa"/>
        <w:jc w:val="center"/>
        <w:tblLayout w:type="fixed"/>
        <w:tblCellMar>
          <w:top w:w="0" w:type="dxa"/>
          <w:left w:w="108" w:type="dxa"/>
          <w:bottom w:w="0" w:type="dxa"/>
          <w:right w:w="108" w:type="dxa"/>
        </w:tblCellMar>
      </w:tblPr>
      <w:tblGrid>
        <w:gridCol w:w="3108"/>
        <w:gridCol w:w="2425"/>
        <w:gridCol w:w="1465"/>
        <w:gridCol w:w="2625"/>
      </w:tblGrid>
      <w:tr w14:paraId="42116AB3">
        <w:tblPrEx>
          <w:tblCellMar>
            <w:top w:w="0" w:type="dxa"/>
            <w:left w:w="108" w:type="dxa"/>
            <w:bottom w:w="0" w:type="dxa"/>
            <w:right w:w="108" w:type="dxa"/>
          </w:tblCellMar>
        </w:tblPrEx>
        <w:trPr>
          <w:trHeight w:val="984" w:hRule="atLeast"/>
          <w:jc w:val="center"/>
        </w:trPr>
        <w:tc>
          <w:tcPr>
            <w:tcW w:w="3108" w:type="dxa"/>
            <w:tcBorders>
              <w:top w:val="single" w:color="000000" w:sz="4" w:space="0"/>
              <w:left w:val="single" w:color="000000" w:sz="4" w:space="0"/>
              <w:bottom w:val="single" w:color="000000" w:sz="4" w:space="0"/>
              <w:right w:val="single" w:color="000000" w:sz="4" w:space="0"/>
            </w:tcBorders>
            <w:noWrap/>
            <w:vAlign w:val="center"/>
          </w:tcPr>
          <w:p w14:paraId="37D38BA4">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b/>
                <w:bCs/>
                <w:sz w:val="21"/>
                <w:szCs w:val="21"/>
              </w:rPr>
            </w:pPr>
            <w:r>
              <w:rPr>
                <w:rFonts w:hint="eastAsia" w:ascii="宋体" w:hAnsi="宋体" w:eastAsia="宋体" w:cs="宋体"/>
                <w:b/>
                <w:bCs/>
                <w:kern w:val="0"/>
                <w:sz w:val="21"/>
                <w:szCs w:val="21"/>
              </w:rPr>
              <w:t>热值范围（kcal/kg）</w:t>
            </w:r>
          </w:p>
        </w:tc>
        <w:tc>
          <w:tcPr>
            <w:tcW w:w="2425" w:type="dxa"/>
            <w:tcBorders>
              <w:top w:val="single" w:color="000000" w:sz="4" w:space="0"/>
              <w:left w:val="single" w:color="000000" w:sz="4" w:space="0"/>
              <w:bottom w:val="single" w:color="000000" w:sz="4" w:space="0"/>
              <w:right w:val="single" w:color="000000" w:sz="4" w:space="0"/>
            </w:tcBorders>
            <w:vAlign w:val="center"/>
          </w:tcPr>
          <w:p w14:paraId="3D9FAEAC">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b/>
                <w:bCs/>
                <w:sz w:val="21"/>
                <w:szCs w:val="21"/>
              </w:rPr>
            </w:pPr>
            <w:r>
              <w:rPr>
                <w:rFonts w:hint="eastAsia" w:ascii="宋体" w:hAnsi="宋体" w:eastAsia="宋体" w:cs="宋体"/>
                <w:b/>
                <w:bCs/>
                <w:kern w:val="0"/>
                <w:sz w:val="21"/>
                <w:szCs w:val="21"/>
              </w:rPr>
              <w:t>热值基准价格（元 /[(kcal/kg)×吨]）</w:t>
            </w:r>
          </w:p>
        </w:tc>
        <w:tc>
          <w:tcPr>
            <w:tcW w:w="1465" w:type="dxa"/>
            <w:tcBorders>
              <w:top w:val="single" w:color="000000" w:sz="4" w:space="0"/>
              <w:left w:val="single" w:color="000000" w:sz="4" w:space="0"/>
              <w:bottom w:val="single" w:color="000000" w:sz="4" w:space="0"/>
              <w:right w:val="single" w:color="000000" w:sz="4" w:space="0"/>
            </w:tcBorders>
            <w:noWrap/>
            <w:vAlign w:val="center"/>
          </w:tcPr>
          <w:p w14:paraId="494049E2">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b/>
                <w:bCs/>
                <w:sz w:val="21"/>
                <w:szCs w:val="21"/>
              </w:rPr>
            </w:pPr>
            <w:r>
              <w:rPr>
                <w:rFonts w:hint="eastAsia" w:ascii="宋体" w:hAnsi="宋体" w:eastAsia="宋体" w:cs="宋体"/>
                <w:b/>
                <w:bCs/>
                <w:kern w:val="0"/>
                <w:sz w:val="21"/>
                <w:szCs w:val="21"/>
              </w:rPr>
              <w:t>加权方式</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320E28D8">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b/>
                <w:bCs/>
                <w:sz w:val="21"/>
                <w:szCs w:val="21"/>
              </w:rPr>
            </w:pPr>
            <w:r>
              <w:rPr>
                <w:rFonts w:hint="eastAsia" w:ascii="宋体" w:hAnsi="宋体" w:eastAsia="宋体" w:cs="宋体"/>
                <w:b/>
                <w:bCs/>
                <w:kern w:val="0"/>
                <w:sz w:val="21"/>
                <w:szCs w:val="21"/>
              </w:rPr>
              <w:t>热值计价公式</w:t>
            </w:r>
          </w:p>
        </w:tc>
      </w:tr>
      <w:tr w14:paraId="18B404D4">
        <w:tblPrEx>
          <w:tblCellMar>
            <w:top w:w="0" w:type="dxa"/>
            <w:left w:w="108" w:type="dxa"/>
            <w:bottom w:w="0" w:type="dxa"/>
            <w:right w:w="108" w:type="dxa"/>
          </w:tblCellMar>
        </w:tblPrEx>
        <w:trPr>
          <w:trHeight w:val="90" w:hRule="atLeast"/>
          <w:jc w:val="center"/>
        </w:trPr>
        <w:tc>
          <w:tcPr>
            <w:tcW w:w="3108" w:type="dxa"/>
            <w:tcBorders>
              <w:top w:val="single" w:color="000000" w:sz="4" w:space="0"/>
              <w:left w:val="single" w:color="000000" w:sz="4" w:space="0"/>
              <w:bottom w:val="single" w:color="000000" w:sz="4" w:space="0"/>
              <w:right w:val="single" w:color="000000" w:sz="4" w:space="0"/>
            </w:tcBorders>
            <w:noWrap/>
            <w:vAlign w:val="center"/>
          </w:tcPr>
          <w:p w14:paraId="7931D105">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3000</w:t>
            </w:r>
            <w:r>
              <w:rPr>
                <w:rFonts w:hint="eastAsia" w:ascii="宋体" w:hAnsi="宋体" w:eastAsia="宋体" w:cs="宋体"/>
                <w:kern w:val="0"/>
                <w:sz w:val="21"/>
                <w:szCs w:val="21"/>
              </w:rPr>
              <w:t>≤加权 Qnet,ar</w:t>
            </w:r>
          </w:p>
        </w:tc>
        <w:tc>
          <w:tcPr>
            <w:tcW w:w="2425" w:type="dxa"/>
            <w:tcBorders>
              <w:top w:val="single" w:color="000000" w:sz="4" w:space="0"/>
              <w:left w:val="single" w:color="000000" w:sz="4" w:space="0"/>
              <w:bottom w:val="single" w:color="000000" w:sz="4" w:space="0"/>
              <w:right w:val="single" w:color="000000" w:sz="4" w:space="0"/>
            </w:tcBorders>
            <w:noWrap/>
            <w:vAlign w:val="center"/>
          </w:tcPr>
          <w:p w14:paraId="694A40F9">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基准单价</w:t>
            </w:r>
          </w:p>
        </w:tc>
        <w:tc>
          <w:tcPr>
            <w:tcW w:w="1465" w:type="dxa"/>
            <w:vMerge w:val="restart"/>
            <w:tcBorders>
              <w:left w:val="single" w:color="000000" w:sz="4" w:space="0"/>
              <w:right w:val="single" w:color="000000" w:sz="4" w:space="0"/>
            </w:tcBorders>
            <w:vAlign w:val="center"/>
          </w:tcPr>
          <w:p w14:paraId="3E147378">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 xml:space="preserve">单批次来煤Qnet,ar≥ </w:t>
            </w:r>
            <w:r>
              <w:rPr>
                <w:rFonts w:hint="eastAsia" w:ascii="宋体" w:hAnsi="宋体" w:cs="宋体"/>
                <w:kern w:val="0"/>
                <w:sz w:val="21"/>
                <w:szCs w:val="21"/>
                <w:lang w:val="en-US" w:eastAsia="zh-CN"/>
              </w:rPr>
              <w:t>25</w:t>
            </w:r>
            <w:r>
              <w:rPr>
                <w:rFonts w:hint="eastAsia" w:ascii="宋体" w:hAnsi="宋体" w:eastAsia="宋体" w:cs="宋体"/>
                <w:kern w:val="0"/>
                <w:sz w:val="21"/>
                <w:szCs w:val="21"/>
              </w:rPr>
              <w:t>00kcal/ kg 参与加权</w:t>
            </w:r>
          </w:p>
        </w:tc>
        <w:tc>
          <w:tcPr>
            <w:tcW w:w="2625" w:type="dxa"/>
            <w:tcBorders>
              <w:top w:val="single" w:color="000000" w:sz="4" w:space="0"/>
              <w:left w:val="single" w:color="000000" w:sz="4" w:space="0"/>
              <w:bottom w:val="single" w:color="000000" w:sz="4" w:space="0"/>
              <w:right w:val="single" w:color="000000" w:sz="4" w:space="0"/>
            </w:tcBorders>
            <w:vAlign w:val="center"/>
          </w:tcPr>
          <w:p w14:paraId="7BA6F30D">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收到基低位发热量×基准单价</w:t>
            </w:r>
          </w:p>
        </w:tc>
      </w:tr>
      <w:tr w14:paraId="671D5D79">
        <w:tblPrEx>
          <w:tblCellMar>
            <w:top w:w="0" w:type="dxa"/>
            <w:left w:w="108" w:type="dxa"/>
            <w:bottom w:w="0" w:type="dxa"/>
            <w:right w:w="108" w:type="dxa"/>
          </w:tblCellMar>
        </w:tblPrEx>
        <w:trPr>
          <w:trHeight w:val="596" w:hRule="atLeast"/>
          <w:jc w:val="center"/>
        </w:trPr>
        <w:tc>
          <w:tcPr>
            <w:tcW w:w="3108" w:type="dxa"/>
            <w:tcBorders>
              <w:top w:val="single" w:color="000000" w:sz="4" w:space="0"/>
              <w:left w:val="single" w:color="000000" w:sz="4" w:space="0"/>
              <w:bottom w:val="single" w:color="000000" w:sz="4" w:space="0"/>
              <w:right w:val="single" w:color="000000" w:sz="4" w:space="0"/>
            </w:tcBorders>
            <w:noWrap/>
            <w:vAlign w:val="center"/>
          </w:tcPr>
          <w:p w14:paraId="0FC5B46F">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center"/>
              <w:rPr>
                <w:rFonts w:hint="default" w:ascii="宋体" w:hAnsi="宋体" w:eastAsia="宋体" w:cs="宋体"/>
                <w:sz w:val="21"/>
                <w:szCs w:val="21"/>
                <w:lang w:val="en-US"/>
              </w:rPr>
            </w:pPr>
            <w:r>
              <w:rPr>
                <w:rFonts w:hint="eastAsia" w:ascii="宋体" w:hAnsi="宋体" w:cs="宋体"/>
                <w:kern w:val="0"/>
                <w:sz w:val="21"/>
                <w:szCs w:val="21"/>
                <w:lang w:val="en-US" w:eastAsia="zh-CN"/>
              </w:rPr>
              <w:t>2900</w:t>
            </w:r>
            <w:r>
              <w:rPr>
                <w:rFonts w:hint="eastAsia" w:ascii="宋体" w:hAnsi="宋体" w:eastAsia="宋体" w:cs="宋体"/>
                <w:kern w:val="0"/>
                <w:sz w:val="21"/>
                <w:szCs w:val="21"/>
              </w:rPr>
              <w:t>≤加权 Qnet,ar＜</w:t>
            </w:r>
            <w:r>
              <w:rPr>
                <w:rFonts w:hint="eastAsia" w:ascii="宋体" w:hAnsi="宋体" w:cs="宋体"/>
                <w:kern w:val="0"/>
                <w:sz w:val="21"/>
                <w:szCs w:val="21"/>
                <w:lang w:val="en-US" w:eastAsia="zh-CN"/>
              </w:rPr>
              <w:t>3000</w:t>
            </w:r>
          </w:p>
        </w:tc>
        <w:tc>
          <w:tcPr>
            <w:tcW w:w="2425" w:type="dxa"/>
            <w:tcBorders>
              <w:top w:val="single" w:color="000000" w:sz="4" w:space="0"/>
              <w:left w:val="single" w:color="000000" w:sz="4" w:space="0"/>
              <w:bottom w:val="single" w:color="000000" w:sz="4" w:space="0"/>
              <w:right w:val="single" w:color="000000" w:sz="4" w:space="0"/>
            </w:tcBorders>
            <w:noWrap/>
            <w:vAlign w:val="center"/>
          </w:tcPr>
          <w:p w14:paraId="055154D1">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基准单价-0.005</w:t>
            </w:r>
          </w:p>
        </w:tc>
        <w:tc>
          <w:tcPr>
            <w:tcW w:w="1465" w:type="dxa"/>
            <w:vMerge w:val="continue"/>
            <w:tcBorders>
              <w:left w:val="single" w:color="000000" w:sz="4" w:space="0"/>
              <w:right w:val="single" w:color="000000" w:sz="4" w:space="0"/>
            </w:tcBorders>
            <w:vAlign w:val="center"/>
          </w:tcPr>
          <w:p w14:paraId="2A09649E">
            <w:pPr>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sz w:val="21"/>
                <w:szCs w:val="21"/>
              </w:rPr>
            </w:pPr>
          </w:p>
        </w:tc>
        <w:tc>
          <w:tcPr>
            <w:tcW w:w="2625" w:type="dxa"/>
            <w:tcBorders>
              <w:top w:val="single" w:color="000000" w:sz="4" w:space="0"/>
              <w:left w:val="single" w:color="000000" w:sz="4" w:space="0"/>
              <w:bottom w:val="single" w:color="000000" w:sz="4" w:space="0"/>
              <w:right w:val="single" w:color="000000" w:sz="4" w:space="0"/>
            </w:tcBorders>
            <w:vAlign w:val="center"/>
          </w:tcPr>
          <w:p w14:paraId="0E312827">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收到基低位发热量×（基准单价-0.005）</w:t>
            </w:r>
          </w:p>
        </w:tc>
      </w:tr>
      <w:tr w14:paraId="1D18D566">
        <w:tblPrEx>
          <w:tblCellMar>
            <w:top w:w="0" w:type="dxa"/>
            <w:left w:w="108" w:type="dxa"/>
            <w:bottom w:w="0" w:type="dxa"/>
            <w:right w:w="108" w:type="dxa"/>
          </w:tblCellMar>
        </w:tblPrEx>
        <w:trPr>
          <w:trHeight w:val="546" w:hRule="atLeast"/>
          <w:jc w:val="center"/>
        </w:trPr>
        <w:tc>
          <w:tcPr>
            <w:tcW w:w="3108" w:type="dxa"/>
            <w:tcBorders>
              <w:top w:val="single" w:color="000000" w:sz="4" w:space="0"/>
              <w:left w:val="single" w:color="000000" w:sz="4" w:space="0"/>
              <w:bottom w:val="single" w:color="000000" w:sz="4" w:space="0"/>
              <w:right w:val="single" w:color="000000" w:sz="4" w:space="0"/>
            </w:tcBorders>
            <w:noWrap/>
            <w:vAlign w:val="center"/>
          </w:tcPr>
          <w:p w14:paraId="302EAE3D">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sz w:val="21"/>
                <w:szCs w:val="21"/>
              </w:rPr>
            </w:pPr>
            <w:r>
              <w:rPr>
                <w:rFonts w:hint="eastAsia" w:ascii="宋体" w:hAnsi="宋体" w:cs="宋体"/>
                <w:kern w:val="0"/>
                <w:sz w:val="21"/>
                <w:szCs w:val="21"/>
                <w:lang w:val="en-US" w:eastAsia="zh-CN"/>
              </w:rPr>
              <w:t>28</w:t>
            </w:r>
            <w:r>
              <w:rPr>
                <w:rFonts w:hint="eastAsia" w:ascii="宋体" w:hAnsi="宋体" w:eastAsia="宋体" w:cs="宋体"/>
                <w:kern w:val="0"/>
                <w:sz w:val="21"/>
                <w:szCs w:val="21"/>
              </w:rPr>
              <w:t>00≤加权 Qnet,ar＜</w:t>
            </w:r>
            <w:r>
              <w:rPr>
                <w:rFonts w:hint="eastAsia" w:ascii="宋体" w:hAnsi="宋体" w:cs="宋体"/>
                <w:kern w:val="0"/>
                <w:sz w:val="21"/>
                <w:szCs w:val="21"/>
                <w:lang w:val="en-US" w:eastAsia="zh-CN"/>
              </w:rPr>
              <w:t>29</w:t>
            </w:r>
            <w:r>
              <w:rPr>
                <w:rFonts w:hint="eastAsia" w:ascii="宋体" w:hAnsi="宋体" w:eastAsia="宋体" w:cs="宋体"/>
                <w:kern w:val="0"/>
                <w:sz w:val="21"/>
                <w:szCs w:val="21"/>
              </w:rPr>
              <w:t>00</w:t>
            </w:r>
          </w:p>
        </w:tc>
        <w:tc>
          <w:tcPr>
            <w:tcW w:w="2425" w:type="dxa"/>
            <w:tcBorders>
              <w:top w:val="single" w:color="000000" w:sz="4" w:space="0"/>
              <w:left w:val="single" w:color="000000" w:sz="4" w:space="0"/>
              <w:bottom w:val="single" w:color="000000" w:sz="4" w:space="0"/>
              <w:right w:val="single" w:color="000000" w:sz="4" w:space="0"/>
            </w:tcBorders>
            <w:noWrap/>
            <w:vAlign w:val="center"/>
          </w:tcPr>
          <w:p w14:paraId="02EF8342">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基准单价-0.01</w:t>
            </w:r>
          </w:p>
        </w:tc>
        <w:tc>
          <w:tcPr>
            <w:tcW w:w="1465" w:type="dxa"/>
            <w:vMerge w:val="continue"/>
            <w:tcBorders>
              <w:left w:val="single" w:color="000000" w:sz="4" w:space="0"/>
              <w:right w:val="single" w:color="000000" w:sz="4" w:space="0"/>
            </w:tcBorders>
            <w:vAlign w:val="center"/>
          </w:tcPr>
          <w:p w14:paraId="5101A811">
            <w:pPr>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sz w:val="21"/>
                <w:szCs w:val="21"/>
              </w:rPr>
            </w:pPr>
          </w:p>
        </w:tc>
        <w:tc>
          <w:tcPr>
            <w:tcW w:w="2625" w:type="dxa"/>
            <w:tcBorders>
              <w:top w:val="single" w:color="000000" w:sz="4" w:space="0"/>
              <w:left w:val="single" w:color="000000" w:sz="4" w:space="0"/>
              <w:bottom w:val="single" w:color="000000" w:sz="4" w:space="0"/>
              <w:right w:val="single" w:color="000000" w:sz="4" w:space="0"/>
            </w:tcBorders>
            <w:vAlign w:val="center"/>
          </w:tcPr>
          <w:p w14:paraId="4525E4BC">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收到基低位发热量×（基准单价-0.01）</w:t>
            </w:r>
          </w:p>
        </w:tc>
      </w:tr>
      <w:tr w14:paraId="583EF163">
        <w:tblPrEx>
          <w:tblCellMar>
            <w:top w:w="0" w:type="dxa"/>
            <w:left w:w="108" w:type="dxa"/>
            <w:bottom w:w="0" w:type="dxa"/>
            <w:right w:w="108" w:type="dxa"/>
          </w:tblCellMar>
        </w:tblPrEx>
        <w:trPr>
          <w:trHeight w:val="459" w:hRule="atLeast"/>
          <w:jc w:val="center"/>
        </w:trPr>
        <w:tc>
          <w:tcPr>
            <w:tcW w:w="3108" w:type="dxa"/>
            <w:tcBorders>
              <w:top w:val="single" w:color="000000" w:sz="4" w:space="0"/>
              <w:left w:val="single" w:color="000000" w:sz="4" w:space="0"/>
              <w:bottom w:val="single" w:color="000000" w:sz="4" w:space="0"/>
              <w:right w:val="single" w:color="000000" w:sz="4" w:space="0"/>
            </w:tcBorders>
            <w:noWrap/>
            <w:vAlign w:val="center"/>
          </w:tcPr>
          <w:p w14:paraId="17726C11">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sz w:val="21"/>
                <w:szCs w:val="21"/>
              </w:rPr>
            </w:pPr>
            <w:r>
              <w:rPr>
                <w:rFonts w:hint="eastAsia" w:ascii="宋体" w:hAnsi="宋体" w:cs="宋体"/>
                <w:kern w:val="0"/>
                <w:sz w:val="21"/>
                <w:szCs w:val="21"/>
                <w:lang w:val="en-US" w:eastAsia="zh-CN"/>
              </w:rPr>
              <w:t>27</w:t>
            </w:r>
            <w:r>
              <w:rPr>
                <w:rFonts w:hint="eastAsia" w:ascii="宋体" w:hAnsi="宋体" w:eastAsia="宋体" w:cs="宋体"/>
                <w:kern w:val="0"/>
                <w:sz w:val="21"/>
                <w:szCs w:val="21"/>
              </w:rPr>
              <w:t>00≤加权 Qnet,ar＜</w:t>
            </w:r>
            <w:r>
              <w:rPr>
                <w:rFonts w:hint="eastAsia" w:ascii="宋体" w:hAnsi="宋体" w:cs="宋体"/>
                <w:kern w:val="0"/>
                <w:sz w:val="21"/>
                <w:szCs w:val="21"/>
                <w:lang w:val="en-US" w:eastAsia="zh-CN"/>
              </w:rPr>
              <w:t>28</w:t>
            </w:r>
            <w:r>
              <w:rPr>
                <w:rFonts w:hint="eastAsia" w:ascii="宋体" w:hAnsi="宋体" w:eastAsia="宋体" w:cs="宋体"/>
                <w:kern w:val="0"/>
                <w:sz w:val="21"/>
                <w:szCs w:val="21"/>
              </w:rPr>
              <w:t>00</w:t>
            </w:r>
          </w:p>
        </w:tc>
        <w:tc>
          <w:tcPr>
            <w:tcW w:w="2425" w:type="dxa"/>
            <w:tcBorders>
              <w:top w:val="single" w:color="000000" w:sz="4" w:space="0"/>
              <w:left w:val="single" w:color="000000" w:sz="4" w:space="0"/>
              <w:bottom w:val="single" w:color="000000" w:sz="4" w:space="0"/>
              <w:right w:val="single" w:color="000000" w:sz="4" w:space="0"/>
            </w:tcBorders>
            <w:noWrap/>
            <w:vAlign w:val="center"/>
          </w:tcPr>
          <w:p w14:paraId="3255A591">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基准单价-0.015</w:t>
            </w:r>
          </w:p>
        </w:tc>
        <w:tc>
          <w:tcPr>
            <w:tcW w:w="1465" w:type="dxa"/>
            <w:vMerge w:val="continue"/>
            <w:tcBorders>
              <w:left w:val="single" w:color="000000" w:sz="4" w:space="0"/>
              <w:right w:val="single" w:color="000000" w:sz="4" w:space="0"/>
            </w:tcBorders>
            <w:vAlign w:val="center"/>
          </w:tcPr>
          <w:p w14:paraId="26EFCE7A">
            <w:pPr>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sz w:val="21"/>
                <w:szCs w:val="21"/>
              </w:rPr>
            </w:pPr>
          </w:p>
        </w:tc>
        <w:tc>
          <w:tcPr>
            <w:tcW w:w="2625" w:type="dxa"/>
            <w:tcBorders>
              <w:top w:val="single" w:color="000000" w:sz="4" w:space="0"/>
              <w:left w:val="single" w:color="000000" w:sz="4" w:space="0"/>
              <w:bottom w:val="single" w:color="000000" w:sz="4" w:space="0"/>
              <w:right w:val="single" w:color="000000" w:sz="4" w:space="0"/>
            </w:tcBorders>
            <w:vAlign w:val="center"/>
          </w:tcPr>
          <w:p w14:paraId="2DE722BA">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收到基低位发热量×（基准单价-0.015）</w:t>
            </w:r>
          </w:p>
        </w:tc>
      </w:tr>
      <w:tr w14:paraId="72D422B9">
        <w:tblPrEx>
          <w:tblCellMar>
            <w:top w:w="0" w:type="dxa"/>
            <w:left w:w="108" w:type="dxa"/>
            <w:bottom w:w="0" w:type="dxa"/>
            <w:right w:w="108" w:type="dxa"/>
          </w:tblCellMar>
        </w:tblPrEx>
        <w:trPr>
          <w:trHeight w:val="660" w:hRule="atLeast"/>
          <w:jc w:val="center"/>
        </w:trPr>
        <w:tc>
          <w:tcPr>
            <w:tcW w:w="3108" w:type="dxa"/>
            <w:tcBorders>
              <w:top w:val="single" w:color="000000" w:sz="4" w:space="0"/>
              <w:left w:val="single" w:color="000000" w:sz="4" w:space="0"/>
              <w:bottom w:val="single" w:color="000000" w:sz="4" w:space="0"/>
              <w:right w:val="single" w:color="000000" w:sz="4" w:space="0"/>
            </w:tcBorders>
            <w:noWrap/>
            <w:vAlign w:val="center"/>
          </w:tcPr>
          <w:p w14:paraId="0E0825C0">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kern w:val="0"/>
                <w:sz w:val="21"/>
                <w:szCs w:val="21"/>
              </w:rPr>
            </w:pPr>
            <w:r>
              <w:rPr>
                <w:rFonts w:hint="eastAsia" w:ascii="宋体" w:hAnsi="宋体" w:cs="宋体"/>
                <w:kern w:val="0"/>
                <w:sz w:val="21"/>
                <w:szCs w:val="21"/>
                <w:lang w:val="en-US" w:eastAsia="zh-CN"/>
              </w:rPr>
              <w:t>26</w:t>
            </w:r>
            <w:r>
              <w:rPr>
                <w:rFonts w:hint="eastAsia" w:ascii="宋体" w:hAnsi="宋体" w:eastAsia="宋体" w:cs="宋体"/>
                <w:kern w:val="0"/>
                <w:sz w:val="21"/>
                <w:szCs w:val="21"/>
              </w:rPr>
              <w:t>00≤加权 Qnet,ar＜</w:t>
            </w:r>
            <w:r>
              <w:rPr>
                <w:rFonts w:hint="eastAsia" w:ascii="宋体" w:hAnsi="宋体" w:cs="宋体"/>
                <w:kern w:val="0"/>
                <w:sz w:val="21"/>
                <w:szCs w:val="21"/>
                <w:lang w:val="en-US" w:eastAsia="zh-CN"/>
              </w:rPr>
              <w:t>27</w:t>
            </w:r>
            <w:r>
              <w:rPr>
                <w:rFonts w:hint="eastAsia" w:ascii="宋体" w:hAnsi="宋体" w:eastAsia="宋体" w:cs="宋体"/>
                <w:kern w:val="0"/>
                <w:sz w:val="21"/>
                <w:szCs w:val="21"/>
              </w:rPr>
              <w:t>00</w:t>
            </w:r>
          </w:p>
        </w:tc>
        <w:tc>
          <w:tcPr>
            <w:tcW w:w="2425" w:type="dxa"/>
            <w:tcBorders>
              <w:top w:val="single" w:color="000000" w:sz="4" w:space="0"/>
              <w:left w:val="single" w:color="000000" w:sz="4" w:space="0"/>
              <w:bottom w:val="single" w:color="000000" w:sz="4" w:space="0"/>
              <w:right w:val="single" w:color="000000" w:sz="4" w:space="0"/>
            </w:tcBorders>
            <w:noWrap/>
            <w:vAlign w:val="center"/>
          </w:tcPr>
          <w:p w14:paraId="779D4EA4">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基准单价-0.02</w:t>
            </w:r>
          </w:p>
        </w:tc>
        <w:tc>
          <w:tcPr>
            <w:tcW w:w="1465" w:type="dxa"/>
            <w:vMerge w:val="continue"/>
            <w:tcBorders>
              <w:left w:val="single" w:color="000000" w:sz="4" w:space="0"/>
              <w:right w:val="single" w:color="000000" w:sz="4" w:space="0"/>
            </w:tcBorders>
            <w:vAlign w:val="center"/>
          </w:tcPr>
          <w:p w14:paraId="4674E85B">
            <w:pPr>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sz w:val="21"/>
                <w:szCs w:val="21"/>
              </w:rPr>
            </w:pPr>
          </w:p>
        </w:tc>
        <w:tc>
          <w:tcPr>
            <w:tcW w:w="2625" w:type="dxa"/>
            <w:tcBorders>
              <w:top w:val="single" w:color="000000" w:sz="4" w:space="0"/>
              <w:left w:val="single" w:color="000000" w:sz="4" w:space="0"/>
              <w:bottom w:val="single" w:color="000000" w:sz="4" w:space="0"/>
              <w:right w:val="single" w:color="000000" w:sz="4" w:space="0"/>
            </w:tcBorders>
            <w:vAlign w:val="center"/>
          </w:tcPr>
          <w:p w14:paraId="35A913FF">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收到基低位发热量×（基准单价-0.02）</w:t>
            </w:r>
          </w:p>
        </w:tc>
      </w:tr>
      <w:tr w14:paraId="50EB5CA6">
        <w:tblPrEx>
          <w:tblCellMar>
            <w:top w:w="0" w:type="dxa"/>
            <w:left w:w="108" w:type="dxa"/>
            <w:bottom w:w="0" w:type="dxa"/>
            <w:right w:w="108" w:type="dxa"/>
          </w:tblCellMar>
        </w:tblPrEx>
        <w:trPr>
          <w:trHeight w:val="573" w:hRule="atLeast"/>
          <w:jc w:val="center"/>
        </w:trPr>
        <w:tc>
          <w:tcPr>
            <w:tcW w:w="3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B00EC">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kern w:val="2"/>
                <w:sz w:val="21"/>
                <w:szCs w:val="21"/>
                <w:lang w:val="en-US" w:eastAsia="zh-CN" w:bidi="ar-SA"/>
              </w:rPr>
            </w:pPr>
            <w:r>
              <w:rPr>
                <w:rFonts w:hint="eastAsia" w:ascii="宋体" w:hAnsi="宋体" w:cs="宋体"/>
                <w:kern w:val="0"/>
                <w:sz w:val="21"/>
                <w:szCs w:val="21"/>
                <w:lang w:val="en-US" w:eastAsia="zh-CN"/>
              </w:rPr>
              <w:t>25</w:t>
            </w:r>
            <w:r>
              <w:rPr>
                <w:rFonts w:hint="eastAsia" w:ascii="宋体" w:hAnsi="宋体" w:eastAsia="宋体" w:cs="宋体"/>
                <w:kern w:val="0"/>
                <w:sz w:val="21"/>
                <w:szCs w:val="21"/>
              </w:rPr>
              <w:t>00≤加权 Qnet,ar＜</w:t>
            </w:r>
            <w:r>
              <w:rPr>
                <w:rFonts w:hint="eastAsia" w:ascii="宋体" w:hAnsi="宋体" w:cs="宋体"/>
                <w:kern w:val="0"/>
                <w:sz w:val="21"/>
                <w:szCs w:val="21"/>
                <w:lang w:val="en-US" w:eastAsia="zh-CN"/>
              </w:rPr>
              <w:t>26</w:t>
            </w:r>
            <w:r>
              <w:rPr>
                <w:rFonts w:hint="eastAsia" w:ascii="宋体" w:hAnsi="宋体" w:eastAsia="宋体" w:cs="宋体"/>
                <w:kern w:val="0"/>
                <w:sz w:val="21"/>
                <w:szCs w:val="21"/>
              </w:rPr>
              <w:t>00</w:t>
            </w:r>
          </w:p>
        </w:tc>
        <w:tc>
          <w:tcPr>
            <w:tcW w:w="2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0A975">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0"/>
                <w:sz w:val="21"/>
                <w:szCs w:val="21"/>
              </w:rPr>
              <w:t>基准单价-0.025</w:t>
            </w:r>
          </w:p>
        </w:tc>
        <w:tc>
          <w:tcPr>
            <w:tcW w:w="1465" w:type="dxa"/>
            <w:vMerge w:val="continue"/>
            <w:tcBorders>
              <w:left w:val="single" w:color="000000" w:sz="4" w:space="0"/>
              <w:bottom w:val="single" w:color="000000" w:sz="4" w:space="0"/>
              <w:right w:val="single" w:color="000000" w:sz="4" w:space="0"/>
            </w:tcBorders>
            <w:shd w:val="clear" w:color="auto" w:fill="auto"/>
            <w:vAlign w:val="center"/>
          </w:tcPr>
          <w:p w14:paraId="1AA8334B">
            <w:pPr>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kern w:val="2"/>
                <w:sz w:val="21"/>
                <w:szCs w:val="21"/>
                <w:lang w:val="en-US" w:eastAsia="zh-CN" w:bidi="ar-SA"/>
              </w:rPr>
            </w:pP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E4842">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0"/>
                <w:sz w:val="21"/>
                <w:szCs w:val="21"/>
              </w:rPr>
              <w:t>收到基低位发热量×（基准单价-0.025）</w:t>
            </w:r>
          </w:p>
        </w:tc>
      </w:tr>
      <w:tr w14:paraId="122A4BDD">
        <w:tblPrEx>
          <w:tblCellMar>
            <w:top w:w="0" w:type="dxa"/>
            <w:left w:w="108" w:type="dxa"/>
            <w:bottom w:w="0" w:type="dxa"/>
            <w:right w:w="108" w:type="dxa"/>
          </w:tblCellMar>
        </w:tblPrEx>
        <w:trPr>
          <w:trHeight w:val="400" w:hRule="atLeast"/>
          <w:jc w:val="center"/>
        </w:trPr>
        <w:tc>
          <w:tcPr>
            <w:tcW w:w="3108" w:type="dxa"/>
            <w:tcBorders>
              <w:top w:val="single" w:color="000000" w:sz="4" w:space="0"/>
              <w:left w:val="single" w:color="000000" w:sz="4" w:space="0"/>
              <w:bottom w:val="single" w:color="000000" w:sz="4" w:space="0"/>
              <w:right w:val="single" w:color="000000" w:sz="4" w:space="0"/>
            </w:tcBorders>
            <w:noWrap/>
            <w:vAlign w:val="center"/>
          </w:tcPr>
          <w:p w14:paraId="426BD84C">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center"/>
              <w:rPr>
                <w:rFonts w:hint="default" w:ascii="宋体" w:hAnsi="宋体" w:eastAsia="宋体" w:cs="宋体"/>
                <w:sz w:val="21"/>
                <w:szCs w:val="21"/>
                <w:lang w:val="en-US" w:eastAsia="zh-CN"/>
              </w:rPr>
            </w:pPr>
            <w:r>
              <w:rPr>
                <w:rFonts w:hint="eastAsia" w:ascii="宋体" w:hAnsi="宋体" w:cs="宋体"/>
                <w:kern w:val="0"/>
                <w:sz w:val="21"/>
                <w:szCs w:val="21"/>
                <w:lang w:val="en-US" w:eastAsia="zh-CN"/>
              </w:rPr>
              <w:t>2000</w:t>
            </w:r>
            <w:r>
              <w:rPr>
                <w:rFonts w:hint="eastAsia" w:ascii="宋体" w:hAnsi="宋体" w:eastAsia="宋体" w:cs="宋体"/>
                <w:kern w:val="0"/>
                <w:sz w:val="21"/>
                <w:szCs w:val="21"/>
              </w:rPr>
              <w:t>≤单批次Qnet,ar＜</w:t>
            </w:r>
            <w:r>
              <w:rPr>
                <w:rFonts w:hint="eastAsia" w:ascii="宋体" w:hAnsi="宋体" w:cs="宋体"/>
                <w:kern w:val="0"/>
                <w:sz w:val="21"/>
                <w:szCs w:val="21"/>
                <w:lang w:val="en-US" w:eastAsia="zh-CN"/>
              </w:rPr>
              <w:t>2500</w:t>
            </w:r>
          </w:p>
        </w:tc>
        <w:tc>
          <w:tcPr>
            <w:tcW w:w="2425" w:type="dxa"/>
            <w:tcBorders>
              <w:top w:val="single" w:color="000000" w:sz="4" w:space="0"/>
              <w:left w:val="single" w:color="000000" w:sz="4" w:space="0"/>
              <w:bottom w:val="single" w:color="000000" w:sz="4" w:space="0"/>
              <w:right w:val="single" w:color="auto" w:sz="4" w:space="0"/>
            </w:tcBorders>
            <w:noWrap/>
            <w:vAlign w:val="center"/>
          </w:tcPr>
          <w:p w14:paraId="31C15241">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基准单价×0.5</w:t>
            </w:r>
          </w:p>
        </w:tc>
        <w:tc>
          <w:tcPr>
            <w:tcW w:w="1465" w:type="dxa"/>
            <w:vMerge w:val="restart"/>
            <w:tcBorders>
              <w:top w:val="single" w:color="000000" w:sz="4" w:space="0"/>
              <w:left w:val="single" w:color="auto" w:sz="4" w:space="0"/>
              <w:right w:val="single" w:color="000000" w:sz="4" w:space="0"/>
            </w:tcBorders>
            <w:noWrap/>
            <w:vAlign w:val="center"/>
          </w:tcPr>
          <w:p w14:paraId="0B5F27CC">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单批次考核</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0FB9FCB4">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收到基低位发热量×基准单价×0.5</w:t>
            </w:r>
          </w:p>
        </w:tc>
      </w:tr>
      <w:tr w14:paraId="7938828C">
        <w:tblPrEx>
          <w:tblCellMar>
            <w:top w:w="0" w:type="dxa"/>
            <w:left w:w="108" w:type="dxa"/>
            <w:bottom w:w="0" w:type="dxa"/>
            <w:right w:w="108" w:type="dxa"/>
          </w:tblCellMar>
        </w:tblPrEx>
        <w:trPr>
          <w:trHeight w:val="400" w:hRule="atLeast"/>
          <w:jc w:val="center"/>
        </w:trPr>
        <w:tc>
          <w:tcPr>
            <w:tcW w:w="3108" w:type="dxa"/>
            <w:tcBorders>
              <w:top w:val="single" w:color="000000" w:sz="4" w:space="0"/>
              <w:left w:val="single" w:color="000000" w:sz="4" w:space="0"/>
              <w:bottom w:val="single" w:color="000000" w:sz="4" w:space="0"/>
              <w:right w:val="single" w:color="000000" w:sz="4" w:space="0"/>
            </w:tcBorders>
            <w:noWrap/>
            <w:vAlign w:val="center"/>
          </w:tcPr>
          <w:p w14:paraId="0C6F582C">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kern w:val="0"/>
                <w:sz w:val="21"/>
                <w:szCs w:val="21"/>
              </w:rPr>
            </w:pPr>
            <w:r>
              <w:rPr>
                <w:rFonts w:hint="eastAsia" w:ascii="宋体" w:hAnsi="宋体" w:cs="宋体"/>
                <w:kern w:val="0"/>
                <w:sz w:val="21"/>
                <w:szCs w:val="21"/>
                <w:lang w:val="en-US" w:eastAsia="zh-CN"/>
              </w:rPr>
              <w:t>1500</w:t>
            </w:r>
            <w:r>
              <w:rPr>
                <w:rFonts w:hint="eastAsia" w:ascii="宋体" w:hAnsi="宋体" w:eastAsia="宋体" w:cs="宋体"/>
                <w:kern w:val="0"/>
                <w:sz w:val="21"/>
                <w:szCs w:val="21"/>
              </w:rPr>
              <w:t>≤单批次Qnet,ar＜</w:t>
            </w:r>
            <w:r>
              <w:rPr>
                <w:rFonts w:hint="eastAsia" w:ascii="宋体" w:hAnsi="宋体" w:cs="宋体"/>
                <w:kern w:val="0"/>
                <w:sz w:val="21"/>
                <w:szCs w:val="21"/>
                <w:lang w:val="en-US" w:eastAsia="zh-CN"/>
              </w:rPr>
              <w:t>20</w:t>
            </w:r>
            <w:r>
              <w:rPr>
                <w:rFonts w:hint="eastAsia" w:ascii="宋体" w:hAnsi="宋体" w:eastAsia="宋体" w:cs="宋体"/>
                <w:kern w:val="0"/>
                <w:sz w:val="21"/>
                <w:szCs w:val="21"/>
              </w:rPr>
              <w:t>00</w:t>
            </w:r>
          </w:p>
        </w:tc>
        <w:tc>
          <w:tcPr>
            <w:tcW w:w="2425" w:type="dxa"/>
            <w:tcBorders>
              <w:top w:val="single" w:color="000000" w:sz="4" w:space="0"/>
              <w:left w:val="single" w:color="000000" w:sz="4" w:space="0"/>
              <w:bottom w:val="single" w:color="000000" w:sz="4" w:space="0"/>
              <w:right w:val="single" w:color="000000" w:sz="4" w:space="0"/>
            </w:tcBorders>
            <w:noWrap/>
            <w:vAlign w:val="center"/>
          </w:tcPr>
          <w:p w14:paraId="3B421312">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基准单价×0.2</w:t>
            </w:r>
          </w:p>
        </w:tc>
        <w:tc>
          <w:tcPr>
            <w:tcW w:w="1465" w:type="dxa"/>
            <w:vMerge w:val="continue"/>
            <w:tcBorders>
              <w:left w:val="single" w:color="auto" w:sz="4" w:space="0"/>
              <w:right w:val="single" w:color="000000" w:sz="4" w:space="0"/>
            </w:tcBorders>
            <w:noWrap/>
            <w:vAlign w:val="center"/>
          </w:tcPr>
          <w:p w14:paraId="1B615263">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kern w:val="0"/>
                <w:sz w:val="21"/>
                <w:szCs w:val="21"/>
              </w:rPr>
            </w:pP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5D53E69E">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收到基低位发热量×基准单价×0.2</w:t>
            </w:r>
          </w:p>
        </w:tc>
      </w:tr>
      <w:tr w14:paraId="17079848">
        <w:tblPrEx>
          <w:tblCellMar>
            <w:top w:w="0" w:type="dxa"/>
            <w:left w:w="108" w:type="dxa"/>
            <w:bottom w:w="0" w:type="dxa"/>
            <w:right w:w="108" w:type="dxa"/>
          </w:tblCellMar>
        </w:tblPrEx>
        <w:trPr>
          <w:trHeight w:val="353" w:hRule="atLeast"/>
          <w:jc w:val="center"/>
        </w:trPr>
        <w:tc>
          <w:tcPr>
            <w:tcW w:w="3108" w:type="dxa"/>
            <w:tcBorders>
              <w:top w:val="single" w:color="000000" w:sz="4" w:space="0"/>
              <w:left w:val="single" w:color="000000" w:sz="4" w:space="0"/>
              <w:bottom w:val="single" w:color="000000" w:sz="4" w:space="0"/>
              <w:right w:val="single" w:color="000000" w:sz="4" w:space="0"/>
            </w:tcBorders>
            <w:noWrap/>
            <w:vAlign w:val="center"/>
          </w:tcPr>
          <w:p w14:paraId="739ADD83">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单批次Qnet,ar＜</w:t>
            </w:r>
            <w:r>
              <w:rPr>
                <w:rFonts w:hint="eastAsia" w:ascii="宋体" w:hAnsi="宋体" w:cs="宋体"/>
                <w:kern w:val="0"/>
                <w:sz w:val="21"/>
                <w:szCs w:val="21"/>
                <w:lang w:val="en-US" w:eastAsia="zh-CN"/>
              </w:rPr>
              <w:t>15</w:t>
            </w:r>
            <w:r>
              <w:rPr>
                <w:rFonts w:hint="eastAsia" w:ascii="宋体" w:hAnsi="宋体" w:eastAsia="宋体" w:cs="宋体"/>
                <w:kern w:val="0"/>
                <w:sz w:val="21"/>
                <w:szCs w:val="21"/>
              </w:rPr>
              <w:t>00</w:t>
            </w:r>
          </w:p>
        </w:tc>
        <w:tc>
          <w:tcPr>
            <w:tcW w:w="2425" w:type="dxa"/>
            <w:tcBorders>
              <w:top w:val="single" w:color="000000" w:sz="4" w:space="0"/>
              <w:left w:val="single" w:color="000000" w:sz="4" w:space="0"/>
              <w:bottom w:val="single" w:color="000000" w:sz="4" w:space="0"/>
              <w:right w:val="single" w:color="000000" w:sz="4" w:space="0"/>
            </w:tcBorders>
            <w:noWrap/>
            <w:vAlign w:val="center"/>
          </w:tcPr>
          <w:p w14:paraId="5991C1D1">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w:t>
            </w:r>
          </w:p>
        </w:tc>
        <w:tc>
          <w:tcPr>
            <w:tcW w:w="4090" w:type="dxa"/>
            <w:gridSpan w:val="2"/>
            <w:tcBorders>
              <w:top w:val="single" w:color="auto" w:sz="4" w:space="0"/>
              <w:left w:val="single" w:color="000000" w:sz="4" w:space="0"/>
              <w:bottom w:val="single" w:color="auto" w:sz="4" w:space="0"/>
              <w:right w:val="single" w:color="000000" w:sz="4" w:space="0"/>
            </w:tcBorders>
            <w:noWrap/>
            <w:vAlign w:val="center"/>
          </w:tcPr>
          <w:p w14:paraId="033A5AEA">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通知乙方停发；若已收则按</w:t>
            </w:r>
            <w:r>
              <w:rPr>
                <w:rFonts w:hint="eastAsia" w:ascii="宋体" w:hAnsi="宋体" w:cs="宋体"/>
                <w:kern w:val="0"/>
                <w:sz w:val="21"/>
                <w:szCs w:val="21"/>
                <w:lang w:val="en-US" w:eastAsia="zh-CN"/>
              </w:rPr>
              <w:t>1</w:t>
            </w:r>
            <w:r>
              <w:rPr>
                <w:rFonts w:hint="eastAsia" w:ascii="宋体" w:hAnsi="宋体" w:eastAsia="宋体" w:cs="宋体"/>
                <w:kern w:val="0"/>
                <w:sz w:val="21"/>
                <w:szCs w:val="21"/>
              </w:rPr>
              <w:t>元/吨结算，不计质量调整价</w:t>
            </w:r>
          </w:p>
        </w:tc>
      </w:tr>
    </w:tbl>
    <w:p w14:paraId="6EA11CAD">
      <w:pPr>
        <w:keepNext w:val="0"/>
        <w:keepLines w:val="0"/>
        <w:pageBreakBefore w:val="0"/>
        <w:widowControl/>
        <w:kinsoku/>
        <w:wordWrap/>
        <w:overflowPunct/>
        <w:topLinePunct w:val="0"/>
        <w:autoSpaceDE/>
        <w:autoSpaceDN/>
        <w:bidi w:val="0"/>
        <w:adjustRightInd/>
        <w:spacing w:line="360" w:lineRule="auto"/>
        <w:ind w:left="0" w:leftChars="0" w:firstLine="422" w:firstLineChars="200"/>
        <w:jc w:val="left"/>
        <w:rPr>
          <w:rFonts w:hint="eastAsia" w:ascii="宋体" w:hAnsi="宋体" w:eastAsia="宋体" w:cs="宋体"/>
          <w:b/>
          <w:bCs/>
          <w:color w:val="000000"/>
          <w:kern w:val="0"/>
          <w:sz w:val="21"/>
          <w:szCs w:val="21"/>
          <w:lang w:eastAsia="zh-CN"/>
        </w:rPr>
      </w:pPr>
      <w:r>
        <w:rPr>
          <w:rFonts w:hint="eastAsia" w:ascii="宋体" w:hAnsi="宋体" w:cs="宋体"/>
          <w:b/>
          <w:bCs/>
          <w:color w:val="000000"/>
          <w:kern w:val="0"/>
          <w:sz w:val="21"/>
          <w:szCs w:val="21"/>
          <w:lang w:val="en-US" w:eastAsia="zh-CN"/>
        </w:rPr>
        <w:t>发热量计价</w:t>
      </w:r>
      <w:r>
        <w:rPr>
          <w:rFonts w:hint="eastAsia" w:ascii="宋体" w:hAnsi="宋体" w:eastAsia="宋体" w:cs="宋体"/>
          <w:b/>
          <w:bCs/>
          <w:color w:val="000000"/>
          <w:kern w:val="0"/>
          <w:sz w:val="21"/>
          <w:szCs w:val="21"/>
          <w:lang w:val="en-US" w:eastAsia="zh-CN"/>
        </w:rPr>
        <w:t>计算</w:t>
      </w:r>
      <w:r>
        <w:rPr>
          <w:rFonts w:hint="eastAsia" w:ascii="宋体" w:hAnsi="宋体" w:eastAsia="宋体" w:cs="宋体"/>
          <w:b/>
          <w:bCs/>
          <w:color w:val="000000"/>
          <w:kern w:val="0"/>
          <w:sz w:val="21"/>
          <w:szCs w:val="21"/>
        </w:rPr>
        <w:t>说明</w:t>
      </w:r>
      <w:r>
        <w:rPr>
          <w:rFonts w:hint="eastAsia" w:ascii="宋体" w:hAnsi="宋体" w:cs="宋体"/>
          <w:b/>
          <w:bCs/>
          <w:color w:val="000000"/>
          <w:kern w:val="0"/>
          <w:sz w:val="21"/>
          <w:szCs w:val="21"/>
          <w:lang w:eastAsia="zh-CN"/>
        </w:rPr>
        <w:t>：</w:t>
      </w:r>
    </w:p>
    <w:p w14:paraId="1B854915">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SA"/>
        </w:rPr>
        <w:t>1）</w:t>
      </w:r>
      <w:r>
        <w:rPr>
          <w:rFonts w:hint="eastAsia" w:ascii="宋体" w:hAnsi="宋体" w:eastAsia="宋体" w:cs="宋体"/>
          <w:color w:val="000000"/>
          <w:kern w:val="0"/>
          <w:sz w:val="21"/>
          <w:szCs w:val="21"/>
        </w:rPr>
        <w:t>各批次发热量Qnet,ar≥</w:t>
      </w:r>
      <w:r>
        <w:rPr>
          <w:rFonts w:hint="eastAsia" w:ascii="宋体" w:hAnsi="宋体" w:cs="宋体"/>
          <w:color w:val="000000"/>
          <w:kern w:val="0"/>
          <w:sz w:val="21"/>
          <w:szCs w:val="21"/>
          <w:lang w:val="en-US" w:eastAsia="zh-CN"/>
        </w:rPr>
        <w:t>25</w:t>
      </w:r>
      <w:r>
        <w:rPr>
          <w:rFonts w:hint="eastAsia" w:ascii="宋体" w:hAnsi="宋体" w:eastAsia="宋体" w:cs="宋体"/>
          <w:color w:val="000000"/>
          <w:kern w:val="0"/>
          <w:sz w:val="21"/>
          <w:szCs w:val="21"/>
        </w:rPr>
        <w:t>00kcal/kg的来煤进入加权，加权后的热值按对应热值范围结算；</w:t>
      </w:r>
    </w:p>
    <w:p w14:paraId="3F3DAAB1">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val="en-US" w:eastAsia="zh-CN" w:bidi="ar-SA"/>
        </w:rPr>
        <w:t>2</w:t>
      </w:r>
      <w:r>
        <w:rPr>
          <w:rFonts w:hint="eastAsia" w:ascii="宋体" w:hAnsi="宋体" w:eastAsia="宋体" w:cs="宋体"/>
          <w:color w:val="000000"/>
          <w:kern w:val="0"/>
          <w:sz w:val="21"/>
          <w:szCs w:val="21"/>
          <w:lang w:val="en-US" w:eastAsia="zh-CN" w:bidi="ar-SA"/>
        </w:rPr>
        <w:t>）</w:t>
      </w:r>
      <w:r>
        <w:rPr>
          <w:rFonts w:hint="eastAsia" w:ascii="宋体" w:hAnsi="宋体" w:eastAsia="宋体" w:cs="宋体"/>
          <w:kern w:val="0"/>
          <w:sz w:val="21"/>
          <w:szCs w:val="21"/>
        </w:rPr>
        <w:t>单批次</w:t>
      </w:r>
      <w:r>
        <w:rPr>
          <w:rFonts w:hint="eastAsia" w:ascii="宋体" w:hAnsi="宋体" w:cs="宋体"/>
          <w:kern w:val="0"/>
          <w:sz w:val="21"/>
          <w:szCs w:val="21"/>
          <w:lang w:val="en-US" w:eastAsia="zh-CN"/>
        </w:rPr>
        <w:t>2000</w:t>
      </w:r>
      <w:r>
        <w:rPr>
          <w:rFonts w:hint="eastAsia" w:ascii="宋体" w:hAnsi="宋体" w:eastAsia="宋体" w:cs="宋体"/>
          <w:kern w:val="0"/>
          <w:sz w:val="21"/>
          <w:szCs w:val="21"/>
        </w:rPr>
        <w:t>≤Qnet,ar＜</w:t>
      </w:r>
      <w:r>
        <w:rPr>
          <w:rFonts w:hint="eastAsia" w:ascii="宋体" w:hAnsi="宋体" w:cs="宋体"/>
          <w:kern w:val="0"/>
          <w:sz w:val="21"/>
          <w:szCs w:val="21"/>
          <w:lang w:val="en-US" w:eastAsia="zh-CN"/>
        </w:rPr>
        <w:t>250</w:t>
      </w:r>
      <w:r>
        <w:rPr>
          <w:rFonts w:hint="eastAsia" w:ascii="宋体" w:hAnsi="宋体" w:eastAsia="宋体" w:cs="宋体"/>
          <w:kern w:val="0"/>
          <w:sz w:val="21"/>
          <w:szCs w:val="21"/>
        </w:rPr>
        <w:t>0</w:t>
      </w:r>
      <w:r>
        <w:rPr>
          <w:rFonts w:hint="eastAsia" w:ascii="宋体" w:hAnsi="宋体" w:eastAsia="宋体" w:cs="宋体"/>
          <w:color w:val="000000"/>
          <w:kern w:val="0"/>
          <w:sz w:val="21"/>
          <w:szCs w:val="21"/>
        </w:rPr>
        <w:t>kcal/kg的来煤不参与加权，按单批次结算,验收值</w:t>
      </w:r>
      <w:r>
        <w:rPr>
          <w:rFonts w:hint="eastAsia" w:ascii="宋体" w:hAnsi="宋体" w:eastAsia="宋体" w:cs="宋体"/>
          <w:kern w:val="0"/>
          <w:sz w:val="21"/>
          <w:szCs w:val="21"/>
        </w:rPr>
        <w:t>收到基低位发热量×基准单价×0.5；</w:t>
      </w:r>
    </w:p>
    <w:p w14:paraId="7EF509FA">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val="en-US" w:eastAsia="zh-CN" w:bidi="ar-SA"/>
        </w:rPr>
        <w:t>3</w:t>
      </w:r>
      <w:r>
        <w:rPr>
          <w:rFonts w:hint="eastAsia" w:ascii="宋体" w:hAnsi="宋体" w:eastAsia="宋体" w:cs="宋体"/>
          <w:color w:val="000000"/>
          <w:kern w:val="0"/>
          <w:sz w:val="21"/>
          <w:szCs w:val="21"/>
          <w:lang w:val="en-US" w:eastAsia="zh-CN" w:bidi="ar-SA"/>
        </w:rPr>
        <w:t>）</w:t>
      </w:r>
      <w:r>
        <w:rPr>
          <w:rFonts w:hint="eastAsia" w:ascii="宋体" w:hAnsi="宋体" w:eastAsia="宋体" w:cs="宋体"/>
          <w:kern w:val="0"/>
          <w:sz w:val="21"/>
          <w:szCs w:val="21"/>
        </w:rPr>
        <w:t>单批次</w:t>
      </w:r>
      <w:r>
        <w:rPr>
          <w:rFonts w:hint="eastAsia" w:ascii="宋体" w:hAnsi="宋体" w:cs="宋体"/>
          <w:kern w:val="0"/>
          <w:sz w:val="21"/>
          <w:szCs w:val="21"/>
          <w:lang w:val="en-US" w:eastAsia="zh-CN"/>
        </w:rPr>
        <w:t>15</w:t>
      </w:r>
      <w:r>
        <w:rPr>
          <w:rFonts w:hint="eastAsia" w:ascii="宋体" w:hAnsi="宋体" w:eastAsia="宋体" w:cs="宋体"/>
          <w:kern w:val="0"/>
          <w:sz w:val="21"/>
          <w:szCs w:val="21"/>
        </w:rPr>
        <w:t>00≤Qnet,ar＜</w:t>
      </w:r>
      <w:r>
        <w:rPr>
          <w:rFonts w:hint="eastAsia" w:ascii="宋体" w:hAnsi="宋体" w:cs="宋体"/>
          <w:kern w:val="0"/>
          <w:sz w:val="21"/>
          <w:szCs w:val="21"/>
          <w:lang w:val="en-US" w:eastAsia="zh-CN"/>
        </w:rPr>
        <w:t>20</w:t>
      </w:r>
      <w:r>
        <w:rPr>
          <w:rFonts w:hint="eastAsia" w:ascii="宋体" w:hAnsi="宋体" w:eastAsia="宋体" w:cs="宋体"/>
          <w:kern w:val="0"/>
          <w:sz w:val="21"/>
          <w:szCs w:val="21"/>
        </w:rPr>
        <w:t>00</w:t>
      </w:r>
      <w:r>
        <w:rPr>
          <w:rFonts w:hint="eastAsia" w:ascii="宋体" w:hAnsi="宋体" w:eastAsia="宋体" w:cs="宋体"/>
          <w:color w:val="000000"/>
          <w:kern w:val="0"/>
          <w:sz w:val="21"/>
          <w:szCs w:val="21"/>
        </w:rPr>
        <w:t>kcal/kg的来煤不参与加权，按单批次结算,验收值</w:t>
      </w:r>
      <w:r>
        <w:rPr>
          <w:rFonts w:hint="eastAsia" w:ascii="宋体" w:hAnsi="宋体" w:eastAsia="宋体" w:cs="宋体"/>
          <w:kern w:val="0"/>
          <w:sz w:val="21"/>
          <w:szCs w:val="21"/>
        </w:rPr>
        <w:t>收到基低位发热量×基准单价×0.2；</w:t>
      </w:r>
    </w:p>
    <w:p w14:paraId="2842E711">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b/>
          <w:bCs/>
          <w:color w:val="000000"/>
          <w:kern w:val="0"/>
          <w:sz w:val="21"/>
          <w:szCs w:val="21"/>
          <w:lang w:val="en-US" w:eastAsia="zh-CN"/>
        </w:rPr>
      </w:pPr>
      <w:r>
        <w:rPr>
          <w:rFonts w:hint="eastAsia" w:ascii="宋体" w:hAnsi="宋体" w:cs="宋体"/>
          <w:color w:val="000000"/>
          <w:kern w:val="0"/>
          <w:sz w:val="21"/>
          <w:szCs w:val="21"/>
          <w:lang w:val="en-US" w:eastAsia="zh-CN" w:bidi="ar-SA"/>
        </w:rPr>
        <w:t>4</w:t>
      </w:r>
      <w:r>
        <w:rPr>
          <w:rFonts w:hint="eastAsia" w:ascii="宋体" w:hAnsi="宋体" w:eastAsia="宋体" w:cs="宋体"/>
          <w:color w:val="000000"/>
          <w:kern w:val="0"/>
          <w:sz w:val="21"/>
          <w:szCs w:val="21"/>
          <w:lang w:val="en-US" w:eastAsia="zh-CN" w:bidi="ar-SA"/>
        </w:rPr>
        <w:t>）</w:t>
      </w:r>
      <w:r>
        <w:rPr>
          <w:rFonts w:hint="eastAsia" w:ascii="宋体" w:hAnsi="宋体" w:eastAsia="宋体" w:cs="宋体"/>
          <w:kern w:val="0"/>
          <w:sz w:val="21"/>
          <w:szCs w:val="21"/>
        </w:rPr>
        <w:t>单批次Qnet,ar＜</w:t>
      </w:r>
      <w:r>
        <w:rPr>
          <w:rFonts w:hint="eastAsia" w:ascii="宋体" w:hAnsi="宋体" w:cs="宋体"/>
          <w:kern w:val="0"/>
          <w:sz w:val="21"/>
          <w:szCs w:val="21"/>
          <w:lang w:val="en-US" w:eastAsia="zh-CN"/>
        </w:rPr>
        <w:t>15</w:t>
      </w:r>
      <w:r>
        <w:rPr>
          <w:rFonts w:hint="eastAsia" w:ascii="宋体" w:hAnsi="宋体" w:eastAsia="宋体" w:cs="宋体"/>
          <w:kern w:val="0"/>
          <w:sz w:val="21"/>
          <w:szCs w:val="21"/>
        </w:rPr>
        <w:t>00</w:t>
      </w:r>
      <w:r>
        <w:rPr>
          <w:rFonts w:hint="eastAsia" w:ascii="宋体" w:hAnsi="宋体" w:eastAsia="宋体" w:cs="宋体"/>
          <w:color w:val="000000"/>
          <w:kern w:val="0"/>
          <w:sz w:val="21"/>
          <w:szCs w:val="21"/>
        </w:rPr>
        <w:t>kcal/kg的来煤</w:t>
      </w:r>
      <w:r>
        <w:rPr>
          <w:rFonts w:hint="eastAsia" w:ascii="宋体" w:hAnsi="宋体" w:eastAsia="宋体" w:cs="宋体"/>
          <w:kern w:val="0"/>
          <w:sz w:val="21"/>
          <w:szCs w:val="21"/>
        </w:rPr>
        <w:t>通知乙方停发；若已收则按</w:t>
      </w:r>
      <w:r>
        <w:rPr>
          <w:rFonts w:hint="eastAsia" w:ascii="宋体" w:hAnsi="宋体" w:cs="宋体"/>
          <w:kern w:val="0"/>
          <w:sz w:val="21"/>
          <w:szCs w:val="21"/>
          <w:lang w:val="en-US" w:eastAsia="zh-CN"/>
        </w:rPr>
        <w:t>1</w:t>
      </w:r>
      <w:r>
        <w:rPr>
          <w:rFonts w:hint="eastAsia" w:ascii="宋体" w:hAnsi="宋体" w:eastAsia="宋体" w:cs="宋体"/>
          <w:kern w:val="0"/>
          <w:sz w:val="21"/>
          <w:szCs w:val="21"/>
        </w:rPr>
        <w:t>元/吨结算，不计质量调整价</w:t>
      </w:r>
      <w:r>
        <w:rPr>
          <w:rFonts w:hint="eastAsia" w:ascii="宋体" w:hAnsi="宋体" w:eastAsia="宋体" w:cs="宋体"/>
          <w:kern w:val="0"/>
          <w:sz w:val="21"/>
          <w:szCs w:val="21"/>
          <w:lang w:eastAsia="zh-CN"/>
        </w:rPr>
        <w:t>。</w:t>
      </w:r>
    </w:p>
    <w:p w14:paraId="5CC689AB">
      <w:pPr>
        <w:keepNext w:val="0"/>
        <w:keepLines w:val="0"/>
        <w:pageBreakBefore w:val="0"/>
        <w:widowControl/>
        <w:kinsoku/>
        <w:wordWrap/>
        <w:overflowPunct/>
        <w:topLinePunct w:val="0"/>
        <w:autoSpaceDE/>
        <w:autoSpaceDN/>
        <w:bidi w:val="0"/>
        <w:adjustRightInd/>
        <w:spacing w:line="360" w:lineRule="auto"/>
        <w:ind w:firstLine="422" w:firstLineChars="200"/>
        <w:jc w:val="left"/>
        <w:rPr>
          <w:rFonts w:hint="eastAsia" w:ascii="宋体" w:hAnsi="宋体" w:eastAsia="宋体" w:cs="宋体"/>
          <w:sz w:val="21"/>
          <w:szCs w:val="21"/>
        </w:rPr>
      </w:pPr>
      <w:r>
        <w:rPr>
          <w:rFonts w:hint="eastAsia" w:ascii="宋体" w:hAnsi="宋体" w:cs="宋体"/>
          <w:b/>
          <w:bCs/>
          <w:color w:val="000000"/>
          <w:kern w:val="0"/>
          <w:sz w:val="21"/>
          <w:szCs w:val="21"/>
          <w:lang w:val="en-US" w:eastAsia="zh-CN"/>
        </w:rPr>
        <w:t>（2）</w:t>
      </w:r>
      <w:r>
        <w:rPr>
          <w:rFonts w:hint="eastAsia" w:ascii="宋体" w:hAnsi="宋体" w:eastAsia="宋体" w:cs="宋体"/>
          <w:b/>
          <w:bCs/>
          <w:color w:val="000000"/>
          <w:kern w:val="0"/>
          <w:sz w:val="21"/>
          <w:szCs w:val="21"/>
        </w:rPr>
        <w:t>质量调整价</w:t>
      </w:r>
    </w:p>
    <w:tbl>
      <w:tblPr>
        <w:tblStyle w:val="35"/>
        <w:tblW w:w="9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1305"/>
        <w:gridCol w:w="1350"/>
        <w:gridCol w:w="1155"/>
        <w:gridCol w:w="1387"/>
        <w:gridCol w:w="2753"/>
      </w:tblGrid>
      <w:tr w14:paraId="39C37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88" w:type="dxa"/>
            <w:tcBorders>
              <w:top w:val="single" w:color="auto" w:sz="4" w:space="0"/>
              <w:left w:val="single" w:color="auto" w:sz="4" w:space="0"/>
              <w:bottom w:val="single" w:color="auto" w:sz="4" w:space="0"/>
              <w:right w:val="single" w:color="auto" w:sz="4" w:space="0"/>
            </w:tcBorders>
            <w:vAlign w:val="center"/>
          </w:tcPr>
          <w:p w14:paraId="6D851E11">
            <w:pPr>
              <w:keepNext w:val="0"/>
              <w:keepLines w:val="0"/>
              <w:pageBreakBefore w:val="0"/>
              <w:kinsoku/>
              <w:wordWrap/>
              <w:overflowPunct/>
              <w:topLinePunct w:val="0"/>
              <w:autoSpaceDE/>
              <w:autoSpaceDN/>
              <w:bidi w:val="0"/>
              <w:adjustRightInd/>
              <w:snapToGrid w:val="0"/>
              <w:spacing w:line="240" w:lineRule="auto"/>
              <w:ind w:left="0" w:leftChars="0"/>
              <w:jc w:val="center"/>
              <w:rPr>
                <w:rFonts w:hint="eastAsia" w:ascii="宋体" w:hAnsi="宋体" w:eastAsia="宋体" w:cs="宋体"/>
                <w:b/>
                <w:sz w:val="21"/>
                <w:szCs w:val="21"/>
              </w:rPr>
            </w:pPr>
            <w:r>
              <w:rPr>
                <w:rFonts w:hint="eastAsia" w:ascii="宋体" w:hAnsi="宋体" w:eastAsia="宋体" w:cs="宋体"/>
                <w:b/>
                <w:sz w:val="21"/>
                <w:szCs w:val="21"/>
              </w:rPr>
              <w:t>指标范围（％）</w:t>
            </w:r>
          </w:p>
        </w:tc>
        <w:tc>
          <w:tcPr>
            <w:tcW w:w="1305" w:type="dxa"/>
            <w:tcBorders>
              <w:top w:val="single" w:color="auto" w:sz="4" w:space="0"/>
              <w:left w:val="single" w:color="auto" w:sz="4" w:space="0"/>
              <w:bottom w:val="single" w:color="auto" w:sz="4" w:space="0"/>
              <w:right w:val="single" w:color="auto" w:sz="4" w:space="0"/>
            </w:tcBorders>
            <w:vAlign w:val="center"/>
          </w:tcPr>
          <w:p w14:paraId="0C37677C">
            <w:pPr>
              <w:keepNext w:val="0"/>
              <w:keepLines w:val="0"/>
              <w:pageBreakBefore w:val="0"/>
              <w:kinsoku/>
              <w:wordWrap/>
              <w:overflowPunct/>
              <w:topLinePunct w:val="0"/>
              <w:autoSpaceDE/>
              <w:autoSpaceDN/>
              <w:bidi w:val="0"/>
              <w:adjustRightInd/>
              <w:snapToGrid w:val="0"/>
              <w:spacing w:line="240" w:lineRule="auto"/>
              <w:ind w:left="0" w:leftChars="0"/>
              <w:jc w:val="center"/>
              <w:rPr>
                <w:rFonts w:hint="eastAsia" w:ascii="宋体" w:hAnsi="宋体" w:eastAsia="宋体" w:cs="宋体"/>
                <w:b/>
                <w:sz w:val="21"/>
                <w:szCs w:val="21"/>
              </w:rPr>
            </w:pPr>
            <w:r>
              <w:rPr>
                <w:rFonts w:hint="eastAsia" w:ascii="宋体" w:hAnsi="宋体" w:eastAsia="宋体" w:cs="宋体"/>
                <w:b/>
                <w:sz w:val="21"/>
                <w:szCs w:val="21"/>
              </w:rPr>
              <w:t>变化幅度（％）</w:t>
            </w:r>
          </w:p>
        </w:tc>
        <w:tc>
          <w:tcPr>
            <w:tcW w:w="1350" w:type="dxa"/>
            <w:tcBorders>
              <w:top w:val="single" w:color="auto" w:sz="4" w:space="0"/>
              <w:left w:val="single" w:color="auto" w:sz="4" w:space="0"/>
              <w:bottom w:val="single" w:color="auto" w:sz="4" w:space="0"/>
              <w:right w:val="single" w:color="auto" w:sz="4" w:space="0"/>
            </w:tcBorders>
            <w:vAlign w:val="center"/>
          </w:tcPr>
          <w:p w14:paraId="385A5FDB">
            <w:pPr>
              <w:keepNext w:val="0"/>
              <w:keepLines w:val="0"/>
              <w:pageBreakBefore w:val="0"/>
              <w:kinsoku/>
              <w:wordWrap/>
              <w:overflowPunct/>
              <w:topLinePunct w:val="0"/>
              <w:autoSpaceDE/>
              <w:autoSpaceDN/>
              <w:bidi w:val="0"/>
              <w:adjustRightInd/>
              <w:snapToGrid w:val="0"/>
              <w:spacing w:line="240" w:lineRule="auto"/>
              <w:ind w:left="0" w:leftChars="0"/>
              <w:jc w:val="center"/>
              <w:rPr>
                <w:rFonts w:hint="eastAsia" w:ascii="宋体" w:hAnsi="宋体" w:eastAsia="宋体" w:cs="宋体"/>
                <w:b/>
                <w:sz w:val="21"/>
                <w:szCs w:val="21"/>
              </w:rPr>
            </w:pPr>
            <w:r>
              <w:rPr>
                <w:rFonts w:hint="eastAsia" w:ascii="宋体" w:hAnsi="宋体" w:eastAsia="宋体" w:cs="宋体"/>
                <w:b/>
                <w:sz w:val="21"/>
                <w:szCs w:val="21"/>
              </w:rPr>
              <w:t>奖罚额　（元/吨）</w:t>
            </w:r>
          </w:p>
        </w:tc>
        <w:tc>
          <w:tcPr>
            <w:tcW w:w="1155" w:type="dxa"/>
            <w:tcBorders>
              <w:top w:val="single" w:color="auto" w:sz="4" w:space="0"/>
              <w:left w:val="single" w:color="auto" w:sz="4" w:space="0"/>
              <w:bottom w:val="single" w:color="auto" w:sz="4" w:space="0"/>
              <w:right w:val="single" w:color="auto" w:sz="4" w:space="0"/>
            </w:tcBorders>
            <w:vAlign w:val="center"/>
          </w:tcPr>
          <w:p w14:paraId="63E15B73">
            <w:pPr>
              <w:keepNext w:val="0"/>
              <w:keepLines w:val="0"/>
              <w:pageBreakBefore w:val="0"/>
              <w:kinsoku/>
              <w:wordWrap/>
              <w:overflowPunct/>
              <w:topLinePunct w:val="0"/>
              <w:autoSpaceDE/>
              <w:autoSpaceDN/>
              <w:bidi w:val="0"/>
              <w:adjustRightInd/>
              <w:snapToGrid w:val="0"/>
              <w:spacing w:line="240" w:lineRule="auto"/>
              <w:ind w:left="0" w:leftChars="0"/>
              <w:jc w:val="center"/>
              <w:rPr>
                <w:rFonts w:hint="eastAsia" w:ascii="宋体" w:hAnsi="宋体" w:eastAsia="宋体" w:cs="宋体"/>
                <w:b/>
                <w:sz w:val="21"/>
                <w:szCs w:val="21"/>
              </w:rPr>
            </w:pPr>
            <w:r>
              <w:rPr>
                <w:rFonts w:hint="eastAsia" w:ascii="宋体" w:hAnsi="宋体" w:eastAsia="宋体" w:cs="宋体"/>
                <w:b/>
                <w:sz w:val="21"/>
                <w:szCs w:val="21"/>
              </w:rPr>
              <w:t>奖罚基准（％）</w:t>
            </w:r>
          </w:p>
        </w:tc>
        <w:tc>
          <w:tcPr>
            <w:tcW w:w="1387" w:type="dxa"/>
            <w:tcBorders>
              <w:top w:val="single" w:color="auto" w:sz="4" w:space="0"/>
              <w:left w:val="single" w:color="auto" w:sz="4" w:space="0"/>
              <w:bottom w:val="single" w:color="auto" w:sz="4" w:space="0"/>
              <w:right w:val="single" w:color="auto" w:sz="4" w:space="0"/>
            </w:tcBorders>
            <w:vAlign w:val="center"/>
          </w:tcPr>
          <w:p w14:paraId="27AD8409">
            <w:pPr>
              <w:keepNext w:val="0"/>
              <w:keepLines w:val="0"/>
              <w:pageBreakBefore w:val="0"/>
              <w:kinsoku/>
              <w:wordWrap/>
              <w:overflowPunct/>
              <w:topLinePunct w:val="0"/>
              <w:autoSpaceDE/>
              <w:autoSpaceDN/>
              <w:bidi w:val="0"/>
              <w:adjustRightInd/>
              <w:snapToGrid w:val="0"/>
              <w:spacing w:line="240" w:lineRule="auto"/>
              <w:ind w:left="0" w:leftChars="0"/>
              <w:jc w:val="center"/>
              <w:rPr>
                <w:rFonts w:hint="eastAsia" w:ascii="宋体" w:hAnsi="宋体" w:eastAsia="宋体" w:cs="宋体"/>
                <w:b/>
                <w:sz w:val="21"/>
                <w:szCs w:val="21"/>
              </w:rPr>
            </w:pPr>
            <w:r>
              <w:rPr>
                <w:rFonts w:hint="eastAsia" w:ascii="宋体" w:hAnsi="宋体" w:eastAsia="宋体" w:cs="宋体"/>
                <w:b/>
                <w:sz w:val="21"/>
                <w:szCs w:val="21"/>
              </w:rPr>
              <w:t>加权方式</w:t>
            </w:r>
          </w:p>
        </w:tc>
        <w:tc>
          <w:tcPr>
            <w:tcW w:w="2753" w:type="dxa"/>
            <w:tcBorders>
              <w:top w:val="single" w:color="auto" w:sz="4" w:space="0"/>
              <w:left w:val="single" w:color="auto" w:sz="4" w:space="0"/>
              <w:bottom w:val="single" w:color="auto" w:sz="4" w:space="0"/>
              <w:right w:val="single" w:color="auto" w:sz="4" w:space="0"/>
            </w:tcBorders>
            <w:vAlign w:val="center"/>
          </w:tcPr>
          <w:p w14:paraId="28714B51">
            <w:pPr>
              <w:keepNext w:val="0"/>
              <w:keepLines w:val="0"/>
              <w:pageBreakBefore w:val="0"/>
              <w:kinsoku/>
              <w:wordWrap/>
              <w:overflowPunct/>
              <w:topLinePunct w:val="0"/>
              <w:autoSpaceDE/>
              <w:autoSpaceDN/>
              <w:bidi w:val="0"/>
              <w:adjustRightInd/>
              <w:snapToGrid w:val="0"/>
              <w:spacing w:line="240" w:lineRule="auto"/>
              <w:ind w:left="0" w:leftChars="0"/>
              <w:jc w:val="center"/>
              <w:rPr>
                <w:rFonts w:hint="eastAsia" w:ascii="宋体" w:hAnsi="宋体" w:eastAsia="宋体" w:cs="宋体"/>
                <w:b/>
                <w:sz w:val="21"/>
                <w:szCs w:val="21"/>
              </w:rPr>
            </w:pPr>
            <w:r>
              <w:rPr>
                <w:rFonts w:hint="eastAsia" w:ascii="宋体" w:hAnsi="宋体" w:eastAsia="宋体" w:cs="宋体"/>
                <w:b/>
                <w:sz w:val="21"/>
                <w:szCs w:val="21"/>
              </w:rPr>
              <w:t>质量调整价公式</w:t>
            </w:r>
          </w:p>
        </w:tc>
      </w:tr>
      <w:tr w14:paraId="1E027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788" w:type="dxa"/>
            <w:tcBorders>
              <w:top w:val="single" w:color="auto" w:sz="4" w:space="0"/>
              <w:left w:val="single" w:color="auto" w:sz="4" w:space="0"/>
              <w:bottom w:val="single" w:color="auto" w:sz="4" w:space="0"/>
              <w:right w:val="single" w:color="auto" w:sz="4" w:space="0"/>
            </w:tcBorders>
            <w:vAlign w:val="center"/>
          </w:tcPr>
          <w:p w14:paraId="117E1656">
            <w:pPr>
              <w:keepNext w:val="0"/>
              <w:keepLines w:val="0"/>
              <w:pageBreakBefore w:val="0"/>
              <w:widowControl/>
              <w:kinsoku/>
              <w:wordWrap/>
              <w:overflowPunct/>
              <w:topLinePunct w:val="0"/>
              <w:autoSpaceDE/>
              <w:autoSpaceDN/>
              <w:bidi w:val="0"/>
              <w:adjustRightInd/>
              <w:spacing w:line="240" w:lineRule="auto"/>
              <w:ind w:left="0" w:leftChars="0"/>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Mt＞15.0</w:t>
            </w:r>
          </w:p>
        </w:tc>
        <w:tc>
          <w:tcPr>
            <w:tcW w:w="1305" w:type="dxa"/>
            <w:tcBorders>
              <w:top w:val="single" w:color="auto" w:sz="4" w:space="0"/>
              <w:left w:val="single" w:color="auto" w:sz="4" w:space="0"/>
              <w:bottom w:val="single" w:color="auto" w:sz="4" w:space="0"/>
              <w:right w:val="single" w:color="auto" w:sz="4" w:space="0"/>
            </w:tcBorders>
            <w:vAlign w:val="center"/>
          </w:tcPr>
          <w:p w14:paraId="6CD2EE34">
            <w:pPr>
              <w:keepNext w:val="0"/>
              <w:keepLines w:val="0"/>
              <w:pageBreakBefore w:val="0"/>
              <w:widowControl/>
              <w:kinsoku/>
              <w:wordWrap/>
              <w:overflowPunct/>
              <w:topLinePunct w:val="0"/>
              <w:autoSpaceDE/>
              <w:autoSpaceDN/>
              <w:bidi w:val="0"/>
              <w:adjustRightInd/>
              <w:spacing w:line="240" w:lineRule="auto"/>
              <w:ind w:left="0" w:leftChars="0"/>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0.1</w:t>
            </w:r>
          </w:p>
        </w:tc>
        <w:tc>
          <w:tcPr>
            <w:tcW w:w="1350" w:type="dxa"/>
            <w:tcBorders>
              <w:top w:val="single" w:color="auto" w:sz="4" w:space="0"/>
              <w:left w:val="single" w:color="auto" w:sz="4" w:space="0"/>
              <w:bottom w:val="single" w:color="auto" w:sz="4" w:space="0"/>
              <w:right w:val="single" w:color="auto" w:sz="4" w:space="0"/>
            </w:tcBorders>
            <w:vAlign w:val="center"/>
          </w:tcPr>
          <w:p w14:paraId="3481BBF3">
            <w:pPr>
              <w:keepNext w:val="0"/>
              <w:keepLines w:val="0"/>
              <w:pageBreakBefore w:val="0"/>
              <w:widowControl/>
              <w:kinsoku/>
              <w:wordWrap/>
              <w:overflowPunct/>
              <w:topLinePunct w:val="0"/>
              <w:autoSpaceDE/>
              <w:autoSpaceDN/>
              <w:bidi w:val="0"/>
              <w:adjustRightInd/>
              <w:spacing w:line="240" w:lineRule="auto"/>
              <w:ind w:left="0" w:leftChars="0"/>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w:t>
            </w:r>
          </w:p>
        </w:tc>
        <w:tc>
          <w:tcPr>
            <w:tcW w:w="1155" w:type="dxa"/>
            <w:tcBorders>
              <w:top w:val="single" w:color="auto" w:sz="4" w:space="0"/>
              <w:left w:val="single" w:color="auto" w:sz="4" w:space="0"/>
              <w:bottom w:val="single" w:color="auto" w:sz="4" w:space="0"/>
              <w:right w:val="single" w:color="auto" w:sz="4" w:space="0"/>
            </w:tcBorders>
            <w:vAlign w:val="center"/>
          </w:tcPr>
          <w:p w14:paraId="70675898">
            <w:pPr>
              <w:keepNext w:val="0"/>
              <w:keepLines w:val="0"/>
              <w:pageBreakBefore w:val="0"/>
              <w:widowControl/>
              <w:kinsoku/>
              <w:wordWrap/>
              <w:overflowPunct/>
              <w:topLinePunct w:val="0"/>
              <w:autoSpaceDE/>
              <w:autoSpaceDN/>
              <w:bidi w:val="0"/>
              <w:adjustRightInd/>
              <w:spacing w:line="240" w:lineRule="auto"/>
              <w:ind w:left="0" w:leftChars="0"/>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15.0</w:t>
            </w:r>
          </w:p>
        </w:tc>
        <w:tc>
          <w:tcPr>
            <w:tcW w:w="1387" w:type="dxa"/>
            <w:tcBorders>
              <w:top w:val="single" w:color="auto" w:sz="4" w:space="0"/>
              <w:left w:val="single" w:color="auto" w:sz="4" w:space="0"/>
              <w:right w:val="single" w:color="auto" w:sz="4" w:space="0"/>
            </w:tcBorders>
            <w:vAlign w:val="center"/>
          </w:tcPr>
          <w:p w14:paraId="3F6E92C5">
            <w:pPr>
              <w:keepNext w:val="0"/>
              <w:keepLines w:val="0"/>
              <w:pageBreakBefore w:val="0"/>
              <w:widowControl/>
              <w:kinsoku/>
              <w:wordWrap/>
              <w:overflowPunct/>
              <w:topLinePunct w:val="0"/>
              <w:autoSpaceDE/>
              <w:autoSpaceDN/>
              <w:bidi w:val="0"/>
              <w:adjustRightInd/>
              <w:spacing w:line="240" w:lineRule="auto"/>
              <w:ind w:left="0" w:leftChars="0"/>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参与加权</w:t>
            </w:r>
          </w:p>
        </w:tc>
        <w:tc>
          <w:tcPr>
            <w:tcW w:w="2753" w:type="dxa"/>
            <w:tcBorders>
              <w:top w:val="single" w:color="auto" w:sz="4" w:space="0"/>
              <w:left w:val="single" w:color="auto" w:sz="4" w:space="0"/>
              <w:right w:val="single" w:color="auto" w:sz="4" w:space="0"/>
            </w:tcBorders>
            <w:vAlign w:val="center"/>
          </w:tcPr>
          <w:p w14:paraId="4600A3E3">
            <w:pPr>
              <w:keepNext w:val="0"/>
              <w:keepLines w:val="0"/>
              <w:pageBreakBefore w:val="0"/>
              <w:widowControl/>
              <w:kinsoku/>
              <w:wordWrap/>
              <w:overflowPunct/>
              <w:topLinePunct w:val="0"/>
              <w:autoSpaceDE/>
              <w:autoSpaceDN/>
              <w:bidi w:val="0"/>
              <w:adjustRightInd/>
              <w:spacing w:line="240" w:lineRule="auto"/>
              <w:ind w:left="0" w:leftChars="0"/>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热值计价×（15.0%-全水分）</w:t>
            </w:r>
          </w:p>
        </w:tc>
      </w:tr>
      <w:tr w14:paraId="40AB7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788" w:type="dxa"/>
            <w:tcBorders>
              <w:top w:val="single" w:color="auto" w:sz="4" w:space="0"/>
              <w:left w:val="single" w:color="auto" w:sz="4" w:space="0"/>
              <w:bottom w:val="single" w:color="auto" w:sz="4" w:space="0"/>
              <w:right w:val="single" w:color="auto" w:sz="4" w:space="0"/>
            </w:tcBorders>
            <w:vAlign w:val="center"/>
          </w:tcPr>
          <w:p w14:paraId="67B9FD23">
            <w:pPr>
              <w:keepNext w:val="0"/>
              <w:keepLines w:val="0"/>
              <w:pageBreakBefore w:val="0"/>
              <w:widowControl/>
              <w:kinsoku/>
              <w:wordWrap/>
              <w:overflowPunct/>
              <w:topLinePunct w:val="0"/>
              <w:autoSpaceDE/>
              <w:autoSpaceDN/>
              <w:bidi w:val="0"/>
              <w:adjustRightInd/>
              <w:spacing w:line="240" w:lineRule="auto"/>
              <w:ind w:left="0" w:leftChars="0"/>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highlight w:val="none"/>
              </w:rPr>
              <w:t>5.00</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rPr>
              <w:t>St,d＞3.00</w:t>
            </w:r>
          </w:p>
        </w:tc>
        <w:tc>
          <w:tcPr>
            <w:tcW w:w="1305" w:type="dxa"/>
            <w:tcBorders>
              <w:top w:val="single" w:color="auto" w:sz="4" w:space="0"/>
              <w:left w:val="single" w:color="auto" w:sz="4" w:space="0"/>
              <w:bottom w:val="single" w:color="auto" w:sz="4" w:space="0"/>
              <w:right w:val="single" w:color="auto" w:sz="4" w:space="0"/>
            </w:tcBorders>
            <w:vAlign w:val="center"/>
          </w:tcPr>
          <w:p w14:paraId="6A83235C">
            <w:pPr>
              <w:keepNext w:val="0"/>
              <w:keepLines w:val="0"/>
              <w:pageBreakBefore w:val="0"/>
              <w:widowControl/>
              <w:kinsoku/>
              <w:wordWrap/>
              <w:overflowPunct/>
              <w:topLinePunct w:val="0"/>
              <w:autoSpaceDE/>
              <w:autoSpaceDN/>
              <w:bidi w:val="0"/>
              <w:adjustRightInd/>
              <w:spacing w:line="240" w:lineRule="auto"/>
              <w:ind w:left="0" w:leftChars="0"/>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0.01</w:t>
            </w:r>
          </w:p>
        </w:tc>
        <w:tc>
          <w:tcPr>
            <w:tcW w:w="1350" w:type="dxa"/>
            <w:tcBorders>
              <w:top w:val="single" w:color="auto" w:sz="4" w:space="0"/>
              <w:left w:val="single" w:color="auto" w:sz="4" w:space="0"/>
              <w:bottom w:val="single" w:color="auto" w:sz="4" w:space="0"/>
              <w:right w:val="single" w:color="auto" w:sz="4" w:space="0"/>
            </w:tcBorders>
            <w:vAlign w:val="center"/>
          </w:tcPr>
          <w:p w14:paraId="4BE2DBF6">
            <w:pPr>
              <w:keepNext w:val="0"/>
              <w:keepLines w:val="0"/>
              <w:pageBreakBefore w:val="0"/>
              <w:widowControl/>
              <w:kinsoku/>
              <w:wordWrap/>
              <w:overflowPunct/>
              <w:topLinePunct w:val="0"/>
              <w:autoSpaceDE/>
              <w:autoSpaceDN/>
              <w:bidi w:val="0"/>
              <w:adjustRightInd/>
              <w:spacing w:line="240" w:lineRule="auto"/>
              <w:ind w:left="0" w:leftChars="0"/>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-0.1</w:t>
            </w:r>
          </w:p>
        </w:tc>
        <w:tc>
          <w:tcPr>
            <w:tcW w:w="1155" w:type="dxa"/>
            <w:tcBorders>
              <w:top w:val="single" w:color="auto" w:sz="4" w:space="0"/>
              <w:left w:val="single" w:color="auto" w:sz="4" w:space="0"/>
              <w:bottom w:val="single" w:color="auto" w:sz="4" w:space="0"/>
              <w:right w:val="single" w:color="auto" w:sz="4" w:space="0"/>
            </w:tcBorders>
            <w:vAlign w:val="center"/>
          </w:tcPr>
          <w:p w14:paraId="7A9BF7E4">
            <w:pPr>
              <w:keepNext w:val="0"/>
              <w:keepLines w:val="0"/>
              <w:pageBreakBefore w:val="0"/>
              <w:widowControl/>
              <w:kinsoku/>
              <w:wordWrap/>
              <w:overflowPunct/>
              <w:topLinePunct w:val="0"/>
              <w:autoSpaceDE/>
              <w:autoSpaceDN/>
              <w:bidi w:val="0"/>
              <w:adjustRightInd/>
              <w:spacing w:line="240" w:lineRule="auto"/>
              <w:ind w:left="0" w:leftChars="0"/>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3.00</w:t>
            </w:r>
          </w:p>
        </w:tc>
        <w:tc>
          <w:tcPr>
            <w:tcW w:w="1387" w:type="dxa"/>
            <w:tcBorders>
              <w:left w:val="single" w:color="auto" w:sz="4" w:space="0"/>
              <w:bottom w:val="single" w:color="auto" w:sz="4" w:space="0"/>
              <w:right w:val="single" w:color="auto" w:sz="4" w:space="0"/>
            </w:tcBorders>
            <w:vAlign w:val="center"/>
          </w:tcPr>
          <w:p w14:paraId="2EB5156F">
            <w:pPr>
              <w:keepNext w:val="0"/>
              <w:keepLines w:val="0"/>
              <w:pageBreakBefore w:val="0"/>
              <w:widowControl/>
              <w:kinsoku/>
              <w:wordWrap/>
              <w:overflowPunct/>
              <w:topLinePunct w:val="0"/>
              <w:autoSpaceDE/>
              <w:autoSpaceDN/>
              <w:bidi w:val="0"/>
              <w:adjustRightInd/>
              <w:spacing w:line="240" w:lineRule="auto"/>
              <w:ind w:left="0" w:leftChars="0"/>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参与加权</w:t>
            </w:r>
          </w:p>
        </w:tc>
        <w:tc>
          <w:tcPr>
            <w:tcW w:w="2753" w:type="dxa"/>
            <w:tcBorders>
              <w:left w:val="single" w:color="auto" w:sz="4" w:space="0"/>
              <w:right w:val="single" w:color="auto" w:sz="4" w:space="0"/>
            </w:tcBorders>
            <w:vAlign w:val="center"/>
          </w:tcPr>
          <w:p w14:paraId="3247FEFA">
            <w:pPr>
              <w:keepNext w:val="0"/>
              <w:keepLines w:val="0"/>
              <w:pageBreakBefore w:val="0"/>
              <w:widowControl/>
              <w:kinsoku/>
              <w:wordWrap/>
              <w:overflowPunct/>
              <w:topLinePunct w:val="0"/>
              <w:autoSpaceDE/>
              <w:autoSpaceDN/>
              <w:bidi w:val="0"/>
              <w:adjustRightInd/>
              <w:spacing w:line="240" w:lineRule="auto"/>
              <w:ind w:left="0" w:leftChars="0"/>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（验收值-奖罚基准）/变化幅度×奖罚额</w:t>
            </w:r>
          </w:p>
        </w:tc>
      </w:tr>
      <w:tr w14:paraId="0D983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788" w:type="dxa"/>
            <w:tcBorders>
              <w:top w:val="single" w:color="auto" w:sz="4" w:space="0"/>
              <w:left w:val="single" w:color="auto" w:sz="4" w:space="0"/>
              <w:bottom w:val="single" w:color="auto" w:sz="4" w:space="0"/>
              <w:right w:val="single" w:color="auto" w:sz="4" w:space="0"/>
            </w:tcBorders>
            <w:vAlign w:val="center"/>
          </w:tcPr>
          <w:p w14:paraId="47C7F7FD">
            <w:pPr>
              <w:keepNext w:val="0"/>
              <w:keepLines w:val="0"/>
              <w:pageBreakBefore w:val="0"/>
              <w:widowControl/>
              <w:kinsoku/>
              <w:wordWrap/>
              <w:overflowPunct/>
              <w:topLinePunct w:val="0"/>
              <w:autoSpaceDE/>
              <w:autoSpaceDN/>
              <w:bidi w:val="0"/>
              <w:adjustRightInd/>
              <w:spacing w:line="240" w:lineRule="auto"/>
              <w:ind w:left="0" w:leftChars="0"/>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St,d＞5.00</w:t>
            </w:r>
          </w:p>
        </w:tc>
        <w:tc>
          <w:tcPr>
            <w:tcW w:w="1305" w:type="dxa"/>
            <w:tcBorders>
              <w:top w:val="single" w:color="auto" w:sz="4" w:space="0"/>
              <w:left w:val="single" w:color="auto" w:sz="4" w:space="0"/>
              <w:bottom w:val="single" w:color="auto" w:sz="4" w:space="0"/>
              <w:right w:val="single" w:color="auto" w:sz="4" w:space="0"/>
            </w:tcBorders>
            <w:vAlign w:val="center"/>
          </w:tcPr>
          <w:p w14:paraId="464D61BE">
            <w:pPr>
              <w:keepNext w:val="0"/>
              <w:keepLines w:val="0"/>
              <w:pageBreakBefore w:val="0"/>
              <w:widowControl/>
              <w:kinsoku/>
              <w:wordWrap/>
              <w:overflowPunct/>
              <w:topLinePunct w:val="0"/>
              <w:autoSpaceDE/>
              <w:autoSpaceDN/>
              <w:bidi w:val="0"/>
              <w:adjustRightInd/>
              <w:spacing w:line="240" w:lineRule="auto"/>
              <w:ind w:left="0" w:leftChars="0"/>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w:t>
            </w:r>
          </w:p>
        </w:tc>
        <w:tc>
          <w:tcPr>
            <w:tcW w:w="1350" w:type="dxa"/>
            <w:tcBorders>
              <w:top w:val="single" w:color="auto" w:sz="4" w:space="0"/>
              <w:left w:val="single" w:color="auto" w:sz="4" w:space="0"/>
              <w:bottom w:val="single" w:color="auto" w:sz="4" w:space="0"/>
              <w:right w:val="single" w:color="auto" w:sz="4" w:space="0"/>
            </w:tcBorders>
            <w:vAlign w:val="center"/>
          </w:tcPr>
          <w:p w14:paraId="0E801912">
            <w:pPr>
              <w:keepNext w:val="0"/>
              <w:keepLines w:val="0"/>
              <w:pageBreakBefore w:val="0"/>
              <w:widowControl/>
              <w:kinsoku/>
              <w:wordWrap/>
              <w:overflowPunct/>
              <w:topLinePunct w:val="0"/>
              <w:autoSpaceDE/>
              <w:autoSpaceDN/>
              <w:bidi w:val="0"/>
              <w:adjustRightInd/>
              <w:spacing w:line="240" w:lineRule="auto"/>
              <w:ind w:left="0" w:leftChars="0"/>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1</w:t>
            </w:r>
            <w:r>
              <w:rPr>
                <w:rFonts w:hint="eastAsia" w:ascii="宋体" w:hAnsi="宋体" w:eastAsia="宋体" w:cs="宋体"/>
                <w:color w:val="auto"/>
                <w:kern w:val="0"/>
                <w:sz w:val="21"/>
                <w:szCs w:val="21"/>
              </w:rPr>
              <w:t>50</w:t>
            </w:r>
          </w:p>
        </w:tc>
        <w:tc>
          <w:tcPr>
            <w:tcW w:w="1155" w:type="dxa"/>
            <w:tcBorders>
              <w:top w:val="single" w:color="auto" w:sz="4" w:space="0"/>
              <w:left w:val="single" w:color="auto" w:sz="4" w:space="0"/>
              <w:bottom w:val="single" w:color="auto" w:sz="4" w:space="0"/>
              <w:right w:val="single" w:color="auto" w:sz="4" w:space="0"/>
            </w:tcBorders>
            <w:vAlign w:val="center"/>
          </w:tcPr>
          <w:p w14:paraId="75282518">
            <w:pPr>
              <w:keepNext w:val="0"/>
              <w:keepLines w:val="0"/>
              <w:pageBreakBefore w:val="0"/>
              <w:widowControl/>
              <w:kinsoku/>
              <w:wordWrap/>
              <w:overflowPunct/>
              <w:topLinePunct w:val="0"/>
              <w:autoSpaceDE/>
              <w:autoSpaceDN/>
              <w:bidi w:val="0"/>
              <w:adjustRightInd/>
              <w:spacing w:line="240" w:lineRule="auto"/>
              <w:ind w:left="0" w:leftChars="0"/>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w:t>
            </w:r>
          </w:p>
        </w:tc>
        <w:tc>
          <w:tcPr>
            <w:tcW w:w="1387" w:type="dxa"/>
            <w:tcBorders>
              <w:top w:val="single" w:color="auto" w:sz="4" w:space="0"/>
              <w:left w:val="single" w:color="auto" w:sz="4" w:space="0"/>
              <w:bottom w:val="single" w:color="auto" w:sz="4" w:space="0"/>
              <w:right w:val="single" w:color="auto" w:sz="4" w:space="0"/>
            </w:tcBorders>
            <w:vAlign w:val="center"/>
          </w:tcPr>
          <w:p w14:paraId="5C317DB6">
            <w:pPr>
              <w:keepNext w:val="0"/>
              <w:keepLines w:val="0"/>
              <w:pageBreakBefore w:val="0"/>
              <w:widowControl/>
              <w:kinsoku/>
              <w:wordWrap/>
              <w:overflowPunct/>
              <w:topLinePunct w:val="0"/>
              <w:autoSpaceDE/>
              <w:autoSpaceDN/>
              <w:bidi w:val="0"/>
              <w:adjustRightInd/>
              <w:spacing w:line="240" w:lineRule="auto"/>
              <w:ind w:left="0" w:leftChars="0"/>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单批次考核</w:t>
            </w:r>
          </w:p>
        </w:tc>
        <w:tc>
          <w:tcPr>
            <w:tcW w:w="2753" w:type="dxa"/>
            <w:tcBorders>
              <w:left w:val="single" w:color="auto" w:sz="4" w:space="0"/>
              <w:right w:val="single" w:color="auto" w:sz="4" w:space="0"/>
            </w:tcBorders>
            <w:vAlign w:val="center"/>
          </w:tcPr>
          <w:p w14:paraId="4DDFD7F0">
            <w:pPr>
              <w:keepNext w:val="0"/>
              <w:keepLines w:val="0"/>
              <w:pageBreakBefore w:val="0"/>
              <w:widowControl/>
              <w:kinsoku/>
              <w:wordWrap/>
              <w:overflowPunct/>
              <w:topLinePunct w:val="0"/>
              <w:autoSpaceDE/>
              <w:autoSpaceDN/>
              <w:bidi w:val="0"/>
              <w:adjustRightInd/>
              <w:spacing w:line="240" w:lineRule="auto"/>
              <w:ind w:left="0" w:leftChars="0"/>
              <w:jc w:val="center"/>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150元/吨</w:t>
            </w:r>
          </w:p>
        </w:tc>
      </w:tr>
      <w:tr w14:paraId="4D762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788" w:type="dxa"/>
            <w:tcBorders>
              <w:top w:val="single" w:color="auto" w:sz="4" w:space="0"/>
              <w:left w:val="single" w:color="auto" w:sz="4" w:space="0"/>
              <w:bottom w:val="single" w:color="auto" w:sz="4" w:space="0"/>
              <w:right w:val="single" w:color="auto" w:sz="4" w:space="0"/>
            </w:tcBorders>
            <w:vAlign w:val="center"/>
          </w:tcPr>
          <w:p w14:paraId="419B6DC2">
            <w:pPr>
              <w:keepNext w:val="0"/>
              <w:keepLines w:val="0"/>
              <w:pageBreakBefore w:val="0"/>
              <w:widowControl/>
              <w:kinsoku/>
              <w:wordWrap/>
              <w:overflowPunct/>
              <w:topLinePunct w:val="0"/>
              <w:autoSpaceDE/>
              <w:autoSpaceDN/>
              <w:bidi w:val="0"/>
              <w:adjustRightInd/>
              <w:spacing w:line="240" w:lineRule="auto"/>
              <w:ind w:left="0" w:leftChars="0"/>
              <w:jc w:val="center"/>
              <w:textAlignment w:val="center"/>
              <w:rPr>
                <w:rFonts w:hint="eastAsia" w:ascii="宋体" w:hAnsi="宋体" w:cs="宋体"/>
                <w:color w:val="auto"/>
                <w:kern w:val="0"/>
                <w:sz w:val="21"/>
                <w:szCs w:val="21"/>
                <w:lang w:val="en-US" w:eastAsia="zh-CN"/>
              </w:rPr>
            </w:pPr>
            <w:r>
              <w:rPr>
                <w:rFonts w:hint="eastAsia" w:ascii="宋体" w:hAnsi="宋体" w:eastAsia="宋体" w:cs="宋体"/>
                <w:color w:val="auto"/>
                <w:kern w:val="0"/>
                <w:sz w:val="21"/>
                <w:szCs w:val="21"/>
              </w:rPr>
              <w:t>10.00≤Var＜1</w:t>
            </w:r>
            <w:r>
              <w:rPr>
                <w:rFonts w:hint="eastAsia" w:ascii="宋体" w:hAnsi="宋体" w:cs="宋体"/>
                <w:color w:val="auto"/>
                <w:kern w:val="0"/>
                <w:sz w:val="21"/>
                <w:szCs w:val="21"/>
                <w:lang w:val="en-US" w:eastAsia="zh-CN"/>
              </w:rPr>
              <w:t>3</w:t>
            </w:r>
            <w:r>
              <w:rPr>
                <w:rFonts w:hint="eastAsia" w:ascii="宋体" w:hAnsi="宋体" w:eastAsia="宋体" w:cs="宋体"/>
                <w:color w:val="auto"/>
                <w:kern w:val="0"/>
                <w:sz w:val="21"/>
                <w:szCs w:val="21"/>
              </w:rPr>
              <w:t>.00</w:t>
            </w:r>
          </w:p>
        </w:tc>
        <w:tc>
          <w:tcPr>
            <w:tcW w:w="1305" w:type="dxa"/>
            <w:tcBorders>
              <w:top w:val="single" w:color="auto" w:sz="4" w:space="0"/>
              <w:left w:val="single" w:color="auto" w:sz="4" w:space="0"/>
              <w:bottom w:val="single" w:color="auto" w:sz="4" w:space="0"/>
              <w:right w:val="single" w:color="auto" w:sz="4" w:space="0"/>
            </w:tcBorders>
            <w:vAlign w:val="center"/>
          </w:tcPr>
          <w:p w14:paraId="2C08777D">
            <w:pPr>
              <w:keepNext w:val="0"/>
              <w:keepLines w:val="0"/>
              <w:pageBreakBefore w:val="0"/>
              <w:widowControl/>
              <w:kinsoku/>
              <w:wordWrap/>
              <w:overflowPunct/>
              <w:topLinePunct w:val="0"/>
              <w:autoSpaceDE/>
              <w:autoSpaceDN/>
              <w:bidi w:val="0"/>
              <w:adjustRightInd/>
              <w:spacing w:line="240" w:lineRule="auto"/>
              <w:ind w:left="0" w:leftChars="0"/>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0.01</w:t>
            </w:r>
          </w:p>
        </w:tc>
        <w:tc>
          <w:tcPr>
            <w:tcW w:w="1350" w:type="dxa"/>
            <w:tcBorders>
              <w:top w:val="single" w:color="auto" w:sz="4" w:space="0"/>
              <w:left w:val="single" w:color="auto" w:sz="4" w:space="0"/>
              <w:bottom w:val="single" w:color="auto" w:sz="4" w:space="0"/>
              <w:right w:val="single" w:color="auto" w:sz="4" w:space="0"/>
            </w:tcBorders>
            <w:vAlign w:val="center"/>
          </w:tcPr>
          <w:p w14:paraId="616DACCD">
            <w:pPr>
              <w:keepNext w:val="0"/>
              <w:keepLines w:val="0"/>
              <w:pageBreakBefore w:val="0"/>
              <w:widowControl/>
              <w:kinsoku/>
              <w:wordWrap/>
              <w:overflowPunct/>
              <w:topLinePunct w:val="0"/>
              <w:autoSpaceDE/>
              <w:autoSpaceDN/>
              <w:bidi w:val="0"/>
              <w:adjustRightInd/>
              <w:spacing w:line="240" w:lineRule="auto"/>
              <w:ind w:left="0" w:leftChars="0"/>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-0.1</w:t>
            </w:r>
          </w:p>
        </w:tc>
        <w:tc>
          <w:tcPr>
            <w:tcW w:w="1155" w:type="dxa"/>
            <w:tcBorders>
              <w:top w:val="single" w:color="auto" w:sz="4" w:space="0"/>
              <w:left w:val="single" w:color="auto" w:sz="4" w:space="0"/>
              <w:bottom w:val="single" w:color="auto" w:sz="4" w:space="0"/>
              <w:right w:val="single" w:color="auto" w:sz="4" w:space="0"/>
            </w:tcBorders>
            <w:vAlign w:val="center"/>
          </w:tcPr>
          <w:p w14:paraId="07A85BB3">
            <w:pPr>
              <w:keepNext w:val="0"/>
              <w:keepLines w:val="0"/>
              <w:pageBreakBefore w:val="0"/>
              <w:widowControl/>
              <w:kinsoku/>
              <w:wordWrap/>
              <w:overflowPunct/>
              <w:topLinePunct w:val="0"/>
              <w:autoSpaceDE/>
              <w:autoSpaceDN/>
              <w:bidi w:val="0"/>
              <w:adjustRightInd/>
              <w:spacing w:line="240" w:lineRule="auto"/>
              <w:ind w:left="0" w:leftChars="0"/>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r>
              <w:rPr>
                <w:rFonts w:hint="eastAsia" w:ascii="宋体" w:hAnsi="宋体" w:eastAsia="宋体" w:cs="宋体"/>
                <w:color w:val="auto"/>
                <w:kern w:val="0"/>
                <w:sz w:val="21"/>
                <w:szCs w:val="21"/>
                <w:lang w:val="en-US" w:eastAsia="zh-CN"/>
              </w:rPr>
              <w:t>3</w:t>
            </w:r>
            <w:r>
              <w:rPr>
                <w:rFonts w:hint="eastAsia" w:ascii="宋体" w:hAnsi="宋体" w:eastAsia="宋体" w:cs="宋体"/>
                <w:color w:val="auto"/>
                <w:kern w:val="0"/>
                <w:sz w:val="21"/>
                <w:szCs w:val="21"/>
              </w:rPr>
              <w:t>.00</w:t>
            </w:r>
          </w:p>
        </w:tc>
        <w:tc>
          <w:tcPr>
            <w:tcW w:w="1387" w:type="dxa"/>
            <w:tcBorders>
              <w:top w:val="single" w:color="auto" w:sz="4" w:space="0"/>
              <w:left w:val="single" w:color="auto" w:sz="4" w:space="0"/>
              <w:right w:val="single" w:color="auto" w:sz="4" w:space="0"/>
            </w:tcBorders>
            <w:vAlign w:val="center"/>
          </w:tcPr>
          <w:p w14:paraId="313F589B">
            <w:pPr>
              <w:keepNext w:val="0"/>
              <w:keepLines w:val="0"/>
              <w:pageBreakBefore w:val="0"/>
              <w:widowControl/>
              <w:kinsoku/>
              <w:wordWrap/>
              <w:overflowPunct/>
              <w:topLinePunct w:val="0"/>
              <w:autoSpaceDE/>
              <w:autoSpaceDN/>
              <w:bidi w:val="0"/>
              <w:adjustRightInd/>
              <w:spacing w:line="240" w:lineRule="auto"/>
              <w:ind w:left="0" w:leftChars="0"/>
              <w:jc w:val="center"/>
              <w:textAlignment w:val="center"/>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参与加权</w:t>
            </w:r>
          </w:p>
        </w:tc>
        <w:tc>
          <w:tcPr>
            <w:tcW w:w="2753" w:type="dxa"/>
            <w:tcBorders>
              <w:left w:val="single" w:color="auto" w:sz="4" w:space="0"/>
              <w:right w:val="single" w:color="auto" w:sz="4" w:space="0"/>
            </w:tcBorders>
            <w:vAlign w:val="center"/>
          </w:tcPr>
          <w:p w14:paraId="25CAEC2C">
            <w:pPr>
              <w:keepNext w:val="0"/>
              <w:keepLines w:val="0"/>
              <w:pageBreakBefore w:val="0"/>
              <w:widowControl/>
              <w:kinsoku/>
              <w:wordWrap/>
              <w:overflowPunct/>
              <w:topLinePunct w:val="0"/>
              <w:autoSpaceDE/>
              <w:autoSpaceDN/>
              <w:bidi w:val="0"/>
              <w:adjustRightInd/>
              <w:spacing w:line="240" w:lineRule="auto"/>
              <w:ind w:left="0" w:leftChars="0"/>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（奖罚基准-验收值）/变化幅度×奖罚额</w:t>
            </w:r>
          </w:p>
        </w:tc>
      </w:tr>
      <w:tr w14:paraId="53106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788" w:type="dxa"/>
            <w:tcBorders>
              <w:top w:val="single" w:color="auto" w:sz="4" w:space="0"/>
              <w:left w:val="single" w:color="auto" w:sz="4" w:space="0"/>
              <w:bottom w:val="single" w:color="auto" w:sz="4" w:space="0"/>
              <w:right w:val="single" w:color="auto" w:sz="4" w:space="0"/>
            </w:tcBorders>
            <w:vAlign w:val="center"/>
          </w:tcPr>
          <w:p w14:paraId="48070ECE">
            <w:pPr>
              <w:keepNext w:val="0"/>
              <w:keepLines w:val="0"/>
              <w:pageBreakBefore w:val="0"/>
              <w:widowControl/>
              <w:kinsoku/>
              <w:wordWrap/>
              <w:overflowPunct/>
              <w:topLinePunct w:val="0"/>
              <w:autoSpaceDE/>
              <w:autoSpaceDN/>
              <w:bidi w:val="0"/>
              <w:adjustRightInd/>
              <w:spacing w:line="240" w:lineRule="auto"/>
              <w:ind w:left="0" w:leftChars="0"/>
              <w:jc w:val="center"/>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Var＞</w:t>
            </w:r>
            <w:r>
              <w:rPr>
                <w:rFonts w:hint="eastAsia" w:ascii="宋体" w:hAnsi="宋体" w:cs="宋体"/>
                <w:color w:val="auto"/>
                <w:kern w:val="0"/>
                <w:sz w:val="21"/>
                <w:szCs w:val="21"/>
                <w:lang w:val="en-US" w:eastAsia="zh-CN"/>
              </w:rPr>
              <w:t>25</w:t>
            </w:r>
            <w:r>
              <w:rPr>
                <w:rFonts w:hint="eastAsia" w:ascii="宋体" w:hAnsi="宋体" w:eastAsia="宋体" w:cs="宋体"/>
                <w:color w:val="auto"/>
                <w:kern w:val="0"/>
                <w:sz w:val="21"/>
                <w:szCs w:val="21"/>
                <w:lang w:val="en-US" w:eastAsia="zh-CN"/>
              </w:rPr>
              <w:t>.00或</w:t>
            </w:r>
            <w:r>
              <w:rPr>
                <w:rFonts w:hint="eastAsia" w:ascii="宋体" w:hAnsi="宋体" w:eastAsia="宋体" w:cs="宋体"/>
                <w:color w:val="auto"/>
                <w:kern w:val="0"/>
                <w:sz w:val="21"/>
                <w:szCs w:val="21"/>
              </w:rPr>
              <w:t>Var＜10</w:t>
            </w:r>
            <w:r>
              <w:rPr>
                <w:rFonts w:hint="eastAsia" w:ascii="宋体" w:hAnsi="宋体" w:eastAsia="宋体" w:cs="宋体"/>
                <w:color w:val="auto"/>
                <w:kern w:val="0"/>
                <w:sz w:val="21"/>
                <w:szCs w:val="21"/>
                <w:lang w:val="en-US" w:eastAsia="zh-CN"/>
              </w:rPr>
              <w:t>.00</w:t>
            </w:r>
          </w:p>
        </w:tc>
        <w:tc>
          <w:tcPr>
            <w:tcW w:w="3810" w:type="dxa"/>
            <w:gridSpan w:val="3"/>
            <w:tcBorders>
              <w:top w:val="single" w:color="auto" w:sz="4" w:space="0"/>
              <w:left w:val="single" w:color="auto" w:sz="4" w:space="0"/>
              <w:bottom w:val="single" w:color="auto" w:sz="4" w:space="0"/>
              <w:right w:val="single" w:color="auto" w:sz="4" w:space="0"/>
            </w:tcBorders>
            <w:vAlign w:val="center"/>
          </w:tcPr>
          <w:p w14:paraId="2507B466">
            <w:pPr>
              <w:keepNext w:val="0"/>
              <w:keepLines w:val="0"/>
              <w:pageBreakBefore w:val="0"/>
              <w:widowControl/>
              <w:kinsoku/>
              <w:wordWrap/>
              <w:overflowPunct/>
              <w:topLinePunct w:val="0"/>
              <w:autoSpaceDE/>
              <w:autoSpaceDN/>
              <w:bidi w:val="0"/>
              <w:adjustRightInd/>
              <w:spacing w:line="240" w:lineRule="auto"/>
              <w:ind w:left="0" w:leftChars="0"/>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sz w:val="21"/>
                <w:szCs w:val="21"/>
              </w:rPr>
              <w:t>-</w:t>
            </w:r>
          </w:p>
        </w:tc>
        <w:tc>
          <w:tcPr>
            <w:tcW w:w="1387" w:type="dxa"/>
            <w:tcBorders>
              <w:left w:val="single" w:color="auto" w:sz="4" w:space="0"/>
              <w:right w:val="single" w:color="auto" w:sz="4" w:space="0"/>
            </w:tcBorders>
            <w:vAlign w:val="center"/>
          </w:tcPr>
          <w:p w14:paraId="349E679F">
            <w:pPr>
              <w:keepNext w:val="0"/>
              <w:keepLines w:val="0"/>
              <w:pageBreakBefore w:val="0"/>
              <w:widowControl/>
              <w:kinsoku/>
              <w:wordWrap/>
              <w:overflowPunct/>
              <w:topLinePunct w:val="0"/>
              <w:autoSpaceDE/>
              <w:autoSpaceDN/>
              <w:bidi w:val="0"/>
              <w:adjustRightInd/>
              <w:spacing w:line="240" w:lineRule="auto"/>
              <w:ind w:left="0" w:leftChars="0"/>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单批次考核</w:t>
            </w:r>
          </w:p>
        </w:tc>
        <w:tc>
          <w:tcPr>
            <w:tcW w:w="2753" w:type="dxa"/>
            <w:tcBorders>
              <w:left w:val="single" w:color="auto" w:sz="4" w:space="0"/>
              <w:bottom w:val="single" w:color="auto" w:sz="4" w:space="0"/>
              <w:right w:val="single" w:color="auto" w:sz="4" w:space="0"/>
            </w:tcBorders>
            <w:vAlign w:val="center"/>
          </w:tcPr>
          <w:p w14:paraId="3ED9912E">
            <w:pPr>
              <w:keepNext w:val="0"/>
              <w:keepLines w:val="0"/>
              <w:pageBreakBefore w:val="0"/>
              <w:widowControl/>
              <w:kinsoku/>
              <w:wordWrap/>
              <w:overflowPunct/>
              <w:topLinePunct w:val="0"/>
              <w:autoSpaceDE/>
              <w:autoSpaceDN/>
              <w:bidi w:val="0"/>
              <w:adjustRightInd/>
              <w:spacing w:line="240" w:lineRule="auto"/>
              <w:ind w:left="0" w:leftChars="0"/>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拒付（Var＜10</w:t>
            </w:r>
            <w:r>
              <w:rPr>
                <w:rFonts w:hint="eastAsia" w:ascii="宋体" w:hAnsi="宋体" w:eastAsia="宋体" w:cs="宋体"/>
                <w:color w:val="auto"/>
                <w:kern w:val="0"/>
                <w:sz w:val="21"/>
                <w:szCs w:val="21"/>
                <w:lang w:val="en-US" w:eastAsia="zh-CN"/>
              </w:rPr>
              <w:t>.00%</w:t>
            </w:r>
            <w:r>
              <w:rPr>
                <w:rFonts w:hint="eastAsia" w:ascii="宋体" w:hAnsi="宋体" w:eastAsia="宋体" w:cs="宋体"/>
                <w:color w:val="auto"/>
                <w:kern w:val="0"/>
                <w:sz w:val="21"/>
                <w:szCs w:val="21"/>
              </w:rPr>
              <w:t>视为无烟煤）</w:t>
            </w:r>
          </w:p>
        </w:tc>
      </w:tr>
    </w:tbl>
    <w:p w14:paraId="50EA32EE">
      <w:pPr>
        <w:keepNext w:val="0"/>
        <w:keepLines w:val="0"/>
        <w:pageBreakBefore w:val="0"/>
        <w:widowControl/>
        <w:kinsoku/>
        <w:wordWrap/>
        <w:overflowPunct/>
        <w:topLinePunct w:val="0"/>
        <w:autoSpaceDE/>
        <w:autoSpaceDN/>
        <w:bidi w:val="0"/>
        <w:adjustRightInd/>
        <w:spacing w:line="360" w:lineRule="auto"/>
        <w:ind w:firstLine="422" w:firstLineChars="200"/>
        <w:jc w:val="left"/>
        <w:rPr>
          <w:rFonts w:hint="eastAsia" w:ascii="宋体" w:hAnsi="宋体" w:eastAsia="宋体" w:cs="宋体"/>
          <w:b/>
          <w:bCs/>
          <w:color w:val="auto"/>
          <w:kern w:val="0"/>
          <w:sz w:val="21"/>
          <w:szCs w:val="21"/>
          <w:lang w:eastAsia="zh-CN"/>
        </w:rPr>
      </w:pPr>
      <w:r>
        <w:rPr>
          <w:rFonts w:hint="eastAsia" w:ascii="宋体" w:hAnsi="宋体" w:eastAsia="宋体" w:cs="宋体"/>
          <w:b/>
          <w:bCs/>
          <w:color w:val="auto"/>
          <w:kern w:val="0"/>
          <w:sz w:val="21"/>
          <w:szCs w:val="21"/>
          <w:lang w:val="en-US" w:eastAsia="zh-CN"/>
        </w:rPr>
        <w:t>质量调整价计价</w:t>
      </w:r>
      <w:r>
        <w:rPr>
          <w:rFonts w:hint="eastAsia" w:ascii="宋体" w:hAnsi="宋体" w:eastAsia="宋体" w:cs="宋体"/>
          <w:b/>
          <w:bCs/>
          <w:color w:val="auto"/>
          <w:kern w:val="0"/>
          <w:sz w:val="21"/>
          <w:szCs w:val="21"/>
        </w:rPr>
        <w:t>说明</w:t>
      </w:r>
      <w:r>
        <w:rPr>
          <w:rFonts w:hint="eastAsia" w:ascii="宋体" w:hAnsi="宋体" w:cs="宋体"/>
          <w:b/>
          <w:bCs/>
          <w:color w:val="auto"/>
          <w:kern w:val="0"/>
          <w:sz w:val="21"/>
          <w:szCs w:val="21"/>
          <w:lang w:eastAsia="zh-CN"/>
        </w:rPr>
        <w:t>：</w:t>
      </w:r>
    </w:p>
    <w:p w14:paraId="62D787C8">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1</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水分计价：当加权Mt≤15.0%时，不计价；当加权Mt＞15.0%时，水分计价=热值计价×（15.0%-全水分）；</w:t>
      </w:r>
    </w:p>
    <w:p w14:paraId="680EF1C2">
      <w:pPr>
        <w:keepNext w:val="0"/>
        <w:keepLines w:val="0"/>
        <w:pageBreakBefore w:val="0"/>
        <w:widowControl/>
        <w:kinsoku/>
        <w:wordWrap/>
        <w:overflowPunct/>
        <w:topLinePunct w:val="0"/>
        <w:autoSpaceDE/>
        <w:autoSpaceDN/>
        <w:bidi w:val="0"/>
        <w:adjustRightInd/>
        <w:spacing w:line="360" w:lineRule="auto"/>
        <w:ind w:left="0" w:leftChars="0"/>
        <w:jc w:val="left"/>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w:t>
      </w:r>
      <w:r>
        <w:rPr>
          <w:rFonts w:hint="eastAsia" w:ascii="宋体" w:hAnsi="宋体" w:eastAsia="宋体" w:cs="宋体"/>
          <w:color w:val="auto"/>
          <w:kern w:val="0"/>
          <w:sz w:val="21"/>
          <w:szCs w:val="21"/>
          <w:lang w:val="en-US" w:eastAsia="zh-CN"/>
        </w:rPr>
        <w:t>2</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硫分计价：当加权St,d≤3.00%时，不计</w:t>
      </w:r>
      <w:r>
        <w:rPr>
          <w:rFonts w:hint="eastAsia" w:ascii="宋体" w:hAnsi="宋体" w:eastAsia="宋体" w:cs="宋体"/>
          <w:color w:val="auto"/>
          <w:kern w:val="0"/>
          <w:sz w:val="21"/>
          <w:szCs w:val="21"/>
          <w:highlight w:val="none"/>
        </w:rPr>
        <w:t>价；当加权St,d＞3.00%时</w:t>
      </w:r>
      <w:r>
        <w:rPr>
          <w:rFonts w:hint="eastAsia" w:ascii="宋体" w:hAnsi="宋体" w:eastAsia="宋体" w:cs="宋体"/>
          <w:color w:val="auto"/>
          <w:kern w:val="0"/>
          <w:sz w:val="21"/>
          <w:szCs w:val="21"/>
        </w:rPr>
        <w:t>，每上升0.01%，相应扣减0.1元/吨。单批次St,d＞5.00%时，单批次考核，扣</w:t>
      </w:r>
      <w:r>
        <w:rPr>
          <w:rFonts w:hint="eastAsia" w:ascii="宋体" w:hAnsi="宋体" w:eastAsia="宋体" w:cs="宋体"/>
          <w:color w:val="auto"/>
          <w:kern w:val="0"/>
          <w:sz w:val="21"/>
          <w:szCs w:val="21"/>
          <w:lang w:val="en-US" w:eastAsia="zh-CN"/>
        </w:rPr>
        <w:t>1</w:t>
      </w:r>
      <w:r>
        <w:rPr>
          <w:rFonts w:hint="eastAsia" w:ascii="宋体" w:hAnsi="宋体" w:eastAsia="宋体" w:cs="宋体"/>
          <w:color w:val="auto"/>
          <w:kern w:val="0"/>
          <w:sz w:val="21"/>
          <w:szCs w:val="21"/>
        </w:rPr>
        <w:t>50元每吨；</w:t>
      </w:r>
    </w:p>
    <w:p w14:paraId="586BC476">
      <w:pPr>
        <w:keepNext w:val="0"/>
        <w:keepLines w:val="0"/>
        <w:pageBreakBefore w:val="0"/>
        <w:widowControl/>
        <w:kinsoku/>
        <w:wordWrap/>
        <w:overflowPunct/>
        <w:topLinePunct w:val="0"/>
        <w:autoSpaceDE/>
        <w:autoSpaceDN/>
        <w:bidi w:val="0"/>
        <w:adjustRightInd/>
        <w:spacing w:line="360" w:lineRule="auto"/>
        <w:ind w:left="0" w:leftChars="0"/>
        <w:jc w:val="left"/>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 xml:space="preserve">    </w:t>
      </w:r>
      <w:r>
        <w:rPr>
          <w:rFonts w:hint="eastAsia" w:ascii="宋体" w:hAnsi="宋体" w:eastAsia="宋体" w:cs="宋体"/>
          <w:color w:val="auto"/>
          <w:kern w:val="0"/>
          <w:sz w:val="21"/>
          <w:szCs w:val="21"/>
          <w:lang w:val="en-US" w:eastAsia="zh-CN"/>
        </w:rPr>
        <w:t>3</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挥发分计价：当1</w:t>
      </w:r>
      <w:r>
        <w:rPr>
          <w:rFonts w:hint="eastAsia" w:ascii="宋体" w:hAnsi="宋体" w:cs="宋体"/>
          <w:color w:val="auto"/>
          <w:kern w:val="0"/>
          <w:sz w:val="21"/>
          <w:szCs w:val="21"/>
          <w:lang w:val="en-US" w:eastAsia="zh-CN"/>
        </w:rPr>
        <w:t>3</w:t>
      </w:r>
      <w:r>
        <w:rPr>
          <w:rFonts w:hint="eastAsia" w:ascii="宋体" w:hAnsi="宋体" w:eastAsia="宋体" w:cs="宋体"/>
          <w:color w:val="auto"/>
          <w:kern w:val="0"/>
          <w:sz w:val="21"/>
          <w:szCs w:val="21"/>
        </w:rPr>
        <w:t>.00%</w:t>
      </w:r>
      <w:r>
        <w:rPr>
          <w:rFonts w:hint="eastAsia" w:ascii="宋体" w:hAnsi="宋体" w:eastAsia="宋体" w:cs="宋体"/>
          <w:color w:val="auto"/>
          <w:kern w:val="0"/>
          <w:sz w:val="21"/>
          <w:szCs w:val="21"/>
          <w:lang w:val="en-US" w:eastAsia="zh-CN"/>
        </w:rPr>
        <w:t>≤</w:t>
      </w:r>
      <w:r>
        <w:rPr>
          <w:rFonts w:hint="eastAsia" w:ascii="宋体" w:hAnsi="宋体" w:eastAsia="宋体" w:cs="宋体"/>
          <w:color w:val="auto"/>
          <w:kern w:val="0"/>
          <w:sz w:val="21"/>
          <w:szCs w:val="21"/>
        </w:rPr>
        <w:t>加权Var</w:t>
      </w:r>
      <w:r>
        <w:rPr>
          <w:rFonts w:hint="eastAsia" w:ascii="宋体" w:hAnsi="宋体" w:eastAsia="宋体" w:cs="宋体"/>
          <w:color w:val="auto"/>
          <w:kern w:val="0"/>
          <w:sz w:val="21"/>
          <w:szCs w:val="21"/>
          <w:lang w:val="en-US" w:eastAsia="zh-CN"/>
        </w:rPr>
        <w:t>≤</w:t>
      </w:r>
      <w:r>
        <w:rPr>
          <w:rFonts w:hint="eastAsia" w:ascii="宋体" w:hAnsi="宋体" w:cs="宋体"/>
          <w:color w:val="auto"/>
          <w:kern w:val="0"/>
          <w:sz w:val="21"/>
          <w:szCs w:val="21"/>
          <w:lang w:val="en-US" w:eastAsia="zh-CN"/>
        </w:rPr>
        <w:t>25</w:t>
      </w:r>
      <w:r>
        <w:rPr>
          <w:rFonts w:hint="eastAsia" w:ascii="宋体" w:hAnsi="宋体" w:eastAsia="宋体" w:cs="宋体"/>
          <w:color w:val="auto"/>
          <w:kern w:val="0"/>
          <w:sz w:val="21"/>
          <w:szCs w:val="21"/>
          <w:lang w:val="en-US" w:eastAsia="zh-CN"/>
        </w:rPr>
        <w:t>.00%</w:t>
      </w:r>
      <w:r>
        <w:rPr>
          <w:rFonts w:hint="eastAsia" w:ascii="宋体" w:hAnsi="宋体" w:eastAsia="宋体" w:cs="宋体"/>
          <w:color w:val="auto"/>
          <w:kern w:val="0"/>
          <w:sz w:val="21"/>
          <w:szCs w:val="21"/>
        </w:rPr>
        <w:t>时，不计价；当10.00%≤加权Var＜1</w:t>
      </w:r>
      <w:r>
        <w:rPr>
          <w:rFonts w:hint="eastAsia" w:ascii="宋体" w:hAnsi="宋体" w:cs="宋体"/>
          <w:color w:val="auto"/>
          <w:kern w:val="0"/>
          <w:sz w:val="21"/>
          <w:szCs w:val="21"/>
          <w:lang w:val="en-US" w:eastAsia="zh-CN"/>
        </w:rPr>
        <w:t>3</w:t>
      </w:r>
      <w:r>
        <w:rPr>
          <w:rFonts w:hint="eastAsia" w:ascii="宋体" w:hAnsi="宋体" w:eastAsia="宋体" w:cs="宋体"/>
          <w:color w:val="auto"/>
          <w:kern w:val="0"/>
          <w:sz w:val="21"/>
          <w:szCs w:val="21"/>
        </w:rPr>
        <w:t>.00%时，每降低0.01%，相应扣减0.1元/吨</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Var</w:t>
      </w:r>
      <w:r>
        <w:rPr>
          <w:rFonts w:hint="eastAsia" w:ascii="宋体" w:hAnsi="宋体" w:eastAsia="宋体" w:cs="宋体"/>
          <w:color w:val="auto"/>
          <w:kern w:val="0"/>
          <w:sz w:val="21"/>
          <w:szCs w:val="21"/>
          <w:lang w:val="en-US" w:eastAsia="zh-CN"/>
        </w:rPr>
        <w:t>＞</w:t>
      </w:r>
      <w:r>
        <w:rPr>
          <w:rFonts w:hint="eastAsia" w:ascii="宋体" w:hAnsi="宋体" w:cs="宋体"/>
          <w:color w:val="auto"/>
          <w:kern w:val="0"/>
          <w:sz w:val="21"/>
          <w:szCs w:val="21"/>
          <w:lang w:val="en-US" w:eastAsia="zh-CN"/>
        </w:rPr>
        <w:t>25</w:t>
      </w:r>
      <w:r>
        <w:rPr>
          <w:rFonts w:hint="eastAsia" w:ascii="宋体" w:hAnsi="宋体" w:eastAsia="宋体" w:cs="宋体"/>
          <w:color w:val="auto"/>
          <w:kern w:val="0"/>
          <w:sz w:val="21"/>
          <w:szCs w:val="21"/>
          <w:lang w:val="en-US" w:eastAsia="zh-CN"/>
        </w:rPr>
        <w:t>.00%或</w:t>
      </w:r>
      <w:r>
        <w:rPr>
          <w:rFonts w:hint="eastAsia" w:ascii="宋体" w:hAnsi="宋体" w:eastAsia="宋体" w:cs="宋体"/>
          <w:color w:val="auto"/>
          <w:kern w:val="0"/>
          <w:sz w:val="21"/>
          <w:szCs w:val="21"/>
        </w:rPr>
        <w:t>Var</w:t>
      </w:r>
      <w:r>
        <w:rPr>
          <w:rFonts w:hint="eastAsia" w:ascii="宋体" w:hAnsi="宋体" w:eastAsia="宋体" w:cs="宋体"/>
          <w:color w:val="auto"/>
          <w:kern w:val="0"/>
          <w:sz w:val="21"/>
          <w:szCs w:val="21"/>
          <w:lang w:val="en-US" w:eastAsia="zh-CN"/>
        </w:rPr>
        <w:t>＜</w:t>
      </w:r>
      <w:r>
        <w:rPr>
          <w:rFonts w:hint="eastAsia" w:ascii="宋体" w:hAnsi="宋体" w:eastAsia="宋体" w:cs="宋体"/>
          <w:color w:val="auto"/>
          <w:kern w:val="0"/>
          <w:sz w:val="21"/>
          <w:szCs w:val="21"/>
        </w:rPr>
        <w:t>10.00%时，单批次拒付（Var＜10.00%视为无烟煤）</w:t>
      </w:r>
      <w:r>
        <w:rPr>
          <w:rFonts w:hint="eastAsia" w:ascii="宋体" w:hAnsi="宋体" w:eastAsia="宋体" w:cs="宋体"/>
          <w:color w:val="auto"/>
          <w:kern w:val="0"/>
          <w:sz w:val="21"/>
          <w:szCs w:val="21"/>
          <w:lang w:eastAsia="zh-CN"/>
        </w:rPr>
        <w:t>。</w:t>
      </w:r>
    </w:p>
    <w:p w14:paraId="07C3399F">
      <w:pPr>
        <w:keepNext w:val="0"/>
        <w:keepLines w:val="0"/>
        <w:pageBreakBefore w:val="0"/>
        <w:widowControl/>
        <w:kinsoku/>
        <w:wordWrap/>
        <w:overflowPunct/>
        <w:topLinePunct w:val="0"/>
        <w:autoSpaceDE/>
        <w:autoSpaceDN/>
        <w:bidi w:val="0"/>
        <w:adjustRightInd/>
        <w:spacing w:line="360" w:lineRule="auto"/>
        <w:ind w:left="0" w:leftChars="0" w:firstLine="422" w:firstLineChars="200"/>
        <w:jc w:val="left"/>
        <w:textAlignment w:val="center"/>
        <w:rPr>
          <w:rFonts w:hint="eastAsia" w:ascii="宋体" w:hAnsi="宋体" w:eastAsia="宋体" w:cs="宋体"/>
          <w:b/>
          <w:bCs/>
          <w:color w:val="auto"/>
          <w:kern w:val="0"/>
          <w:sz w:val="21"/>
          <w:szCs w:val="21"/>
        </w:rPr>
      </w:pPr>
      <w:r>
        <w:rPr>
          <w:rFonts w:hint="eastAsia" w:ascii="宋体" w:hAnsi="宋体" w:cs="宋体"/>
          <w:b/>
          <w:bCs/>
          <w:color w:val="auto"/>
          <w:kern w:val="0"/>
          <w:sz w:val="21"/>
          <w:szCs w:val="21"/>
          <w:lang w:val="en-US" w:eastAsia="zh-CN"/>
        </w:rPr>
        <w:t>（3）</w:t>
      </w:r>
      <w:r>
        <w:rPr>
          <w:rFonts w:hint="eastAsia" w:ascii="宋体" w:hAnsi="宋体" w:eastAsia="宋体" w:cs="宋体"/>
          <w:b/>
          <w:bCs/>
          <w:color w:val="auto"/>
          <w:kern w:val="0"/>
          <w:sz w:val="21"/>
          <w:szCs w:val="21"/>
        </w:rPr>
        <w:t>数量调整价</w:t>
      </w:r>
    </w:p>
    <w:p w14:paraId="764E6915">
      <w:pPr>
        <w:keepNext w:val="0"/>
        <w:keepLines w:val="0"/>
        <w:pageBreakBefore w:val="0"/>
        <w:widowControl/>
        <w:kinsoku/>
        <w:wordWrap/>
        <w:overflowPunct/>
        <w:topLinePunct w:val="0"/>
        <w:autoSpaceDE/>
        <w:autoSpaceDN/>
        <w:bidi w:val="0"/>
        <w:adjustRightInd/>
        <w:spacing w:line="360" w:lineRule="auto"/>
        <w:ind w:left="0" w:leftChars="0" w:firstLine="630" w:firstLineChars="300"/>
        <w:jc w:val="left"/>
        <w:textAlignment w:val="center"/>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1）截止2025年XX月XX日，乙方向甲方供应燃煤实际到厂数量（若乙方选择供应同等价值及以上燃煤作为合同履约保证金，则自《中标通知书》发出之日起至合同签订之日前，所供应同等价值及以上燃煤煤量一并计入）达到10000吨时，为完成合同量；</w:t>
      </w:r>
    </w:p>
    <w:p w14:paraId="5D4667AA">
      <w:pPr>
        <w:keepNext w:val="0"/>
        <w:keepLines w:val="0"/>
        <w:pageBreakBefore w:val="0"/>
        <w:widowControl/>
        <w:kinsoku/>
        <w:wordWrap/>
        <w:overflowPunct/>
        <w:topLinePunct w:val="0"/>
        <w:autoSpaceDE/>
        <w:autoSpaceDN/>
        <w:bidi w:val="0"/>
        <w:adjustRightInd/>
        <w:spacing w:line="360" w:lineRule="auto"/>
        <w:ind w:left="0" w:leftChars="0" w:firstLine="630" w:firstLineChars="300"/>
        <w:jc w:val="left"/>
        <w:textAlignment w:val="center"/>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2）若截止2025年XX月XX日实际到厂数量（若乙方选择供应同等价值及以上燃煤作为合同履约保证金，则自《中标通知书》发出之日起至合同签订之日前，所供应同等价值及以上燃煤煤量一并计入）小于10000吨时：</w:t>
      </w:r>
    </w:p>
    <w:p w14:paraId="35A89266">
      <w:pPr>
        <w:keepNext w:val="0"/>
        <w:keepLines w:val="0"/>
        <w:pageBreakBefore w:val="0"/>
        <w:widowControl/>
        <w:kinsoku/>
        <w:wordWrap/>
        <w:overflowPunct/>
        <w:topLinePunct w:val="0"/>
        <w:autoSpaceDE/>
        <w:autoSpaceDN/>
        <w:bidi w:val="0"/>
        <w:adjustRightInd/>
        <w:spacing w:line="360" w:lineRule="auto"/>
        <w:ind w:left="0" w:leftChars="0" w:firstLine="630" w:firstLineChars="300"/>
        <w:jc w:val="left"/>
        <w:textAlignment w:val="center"/>
        <w:rPr>
          <w:rFonts w:hint="eastAsia" w:ascii="宋体" w:hAnsi="宋体" w:eastAsia="宋体" w:cs="宋体"/>
          <w:color w:val="auto"/>
          <w:kern w:val="0"/>
          <w:sz w:val="21"/>
          <w:szCs w:val="21"/>
          <w:lang w:eastAsia="zh-CN"/>
        </w:rPr>
      </w:pPr>
      <w:r>
        <w:rPr>
          <w:rFonts w:hint="eastAsia" w:ascii="宋体" w:hAnsi="宋体" w:cs="宋体"/>
          <w:color w:val="auto"/>
          <w:kern w:val="0"/>
          <w:sz w:val="21"/>
          <w:szCs w:val="21"/>
          <w:lang w:val="en-US" w:eastAsia="zh-CN"/>
        </w:rPr>
        <w:t>①</w:t>
      </w:r>
      <w:r>
        <w:rPr>
          <w:rFonts w:hint="eastAsia" w:ascii="宋体" w:hAnsi="宋体" w:eastAsia="宋体" w:cs="宋体"/>
          <w:color w:val="auto"/>
          <w:kern w:val="0"/>
          <w:sz w:val="21"/>
          <w:szCs w:val="21"/>
        </w:rPr>
        <w:t>乙方选择办理结算</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val="en-US" w:eastAsia="zh-CN"/>
        </w:rPr>
        <w:t>则</w:t>
      </w:r>
      <w:r>
        <w:rPr>
          <w:rFonts w:hint="eastAsia" w:ascii="宋体" w:hAnsi="宋体" w:eastAsia="宋体" w:cs="宋体"/>
          <w:color w:val="auto"/>
          <w:kern w:val="0"/>
          <w:sz w:val="21"/>
          <w:szCs w:val="21"/>
        </w:rPr>
        <w:t>基准单价降低 0.01 元/[(kcal/kg)×吨]同时不予退还合同履约保证金</w:t>
      </w:r>
      <w:r>
        <w:rPr>
          <w:rFonts w:hint="eastAsia" w:ascii="宋体" w:hAnsi="宋体" w:eastAsia="宋体" w:cs="宋体"/>
          <w:color w:val="auto"/>
          <w:kern w:val="0"/>
          <w:sz w:val="21"/>
          <w:szCs w:val="21"/>
          <w:lang w:eastAsia="zh-CN"/>
        </w:rPr>
        <w:t>；</w:t>
      </w:r>
    </w:p>
    <w:p w14:paraId="043BCACB">
      <w:pPr>
        <w:keepNext w:val="0"/>
        <w:keepLines w:val="0"/>
        <w:pageBreakBefore w:val="0"/>
        <w:widowControl/>
        <w:kinsoku/>
        <w:wordWrap/>
        <w:overflowPunct/>
        <w:topLinePunct w:val="0"/>
        <w:autoSpaceDE/>
        <w:autoSpaceDN/>
        <w:bidi w:val="0"/>
        <w:adjustRightInd/>
        <w:spacing w:line="360" w:lineRule="auto"/>
        <w:ind w:left="0" w:leftChars="0" w:firstLine="630" w:firstLineChars="300"/>
        <w:jc w:val="left"/>
        <w:textAlignment w:val="center"/>
        <w:rPr>
          <w:rFonts w:hint="eastAsia" w:ascii="宋体" w:hAnsi="宋体" w:eastAsia="宋体" w:cs="宋体"/>
          <w:color w:val="auto"/>
          <w:kern w:val="0"/>
          <w:sz w:val="21"/>
          <w:szCs w:val="21"/>
        </w:rPr>
      </w:pPr>
      <w:r>
        <w:rPr>
          <w:rFonts w:hint="eastAsia" w:ascii="宋体" w:hAnsi="宋体" w:cs="宋体"/>
          <w:color w:val="auto"/>
          <w:kern w:val="0"/>
          <w:sz w:val="21"/>
          <w:szCs w:val="21"/>
          <w:lang w:val="en-US" w:eastAsia="zh-CN"/>
        </w:rPr>
        <w:t>②合同到期</w:t>
      </w:r>
      <w:r>
        <w:rPr>
          <w:rFonts w:hint="eastAsia" w:ascii="宋体" w:hAnsi="宋体" w:eastAsia="宋体" w:cs="宋体"/>
          <w:color w:val="auto"/>
          <w:kern w:val="0"/>
          <w:sz w:val="21"/>
          <w:szCs w:val="21"/>
          <w:lang w:val="en-US" w:eastAsia="zh-CN"/>
        </w:rPr>
        <w:t>后</w:t>
      </w:r>
      <w:r>
        <w:rPr>
          <w:rFonts w:hint="eastAsia" w:ascii="宋体" w:hAnsi="宋体" w:eastAsia="宋体" w:cs="宋体"/>
          <w:color w:val="auto"/>
          <w:kern w:val="0"/>
          <w:sz w:val="21"/>
          <w:szCs w:val="21"/>
        </w:rPr>
        <w:t>乙方选择继续履约合同</w:t>
      </w:r>
      <w:r>
        <w:rPr>
          <w:rFonts w:hint="eastAsia" w:ascii="宋体" w:hAnsi="宋体" w:eastAsia="宋体" w:cs="宋体"/>
          <w:color w:val="auto"/>
          <w:kern w:val="0"/>
          <w:sz w:val="21"/>
          <w:szCs w:val="21"/>
          <w:lang w:val="en-US" w:eastAsia="zh-CN"/>
        </w:rPr>
        <w:t>向甲方供应燃煤</w:t>
      </w:r>
      <w:r>
        <w:rPr>
          <w:rFonts w:hint="eastAsia" w:ascii="宋体" w:hAnsi="宋体" w:eastAsia="宋体" w:cs="宋体"/>
          <w:color w:val="auto"/>
          <w:kern w:val="0"/>
          <w:sz w:val="21"/>
          <w:szCs w:val="21"/>
        </w:rPr>
        <w:t>，则</w:t>
      </w:r>
      <w:r>
        <w:rPr>
          <w:rFonts w:hint="eastAsia" w:ascii="宋体" w:hAnsi="宋体" w:eastAsia="宋体" w:cs="宋体"/>
          <w:color w:val="auto"/>
          <w:kern w:val="0"/>
          <w:sz w:val="21"/>
          <w:szCs w:val="21"/>
          <w:lang w:val="en-US" w:eastAsia="zh-CN"/>
        </w:rPr>
        <w:t>乙方</w:t>
      </w:r>
      <w:r>
        <w:rPr>
          <w:rFonts w:hint="eastAsia" w:ascii="宋体" w:hAnsi="宋体" w:eastAsia="宋体" w:cs="宋体"/>
          <w:color w:val="auto"/>
          <w:kern w:val="0"/>
          <w:sz w:val="21"/>
          <w:szCs w:val="21"/>
        </w:rPr>
        <w:t>已供应燃煤及超期供应的燃煤按下表</w:t>
      </w:r>
      <w:r>
        <w:rPr>
          <w:rFonts w:hint="eastAsia" w:ascii="宋体" w:hAnsi="宋体" w:eastAsia="宋体" w:cs="宋体"/>
          <w:color w:val="auto"/>
          <w:kern w:val="0"/>
          <w:sz w:val="21"/>
          <w:szCs w:val="21"/>
          <w:lang w:val="en-US" w:eastAsia="zh-CN"/>
        </w:rPr>
        <w:t>对应</w:t>
      </w:r>
      <w:r>
        <w:rPr>
          <w:rFonts w:hint="eastAsia" w:ascii="宋体" w:hAnsi="宋体" w:eastAsia="宋体" w:cs="宋体"/>
          <w:color w:val="auto"/>
          <w:kern w:val="0"/>
          <w:sz w:val="21"/>
          <w:szCs w:val="21"/>
        </w:rPr>
        <w:t>超期天数</w:t>
      </w:r>
      <w:r>
        <w:rPr>
          <w:rFonts w:hint="eastAsia" w:ascii="宋体" w:hAnsi="宋体" w:eastAsia="宋体" w:cs="宋体"/>
          <w:color w:val="auto"/>
          <w:kern w:val="0"/>
          <w:sz w:val="21"/>
          <w:szCs w:val="21"/>
          <w:lang w:val="en-US" w:eastAsia="zh-CN"/>
        </w:rPr>
        <w:t>及</w:t>
      </w:r>
      <w:r>
        <w:rPr>
          <w:rFonts w:hint="eastAsia" w:ascii="宋体" w:hAnsi="宋体" w:eastAsia="宋体" w:cs="宋体"/>
          <w:color w:val="auto"/>
          <w:kern w:val="0"/>
          <w:sz w:val="21"/>
          <w:szCs w:val="21"/>
        </w:rPr>
        <w:t>基准单价下浮结算，不</w:t>
      </w:r>
      <w:r>
        <w:rPr>
          <w:rFonts w:hint="eastAsia" w:ascii="宋体" w:hAnsi="宋体" w:eastAsia="宋体" w:cs="宋体"/>
          <w:color w:val="auto"/>
          <w:kern w:val="0"/>
          <w:sz w:val="21"/>
          <w:szCs w:val="21"/>
          <w:lang w:val="en-US" w:eastAsia="zh-CN"/>
        </w:rPr>
        <w:t>再</w:t>
      </w:r>
      <w:r>
        <w:rPr>
          <w:rFonts w:hint="eastAsia" w:ascii="宋体" w:hAnsi="宋体" w:eastAsia="宋体" w:cs="宋体"/>
          <w:color w:val="auto"/>
          <w:kern w:val="0"/>
          <w:sz w:val="21"/>
          <w:szCs w:val="21"/>
        </w:rPr>
        <w:t>执行基准单价下浮 0.01 元/[(kcal/kg)×吨]和扣除乙方合同履约保证金</w:t>
      </w:r>
      <w:r>
        <w:rPr>
          <w:rFonts w:hint="eastAsia" w:ascii="宋体" w:hAnsi="宋体" w:eastAsia="宋体" w:cs="宋体"/>
          <w:color w:val="auto"/>
          <w:kern w:val="0"/>
          <w:sz w:val="21"/>
          <w:szCs w:val="21"/>
          <w:lang w:val="en-US" w:eastAsia="zh-CN"/>
        </w:rPr>
        <w:t>条款</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若</w:t>
      </w:r>
      <w:r>
        <w:rPr>
          <w:rFonts w:hint="eastAsia" w:ascii="宋体" w:hAnsi="宋体" w:eastAsia="宋体" w:cs="宋体"/>
          <w:color w:val="auto"/>
          <w:kern w:val="0"/>
          <w:sz w:val="21"/>
          <w:szCs w:val="21"/>
        </w:rPr>
        <w:t>乙方超期</w:t>
      </w:r>
      <w:r>
        <w:rPr>
          <w:rFonts w:hint="eastAsia" w:ascii="宋体" w:hAnsi="宋体" w:eastAsia="宋体" w:cs="宋体"/>
          <w:color w:val="auto"/>
          <w:kern w:val="0"/>
          <w:sz w:val="21"/>
          <w:szCs w:val="21"/>
          <w:lang w:val="en-US" w:eastAsia="zh-CN"/>
        </w:rPr>
        <w:t>仍</w:t>
      </w:r>
      <w:r>
        <w:rPr>
          <w:rFonts w:hint="eastAsia" w:ascii="宋体" w:hAnsi="宋体" w:eastAsia="宋体" w:cs="宋体"/>
          <w:color w:val="auto"/>
          <w:kern w:val="0"/>
          <w:sz w:val="21"/>
          <w:szCs w:val="21"/>
        </w:rPr>
        <w:t>未完成合同约定的供煤</w:t>
      </w:r>
      <w:r>
        <w:rPr>
          <w:rFonts w:hint="eastAsia" w:ascii="宋体" w:hAnsi="宋体" w:eastAsia="宋体" w:cs="宋体"/>
          <w:color w:val="auto"/>
          <w:kern w:val="0"/>
          <w:sz w:val="21"/>
          <w:szCs w:val="21"/>
          <w:lang w:val="en-US" w:eastAsia="zh-CN"/>
        </w:rPr>
        <w:t>数</w:t>
      </w:r>
      <w:r>
        <w:rPr>
          <w:rFonts w:hint="eastAsia" w:ascii="宋体" w:hAnsi="宋体" w:eastAsia="宋体" w:cs="宋体"/>
          <w:color w:val="auto"/>
          <w:kern w:val="0"/>
          <w:sz w:val="21"/>
          <w:szCs w:val="21"/>
        </w:rPr>
        <w:t>量，乙方</w:t>
      </w:r>
      <w:r>
        <w:rPr>
          <w:rFonts w:hint="eastAsia" w:ascii="宋体" w:hAnsi="宋体" w:eastAsia="宋体" w:cs="宋体"/>
          <w:color w:val="auto"/>
          <w:kern w:val="0"/>
          <w:sz w:val="21"/>
          <w:szCs w:val="21"/>
          <w:lang w:val="en-US" w:eastAsia="zh-CN"/>
        </w:rPr>
        <w:t>申请</w:t>
      </w:r>
      <w:r>
        <w:rPr>
          <w:rFonts w:hint="eastAsia" w:ascii="宋体" w:hAnsi="宋体" w:eastAsia="宋体" w:cs="宋体"/>
          <w:color w:val="auto"/>
          <w:kern w:val="0"/>
          <w:sz w:val="21"/>
          <w:szCs w:val="21"/>
        </w:rPr>
        <w:t>办理结算</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val="en-US" w:eastAsia="zh-CN"/>
        </w:rPr>
        <w:t>超期天数按甲方收到乙方结算书面申请时间为止</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，甲方</w:t>
      </w:r>
      <w:r>
        <w:rPr>
          <w:rFonts w:hint="eastAsia" w:ascii="宋体" w:hAnsi="宋体" w:eastAsia="宋体" w:cs="宋体"/>
          <w:color w:val="auto"/>
          <w:kern w:val="0"/>
          <w:sz w:val="21"/>
          <w:szCs w:val="21"/>
          <w:lang w:val="en-US" w:eastAsia="zh-CN"/>
        </w:rPr>
        <w:t>仍执行</w:t>
      </w:r>
      <w:r>
        <w:rPr>
          <w:rFonts w:hint="eastAsia" w:ascii="宋体" w:hAnsi="宋体" w:eastAsia="宋体" w:cs="宋体"/>
          <w:color w:val="auto"/>
          <w:kern w:val="0"/>
          <w:sz w:val="21"/>
          <w:szCs w:val="21"/>
        </w:rPr>
        <w:t>在基准单价上下浮0.01元/[(kcal/kg)×吨]和对应</w:t>
      </w:r>
      <w:r>
        <w:rPr>
          <w:rFonts w:hint="eastAsia" w:ascii="宋体" w:hAnsi="宋体" w:eastAsia="宋体" w:cs="宋体"/>
          <w:color w:val="auto"/>
          <w:kern w:val="0"/>
          <w:sz w:val="21"/>
          <w:szCs w:val="21"/>
          <w:lang w:val="en-US" w:eastAsia="zh-CN"/>
        </w:rPr>
        <w:t>下表</w:t>
      </w:r>
      <w:r>
        <w:rPr>
          <w:rFonts w:hint="eastAsia" w:ascii="宋体" w:hAnsi="宋体" w:eastAsia="宋体" w:cs="宋体"/>
          <w:color w:val="auto"/>
          <w:kern w:val="0"/>
          <w:sz w:val="21"/>
          <w:szCs w:val="21"/>
        </w:rPr>
        <w:t>超期</w:t>
      </w:r>
      <w:r>
        <w:rPr>
          <w:rFonts w:hint="eastAsia" w:ascii="宋体" w:hAnsi="宋体" w:eastAsia="宋体" w:cs="宋体"/>
          <w:color w:val="auto"/>
          <w:kern w:val="0"/>
          <w:sz w:val="21"/>
          <w:szCs w:val="21"/>
          <w:lang w:val="en-US" w:eastAsia="zh-CN"/>
        </w:rPr>
        <w:t>天数及</w:t>
      </w:r>
      <w:r>
        <w:rPr>
          <w:rFonts w:hint="eastAsia" w:ascii="宋体" w:hAnsi="宋体" w:eastAsia="宋体" w:cs="宋体"/>
          <w:color w:val="auto"/>
          <w:kern w:val="0"/>
          <w:sz w:val="21"/>
          <w:szCs w:val="21"/>
        </w:rPr>
        <w:t>下浮基准单价</w:t>
      </w:r>
      <w:r>
        <w:rPr>
          <w:rFonts w:hint="eastAsia" w:ascii="宋体" w:hAnsi="宋体" w:eastAsia="宋体" w:cs="宋体"/>
          <w:color w:val="auto"/>
          <w:kern w:val="0"/>
          <w:sz w:val="21"/>
          <w:szCs w:val="21"/>
          <w:lang w:val="en-US" w:eastAsia="zh-CN"/>
        </w:rPr>
        <w:t>与乙方</w:t>
      </w:r>
      <w:r>
        <w:rPr>
          <w:rFonts w:hint="eastAsia" w:ascii="宋体" w:hAnsi="宋体" w:eastAsia="宋体" w:cs="宋体"/>
          <w:color w:val="auto"/>
          <w:kern w:val="0"/>
          <w:sz w:val="21"/>
          <w:szCs w:val="21"/>
        </w:rPr>
        <w:t>办理所</w:t>
      </w:r>
      <w:r>
        <w:rPr>
          <w:rFonts w:hint="eastAsia" w:ascii="宋体" w:hAnsi="宋体" w:eastAsia="宋体" w:cs="宋体"/>
          <w:color w:val="auto"/>
          <w:kern w:val="0"/>
          <w:sz w:val="21"/>
          <w:szCs w:val="21"/>
          <w:lang w:val="en-US" w:eastAsia="zh-CN"/>
        </w:rPr>
        <w:t>有</w:t>
      </w:r>
      <w:r>
        <w:rPr>
          <w:rFonts w:hint="eastAsia" w:ascii="宋体" w:hAnsi="宋体" w:eastAsia="宋体" w:cs="宋体"/>
          <w:color w:val="auto"/>
          <w:kern w:val="0"/>
          <w:sz w:val="21"/>
          <w:szCs w:val="21"/>
        </w:rPr>
        <w:t>供</w:t>
      </w:r>
      <w:r>
        <w:rPr>
          <w:rFonts w:hint="eastAsia" w:ascii="宋体" w:hAnsi="宋体" w:eastAsia="宋体" w:cs="宋体"/>
          <w:color w:val="auto"/>
          <w:kern w:val="0"/>
          <w:sz w:val="21"/>
          <w:szCs w:val="21"/>
          <w:lang w:val="en-US" w:eastAsia="zh-CN"/>
        </w:rPr>
        <w:t>应燃</w:t>
      </w:r>
      <w:r>
        <w:rPr>
          <w:rFonts w:hint="eastAsia" w:ascii="宋体" w:hAnsi="宋体" w:eastAsia="宋体" w:cs="宋体"/>
          <w:color w:val="auto"/>
          <w:kern w:val="0"/>
          <w:sz w:val="21"/>
          <w:szCs w:val="21"/>
        </w:rPr>
        <w:t>煤</w:t>
      </w:r>
      <w:r>
        <w:rPr>
          <w:rFonts w:hint="eastAsia" w:ascii="宋体" w:hAnsi="宋体" w:eastAsia="宋体" w:cs="宋体"/>
          <w:color w:val="auto"/>
          <w:kern w:val="0"/>
          <w:sz w:val="21"/>
          <w:szCs w:val="21"/>
          <w:lang w:val="en-US" w:eastAsia="zh-CN"/>
        </w:rPr>
        <w:t>数</w:t>
      </w:r>
      <w:r>
        <w:rPr>
          <w:rFonts w:hint="eastAsia" w:ascii="宋体" w:hAnsi="宋体" w:eastAsia="宋体" w:cs="宋体"/>
          <w:color w:val="auto"/>
          <w:kern w:val="0"/>
          <w:sz w:val="21"/>
          <w:szCs w:val="21"/>
        </w:rPr>
        <w:t>量</w:t>
      </w:r>
      <w:r>
        <w:rPr>
          <w:rFonts w:hint="eastAsia" w:ascii="宋体" w:hAnsi="宋体" w:eastAsia="宋体" w:cs="宋体"/>
          <w:color w:val="auto"/>
          <w:kern w:val="0"/>
          <w:sz w:val="21"/>
          <w:szCs w:val="21"/>
          <w:lang w:eastAsia="zh-CN"/>
        </w:rPr>
        <w:t>的</w:t>
      </w:r>
      <w:r>
        <w:rPr>
          <w:rFonts w:hint="eastAsia" w:ascii="宋体" w:hAnsi="宋体" w:eastAsia="宋体" w:cs="宋体"/>
          <w:color w:val="auto"/>
          <w:kern w:val="0"/>
          <w:sz w:val="21"/>
          <w:szCs w:val="21"/>
        </w:rPr>
        <w:t>结算，同时不予退还</w:t>
      </w:r>
      <w:r>
        <w:rPr>
          <w:rFonts w:hint="eastAsia" w:ascii="宋体" w:hAnsi="宋体" w:eastAsia="宋体" w:cs="宋体"/>
          <w:color w:val="auto"/>
          <w:kern w:val="0"/>
          <w:sz w:val="21"/>
          <w:szCs w:val="21"/>
          <w:lang w:val="en-US" w:eastAsia="zh-CN"/>
        </w:rPr>
        <w:t>乙方</w:t>
      </w:r>
      <w:r>
        <w:rPr>
          <w:rFonts w:hint="eastAsia" w:ascii="宋体" w:hAnsi="宋体" w:eastAsia="宋体" w:cs="宋体"/>
          <w:color w:val="auto"/>
          <w:kern w:val="0"/>
          <w:sz w:val="21"/>
          <w:szCs w:val="21"/>
        </w:rPr>
        <w:t>合同履约保证金；</w:t>
      </w:r>
    </w:p>
    <w:p w14:paraId="310385C0">
      <w:pPr>
        <w:keepNext w:val="0"/>
        <w:keepLines w:val="0"/>
        <w:pageBreakBefore w:val="0"/>
        <w:widowControl/>
        <w:kinsoku/>
        <w:wordWrap/>
        <w:overflowPunct/>
        <w:topLinePunct w:val="0"/>
        <w:autoSpaceDE/>
        <w:autoSpaceDN/>
        <w:bidi w:val="0"/>
        <w:adjustRightInd/>
        <w:spacing w:line="360" w:lineRule="auto"/>
        <w:ind w:left="0" w:leftChars="0"/>
        <w:jc w:val="center"/>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超期基准单价下浮表</w:t>
      </w:r>
    </w:p>
    <w:tbl>
      <w:tblPr>
        <w:tblStyle w:val="36"/>
        <w:tblW w:w="94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2"/>
        <w:gridCol w:w="6735"/>
      </w:tblGrid>
      <w:tr w14:paraId="2F633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02" w:type="dxa"/>
            <w:vAlign w:val="center"/>
          </w:tcPr>
          <w:p w14:paraId="393D266F">
            <w:pPr>
              <w:keepNext w:val="0"/>
              <w:keepLines w:val="0"/>
              <w:pageBreakBefore w:val="0"/>
              <w:widowControl/>
              <w:kinsoku/>
              <w:wordWrap/>
              <w:overflowPunct/>
              <w:topLinePunct w:val="0"/>
              <w:autoSpaceDE/>
              <w:autoSpaceDN/>
              <w:bidi w:val="0"/>
              <w:adjustRightInd/>
              <w:spacing w:line="360" w:lineRule="auto"/>
              <w:ind w:left="0" w:leftChars="0"/>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超期时间（天）</w:t>
            </w:r>
          </w:p>
        </w:tc>
        <w:tc>
          <w:tcPr>
            <w:tcW w:w="6735" w:type="dxa"/>
            <w:vAlign w:val="center"/>
          </w:tcPr>
          <w:p w14:paraId="364B196D">
            <w:pPr>
              <w:keepNext w:val="0"/>
              <w:keepLines w:val="0"/>
              <w:pageBreakBefore w:val="0"/>
              <w:widowControl/>
              <w:kinsoku/>
              <w:wordWrap/>
              <w:overflowPunct/>
              <w:topLinePunct w:val="0"/>
              <w:autoSpaceDE/>
              <w:autoSpaceDN/>
              <w:bidi w:val="0"/>
              <w:adjustRightInd/>
              <w:spacing w:line="360" w:lineRule="auto"/>
              <w:ind w:left="0" w:leftChars="0"/>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基准单价下浮（元/[(kcal/kg)×吨]）</w:t>
            </w:r>
          </w:p>
        </w:tc>
      </w:tr>
      <w:tr w14:paraId="45056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02" w:type="dxa"/>
            <w:vAlign w:val="center"/>
          </w:tcPr>
          <w:p w14:paraId="6796B219">
            <w:pPr>
              <w:keepNext w:val="0"/>
              <w:keepLines w:val="0"/>
              <w:pageBreakBefore w:val="0"/>
              <w:widowControl/>
              <w:kinsoku/>
              <w:wordWrap/>
              <w:overflowPunct/>
              <w:topLinePunct w:val="0"/>
              <w:autoSpaceDE/>
              <w:autoSpaceDN/>
              <w:bidi w:val="0"/>
              <w:adjustRightInd/>
              <w:spacing w:line="360" w:lineRule="auto"/>
              <w:ind w:left="0" w:leftChars="0"/>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超期天数≤5</w:t>
            </w:r>
          </w:p>
        </w:tc>
        <w:tc>
          <w:tcPr>
            <w:tcW w:w="6735" w:type="dxa"/>
            <w:vAlign w:val="center"/>
          </w:tcPr>
          <w:p w14:paraId="25A60C55">
            <w:pPr>
              <w:keepNext w:val="0"/>
              <w:keepLines w:val="0"/>
              <w:pageBreakBefore w:val="0"/>
              <w:widowControl/>
              <w:kinsoku/>
              <w:wordWrap/>
              <w:overflowPunct/>
              <w:topLinePunct w:val="0"/>
              <w:autoSpaceDE/>
              <w:autoSpaceDN/>
              <w:bidi w:val="0"/>
              <w:adjustRightInd/>
              <w:spacing w:line="360" w:lineRule="auto"/>
              <w:ind w:left="0" w:leftChars="0"/>
              <w:jc w:val="center"/>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所有煤量基准单价</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rPr>
              <w:t>下浮 0.00</w:t>
            </w:r>
            <w:r>
              <w:rPr>
                <w:rFonts w:hint="eastAsia" w:ascii="宋体" w:hAnsi="宋体" w:eastAsia="宋体" w:cs="宋体"/>
                <w:color w:val="auto"/>
                <w:kern w:val="0"/>
                <w:sz w:val="21"/>
                <w:szCs w:val="21"/>
                <w:lang w:val="en-US" w:eastAsia="zh-CN"/>
              </w:rPr>
              <w:t>1</w:t>
            </w:r>
          </w:p>
        </w:tc>
      </w:tr>
      <w:tr w14:paraId="15590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02" w:type="dxa"/>
            <w:vAlign w:val="center"/>
          </w:tcPr>
          <w:p w14:paraId="7F5E7A6C">
            <w:pPr>
              <w:keepNext w:val="0"/>
              <w:keepLines w:val="0"/>
              <w:pageBreakBefore w:val="0"/>
              <w:widowControl/>
              <w:kinsoku/>
              <w:wordWrap/>
              <w:overflowPunct/>
              <w:topLinePunct w:val="0"/>
              <w:autoSpaceDE/>
              <w:autoSpaceDN/>
              <w:bidi w:val="0"/>
              <w:adjustRightInd/>
              <w:spacing w:line="360" w:lineRule="auto"/>
              <w:ind w:left="0" w:leftChars="0"/>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6≤超期天数≤10</w:t>
            </w:r>
          </w:p>
        </w:tc>
        <w:tc>
          <w:tcPr>
            <w:tcW w:w="6735" w:type="dxa"/>
            <w:vAlign w:val="center"/>
          </w:tcPr>
          <w:p w14:paraId="20BB9B70">
            <w:pPr>
              <w:keepNext w:val="0"/>
              <w:keepLines w:val="0"/>
              <w:pageBreakBefore w:val="0"/>
              <w:widowControl/>
              <w:kinsoku/>
              <w:wordWrap/>
              <w:overflowPunct/>
              <w:topLinePunct w:val="0"/>
              <w:autoSpaceDE/>
              <w:autoSpaceDN/>
              <w:bidi w:val="0"/>
              <w:adjustRightInd/>
              <w:spacing w:line="360" w:lineRule="auto"/>
              <w:ind w:left="0" w:leftChars="0"/>
              <w:jc w:val="center"/>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所有煤量基准单价 下浮 0.00</w:t>
            </w:r>
            <w:r>
              <w:rPr>
                <w:rFonts w:hint="eastAsia" w:ascii="宋体" w:hAnsi="宋体" w:eastAsia="宋体" w:cs="宋体"/>
                <w:color w:val="auto"/>
                <w:kern w:val="0"/>
                <w:sz w:val="21"/>
                <w:szCs w:val="21"/>
                <w:lang w:val="en-US" w:eastAsia="zh-CN"/>
              </w:rPr>
              <w:t>2</w:t>
            </w:r>
          </w:p>
        </w:tc>
      </w:tr>
      <w:tr w14:paraId="0B713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02" w:type="dxa"/>
            <w:vAlign w:val="center"/>
          </w:tcPr>
          <w:p w14:paraId="7DE0398C">
            <w:pPr>
              <w:keepNext w:val="0"/>
              <w:keepLines w:val="0"/>
              <w:pageBreakBefore w:val="0"/>
              <w:widowControl/>
              <w:kinsoku/>
              <w:wordWrap/>
              <w:overflowPunct/>
              <w:topLinePunct w:val="0"/>
              <w:autoSpaceDE/>
              <w:autoSpaceDN/>
              <w:bidi w:val="0"/>
              <w:adjustRightInd/>
              <w:spacing w:line="360" w:lineRule="auto"/>
              <w:ind w:left="0" w:leftChars="0"/>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11≤超期天数≤15</w:t>
            </w:r>
          </w:p>
        </w:tc>
        <w:tc>
          <w:tcPr>
            <w:tcW w:w="6735" w:type="dxa"/>
            <w:vAlign w:val="center"/>
          </w:tcPr>
          <w:p w14:paraId="41AC882F">
            <w:pPr>
              <w:keepNext w:val="0"/>
              <w:keepLines w:val="0"/>
              <w:pageBreakBefore w:val="0"/>
              <w:widowControl/>
              <w:kinsoku/>
              <w:wordWrap/>
              <w:overflowPunct/>
              <w:topLinePunct w:val="0"/>
              <w:autoSpaceDE/>
              <w:autoSpaceDN/>
              <w:bidi w:val="0"/>
              <w:adjustRightInd/>
              <w:spacing w:line="360" w:lineRule="auto"/>
              <w:ind w:left="0" w:leftChars="0"/>
              <w:jc w:val="center"/>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所有煤量基准单价</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rPr>
              <w:t>下浮 0.00</w:t>
            </w:r>
            <w:r>
              <w:rPr>
                <w:rFonts w:hint="eastAsia" w:ascii="宋体" w:hAnsi="宋体" w:eastAsia="宋体" w:cs="宋体"/>
                <w:color w:val="auto"/>
                <w:kern w:val="0"/>
                <w:sz w:val="21"/>
                <w:szCs w:val="21"/>
                <w:lang w:val="en-US" w:eastAsia="zh-CN"/>
              </w:rPr>
              <w:t>3</w:t>
            </w:r>
          </w:p>
        </w:tc>
      </w:tr>
      <w:tr w14:paraId="79DA7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02" w:type="dxa"/>
            <w:vAlign w:val="center"/>
          </w:tcPr>
          <w:p w14:paraId="7C8250AF">
            <w:pPr>
              <w:keepNext w:val="0"/>
              <w:keepLines w:val="0"/>
              <w:pageBreakBefore w:val="0"/>
              <w:widowControl/>
              <w:kinsoku/>
              <w:wordWrap/>
              <w:overflowPunct/>
              <w:topLinePunct w:val="0"/>
              <w:autoSpaceDE/>
              <w:autoSpaceDN/>
              <w:bidi w:val="0"/>
              <w:adjustRightInd/>
              <w:spacing w:line="360" w:lineRule="auto"/>
              <w:ind w:left="0" w:leftChars="0"/>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16≤超期天数≤20</w:t>
            </w:r>
          </w:p>
        </w:tc>
        <w:tc>
          <w:tcPr>
            <w:tcW w:w="6735" w:type="dxa"/>
            <w:vAlign w:val="center"/>
          </w:tcPr>
          <w:p w14:paraId="0EDBC9EB">
            <w:pPr>
              <w:keepNext w:val="0"/>
              <w:keepLines w:val="0"/>
              <w:pageBreakBefore w:val="0"/>
              <w:widowControl/>
              <w:kinsoku/>
              <w:wordWrap/>
              <w:overflowPunct/>
              <w:topLinePunct w:val="0"/>
              <w:autoSpaceDE/>
              <w:autoSpaceDN/>
              <w:bidi w:val="0"/>
              <w:adjustRightInd/>
              <w:spacing w:line="360" w:lineRule="auto"/>
              <w:ind w:left="0" w:leftChars="0"/>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所有煤量基准单价 下浮0.005</w:t>
            </w:r>
          </w:p>
        </w:tc>
      </w:tr>
      <w:tr w14:paraId="27F5E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02" w:type="dxa"/>
            <w:vAlign w:val="center"/>
          </w:tcPr>
          <w:p w14:paraId="513BFED8">
            <w:pPr>
              <w:keepNext w:val="0"/>
              <w:keepLines w:val="0"/>
              <w:pageBreakBefore w:val="0"/>
              <w:widowControl/>
              <w:kinsoku/>
              <w:wordWrap/>
              <w:overflowPunct/>
              <w:topLinePunct w:val="0"/>
              <w:autoSpaceDE/>
              <w:autoSpaceDN/>
              <w:bidi w:val="0"/>
              <w:adjustRightInd/>
              <w:spacing w:line="360" w:lineRule="auto"/>
              <w:ind w:left="0" w:leftChars="0"/>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21≤超期天数≤25</w:t>
            </w:r>
          </w:p>
        </w:tc>
        <w:tc>
          <w:tcPr>
            <w:tcW w:w="6735" w:type="dxa"/>
            <w:vAlign w:val="center"/>
          </w:tcPr>
          <w:p w14:paraId="404B906A">
            <w:pPr>
              <w:keepNext w:val="0"/>
              <w:keepLines w:val="0"/>
              <w:pageBreakBefore w:val="0"/>
              <w:widowControl/>
              <w:kinsoku/>
              <w:wordWrap/>
              <w:overflowPunct/>
              <w:topLinePunct w:val="0"/>
              <w:autoSpaceDE/>
              <w:autoSpaceDN/>
              <w:bidi w:val="0"/>
              <w:adjustRightInd/>
              <w:spacing w:line="360" w:lineRule="auto"/>
              <w:ind w:left="0" w:leftChars="0"/>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所有煤量基准单价</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rPr>
              <w:t>下浮 0.006</w:t>
            </w:r>
          </w:p>
        </w:tc>
      </w:tr>
      <w:tr w14:paraId="7CE5D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702" w:type="dxa"/>
            <w:vAlign w:val="center"/>
          </w:tcPr>
          <w:p w14:paraId="5E4573CB">
            <w:pPr>
              <w:keepNext w:val="0"/>
              <w:keepLines w:val="0"/>
              <w:pageBreakBefore w:val="0"/>
              <w:widowControl/>
              <w:kinsoku/>
              <w:wordWrap/>
              <w:overflowPunct/>
              <w:topLinePunct w:val="0"/>
              <w:autoSpaceDE/>
              <w:autoSpaceDN/>
              <w:bidi w:val="0"/>
              <w:adjustRightInd/>
              <w:spacing w:line="360" w:lineRule="auto"/>
              <w:ind w:left="0" w:leftChars="0"/>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26≤超期天数≤30</w:t>
            </w:r>
          </w:p>
        </w:tc>
        <w:tc>
          <w:tcPr>
            <w:tcW w:w="6735" w:type="dxa"/>
            <w:vAlign w:val="center"/>
          </w:tcPr>
          <w:p w14:paraId="63E8FA10">
            <w:pPr>
              <w:keepNext w:val="0"/>
              <w:keepLines w:val="0"/>
              <w:pageBreakBefore w:val="0"/>
              <w:widowControl/>
              <w:kinsoku/>
              <w:wordWrap/>
              <w:overflowPunct/>
              <w:topLinePunct w:val="0"/>
              <w:autoSpaceDE/>
              <w:autoSpaceDN/>
              <w:bidi w:val="0"/>
              <w:adjustRightInd/>
              <w:spacing w:line="360" w:lineRule="auto"/>
              <w:ind w:left="0" w:leftChars="0"/>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所有煤量基准单价 下浮 0.007</w:t>
            </w:r>
          </w:p>
        </w:tc>
      </w:tr>
      <w:tr w14:paraId="4C980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02" w:type="dxa"/>
            <w:vAlign w:val="center"/>
          </w:tcPr>
          <w:p w14:paraId="7BE78C99">
            <w:pPr>
              <w:keepNext w:val="0"/>
              <w:keepLines w:val="0"/>
              <w:pageBreakBefore w:val="0"/>
              <w:widowControl/>
              <w:kinsoku/>
              <w:wordWrap/>
              <w:overflowPunct/>
              <w:topLinePunct w:val="0"/>
              <w:autoSpaceDE/>
              <w:autoSpaceDN/>
              <w:bidi w:val="0"/>
              <w:adjustRightInd/>
              <w:spacing w:line="360" w:lineRule="auto"/>
              <w:ind w:left="0" w:leftChars="0"/>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超期30天以上</w:t>
            </w:r>
          </w:p>
        </w:tc>
        <w:tc>
          <w:tcPr>
            <w:tcW w:w="6735" w:type="dxa"/>
            <w:vAlign w:val="center"/>
          </w:tcPr>
          <w:p w14:paraId="0B2BCFF8">
            <w:pPr>
              <w:keepNext w:val="0"/>
              <w:keepLines w:val="0"/>
              <w:pageBreakBefore w:val="0"/>
              <w:widowControl/>
              <w:kinsoku/>
              <w:wordWrap/>
              <w:overflowPunct/>
              <w:topLinePunct w:val="0"/>
              <w:autoSpaceDE/>
              <w:autoSpaceDN/>
              <w:bidi w:val="0"/>
              <w:adjustRightInd/>
              <w:spacing w:line="360" w:lineRule="auto"/>
              <w:ind w:left="0" w:leftChars="0"/>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所有煤量基准单价下浮 0.010（办理结算，终止合同）</w:t>
            </w:r>
          </w:p>
        </w:tc>
      </w:tr>
    </w:tbl>
    <w:p w14:paraId="1B5269A5">
      <w:pPr>
        <w:keepNext w:val="0"/>
        <w:keepLines w:val="0"/>
        <w:pageBreakBefore w:val="0"/>
        <w:widowControl/>
        <w:kinsoku/>
        <w:wordWrap/>
        <w:overflowPunct/>
        <w:topLinePunct w:val="0"/>
        <w:autoSpaceDE/>
        <w:autoSpaceDN/>
        <w:bidi w:val="0"/>
        <w:adjustRightInd/>
        <w:spacing w:line="360" w:lineRule="auto"/>
        <w:ind w:left="0" w:leftChars="0"/>
        <w:jc w:val="left"/>
        <w:textAlignment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注：合同超期后如遇市场煤价下跌或甲方公司燃煤经营情况变化需要，甲方有权随时终止合同并</w:t>
      </w:r>
      <w:r>
        <w:rPr>
          <w:rFonts w:hint="eastAsia" w:ascii="宋体" w:hAnsi="宋体" w:eastAsia="宋体" w:cs="宋体"/>
          <w:color w:val="auto"/>
          <w:kern w:val="0"/>
          <w:sz w:val="21"/>
          <w:szCs w:val="21"/>
          <w:lang w:val="en-US" w:eastAsia="zh-CN"/>
        </w:rPr>
        <w:t>书面</w:t>
      </w:r>
      <w:r>
        <w:rPr>
          <w:rFonts w:hint="eastAsia" w:ascii="宋体" w:hAnsi="宋体" w:eastAsia="宋体" w:cs="宋体"/>
          <w:color w:val="auto"/>
          <w:kern w:val="0"/>
          <w:sz w:val="21"/>
          <w:szCs w:val="21"/>
        </w:rPr>
        <w:t>告知乙方，乙方所供煤量视为完成合同量，煤款按</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超期</w:t>
      </w:r>
      <w:r>
        <w:rPr>
          <w:rFonts w:hint="eastAsia" w:ascii="宋体" w:hAnsi="宋体" w:eastAsia="宋体" w:cs="宋体"/>
          <w:color w:val="auto"/>
          <w:kern w:val="0"/>
          <w:sz w:val="21"/>
          <w:szCs w:val="21"/>
          <w:lang w:val="en-US" w:eastAsia="zh-CN"/>
        </w:rPr>
        <w:t>基准单价下浮表》对应</w:t>
      </w:r>
      <w:r>
        <w:rPr>
          <w:rFonts w:hint="eastAsia" w:ascii="宋体" w:hAnsi="宋体" w:eastAsia="宋体" w:cs="宋体"/>
          <w:color w:val="auto"/>
          <w:kern w:val="0"/>
          <w:sz w:val="21"/>
          <w:szCs w:val="21"/>
        </w:rPr>
        <w:t>条款予以</w:t>
      </w:r>
      <w:r>
        <w:rPr>
          <w:rFonts w:hint="eastAsia" w:ascii="宋体" w:hAnsi="宋体" w:eastAsia="宋体" w:cs="宋体"/>
          <w:color w:val="auto"/>
          <w:kern w:val="0"/>
          <w:sz w:val="21"/>
          <w:szCs w:val="21"/>
          <w:lang w:val="en-US" w:eastAsia="zh-CN"/>
        </w:rPr>
        <w:t>结</w:t>
      </w:r>
      <w:r>
        <w:rPr>
          <w:rFonts w:hint="eastAsia" w:ascii="宋体" w:hAnsi="宋体" w:eastAsia="宋体" w:cs="宋体"/>
          <w:color w:val="auto"/>
          <w:kern w:val="0"/>
          <w:sz w:val="21"/>
          <w:szCs w:val="21"/>
        </w:rPr>
        <w:t>算</w:t>
      </w:r>
      <w:r>
        <w:rPr>
          <w:rFonts w:hint="eastAsia" w:ascii="宋体" w:hAnsi="宋体" w:eastAsia="宋体" w:cs="宋体"/>
          <w:color w:val="auto"/>
          <w:kern w:val="0"/>
          <w:sz w:val="21"/>
          <w:szCs w:val="21"/>
          <w:lang w:eastAsia="zh-CN"/>
        </w:rPr>
        <w:t>。</w:t>
      </w:r>
    </w:p>
    <w:p w14:paraId="0F93DA2B">
      <w:pPr>
        <w:keepNext w:val="0"/>
        <w:keepLines w:val="0"/>
        <w:pageBreakBefore w:val="0"/>
        <w:widowControl/>
        <w:kinsoku/>
        <w:wordWrap/>
        <w:overflowPunct/>
        <w:topLinePunct w:val="0"/>
        <w:autoSpaceDE/>
        <w:autoSpaceDN/>
        <w:bidi w:val="0"/>
        <w:adjustRightInd/>
        <w:spacing w:line="360" w:lineRule="auto"/>
        <w:ind w:left="0" w:leftChars="0"/>
        <w:jc w:val="left"/>
        <w:textAlignment w:val="center"/>
        <w:rPr>
          <w:rFonts w:hint="eastAsia" w:ascii="宋体" w:hAnsi="宋体" w:eastAsia="宋体" w:cs="宋体"/>
          <w:color w:val="auto"/>
          <w:kern w:val="0"/>
          <w:sz w:val="21"/>
          <w:szCs w:val="21"/>
          <w:highlight w:val="yellow"/>
        </w:rPr>
      </w:pP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val="en-US" w:eastAsia="zh-CN"/>
        </w:rPr>
        <w:t>3</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若乙方超期天数超过30天仍未供应完合同约定煤量，甲、乙双方终止合同，</w:t>
      </w:r>
      <w:r>
        <w:rPr>
          <w:rFonts w:hint="eastAsia" w:ascii="宋体" w:hAnsi="宋体" w:eastAsia="宋体" w:cs="宋体"/>
          <w:color w:val="auto"/>
          <w:kern w:val="0"/>
          <w:sz w:val="21"/>
          <w:szCs w:val="21"/>
          <w:lang w:val="en-US" w:eastAsia="zh-CN"/>
        </w:rPr>
        <w:t>甲方</w:t>
      </w:r>
      <w:r>
        <w:rPr>
          <w:rFonts w:hint="eastAsia" w:ascii="宋体" w:hAnsi="宋体" w:eastAsia="宋体" w:cs="宋体"/>
          <w:color w:val="auto"/>
          <w:kern w:val="0"/>
          <w:sz w:val="21"/>
          <w:szCs w:val="21"/>
        </w:rPr>
        <w:t>通知乙方办理结算，同时不予退还合同履约保证金</w:t>
      </w:r>
      <w:r>
        <w:rPr>
          <w:rFonts w:hint="eastAsia" w:ascii="宋体" w:hAnsi="宋体" w:eastAsia="宋体" w:cs="宋体"/>
          <w:color w:val="auto"/>
          <w:kern w:val="0"/>
          <w:sz w:val="21"/>
          <w:szCs w:val="21"/>
          <w:lang w:eastAsia="zh-CN"/>
        </w:rPr>
        <w:t>；</w:t>
      </w:r>
    </w:p>
    <w:p w14:paraId="69DD952B">
      <w:pPr>
        <w:keepNext w:val="0"/>
        <w:keepLines w:val="0"/>
        <w:pageBreakBefore w:val="0"/>
        <w:widowControl/>
        <w:kinsoku/>
        <w:wordWrap/>
        <w:overflowPunct/>
        <w:topLinePunct w:val="0"/>
        <w:autoSpaceDE/>
        <w:autoSpaceDN/>
        <w:bidi w:val="0"/>
        <w:adjustRightInd/>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若因不可抗力（国家规定的任何不能预见、不能克服、不能避免的事件和因素等）及甲方原因导致乙方超期供应的不做相关考核。发生不可抗力致使部分或全部合同不能履约的，应立即通知对方，并在5日内提供相应的证明材料，同时双方协商解决方案，以减轻产生的后果。</w:t>
      </w:r>
    </w:p>
    <w:p w14:paraId="18C996E0">
      <w:pPr>
        <w:keepNext w:val="0"/>
        <w:keepLines w:val="0"/>
        <w:pageBreakBefore w:val="0"/>
        <w:widowControl/>
        <w:kinsoku/>
        <w:wordWrap/>
        <w:overflowPunct/>
        <w:topLinePunct w:val="0"/>
        <w:autoSpaceDE/>
        <w:autoSpaceDN/>
        <w:bidi w:val="0"/>
        <w:adjustRightInd/>
        <w:spacing w:line="360" w:lineRule="auto"/>
        <w:ind w:left="0" w:leftChars="0" w:firstLine="422" w:firstLineChars="200"/>
        <w:jc w:val="left"/>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（4）</w:t>
      </w:r>
      <w:r>
        <w:rPr>
          <w:rFonts w:hint="eastAsia" w:ascii="宋体" w:hAnsi="宋体" w:eastAsia="宋体" w:cs="宋体"/>
          <w:b/>
          <w:bCs/>
          <w:color w:val="auto"/>
          <w:kern w:val="0"/>
          <w:sz w:val="21"/>
          <w:szCs w:val="21"/>
          <w:highlight w:val="none"/>
        </w:rPr>
        <w:t>其他因素调整价</w:t>
      </w:r>
      <w:r>
        <w:rPr>
          <w:rFonts w:hint="eastAsia" w:ascii="宋体" w:hAnsi="宋体" w:eastAsia="宋体" w:cs="宋体"/>
          <w:b/>
          <w:bCs/>
          <w:color w:val="auto"/>
          <w:kern w:val="0"/>
          <w:sz w:val="21"/>
          <w:szCs w:val="21"/>
          <w:highlight w:val="none"/>
          <w:lang w:eastAsia="zh-CN"/>
        </w:rPr>
        <w:t>：</w:t>
      </w:r>
      <w:r>
        <w:rPr>
          <w:rFonts w:hint="eastAsia" w:ascii="宋体" w:hAnsi="宋体" w:eastAsia="宋体" w:cs="宋体"/>
          <w:b/>
          <w:bCs/>
          <w:color w:val="auto"/>
          <w:kern w:val="0"/>
          <w:sz w:val="21"/>
          <w:szCs w:val="21"/>
          <w:highlight w:val="none"/>
          <w:lang w:val="en-US" w:eastAsia="zh-CN"/>
        </w:rPr>
        <w:t>无。</w:t>
      </w:r>
    </w:p>
    <w:p w14:paraId="63250670">
      <w:pPr>
        <w:keepNext w:val="0"/>
        <w:keepLines w:val="0"/>
        <w:pageBreakBefore w:val="0"/>
        <w:widowControl/>
        <w:kinsoku/>
        <w:wordWrap/>
        <w:overflowPunct/>
        <w:topLinePunct w:val="0"/>
        <w:autoSpaceDE/>
        <w:autoSpaceDN/>
        <w:bidi w:val="0"/>
        <w:adjustRightInd/>
        <w:spacing w:line="360" w:lineRule="auto"/>
        <w:ind w:left="0" w:leftChars="0" w:firstLine="422" w:firstLineChars="200"/>
        <w:jc w:val="left"/>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2.燃煤结算价</w:t>
      </w:r>
    </w:p>
    <w:p w14:paraId="3B531C90">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b w:val="0"/>
          <w:bCs w:val="0"/>
          <w:color w:val="auto"/>
          <w:kern w:val="0"/>
          <w:sz w:val="21"/>
          <w:szCs w:val="21"/>
          <w:highlight w:val="none"/>
          <w:lang w:eastAsia="zh-CN"/>
        </w:rPr>
      </w:pPr>
      <w:r>
        <w:rPr>
          <w:rFonts w:hint="eastAsia" w:ascii="宋体" w:hAnsi="宋体" w:eastAsia="宋体" w:cs="宋体"/>
          <w:b w:val="0"/>
          <w:bCs w:val="0"/>
          <w:color w:val="auto"/>
          <w:kern w:val="0"/>
          <w:sz w:val="21"/>
          <w:szCs w:val="21"/>
          <w:highlight w:val="none"/>
        </w:rPr>
        <w:t>燃煤结算价=燃煤结算单价×合格数量+单批次结算单价×单批次数量-乙方违反甲方公司相关管理制度考核。</w:t>
      </w:r>
    </w:p>
    <w:p w14:paraId="7B6D14FB">
      <w:pPr>
        <w:keepNext w:val="0"/>
        <w:keepLines w:val="0"/>
        <w:pageBreakBefore w:val="0"/>
        <w:widowControl/>
        <w:kinsoku/>
        <w:wordWrap/>
        <w:overflowPunct/>
        <w:topLinePunct w:val="0"/>
        <w:autoSpaceDE/>
        <w:autoSpaceDN/>
        <w:bidi w:val="0"/>
        <w:adjustRightInd/>
        <w:spacing w:line="360" w:lineRule="auto"/>
        <w:ind w:left="0" w:leftChars="0" w:firstLine="422" w:firstLineChars="200"/>
        <w:jc w:val="left"/>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 xml:space="preserve">四、数量及质量验收 </w:t>
      </w:r>
    </w:p>
    <w:p w14:paraId="15CA5FFE">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auto"/>
          <w:kern w:val="0"/>
          <w:sz w:val="21"/>
          <w:szCs w:val="21"/>
        </w:rPr>
      </w:pPr>
      <w:r>
        <w:rPr>
          <w:rFonts w:hint="eastAsia" w:ascii="宋体" w:hAnsi="宋体" w:cs="宋体"/>
          <w:color w:val="auto"/>
          <w:kern w:val="0"/>
          <w:sz w:val="21"/>
          <w:szCs w:val="21"/>
          <w:lang w:val="en-US" w:eastAsia="zh-CN"/>
        </w:rPr>
        <w:t>（一）</w:t>
      </w:r>
      <w:r>
        <w:rPr>
          <w:rFonts w:hint="eastAsia" w:ascii="宋体" w:hAnsi="宋体" w:eastAsia="宋体" w:cs="宋体"/>
          <w:color w:val="auto"/>
          <w:kern w:val="0"/>
          <w:sz w:val="21"/>
          <w:szCs w:val="21"/>
        </w:rPr>
        <w:t xml:space="preserve">数量以吨为计量单位（四舍五入保留两位小数），以甲方汽车衡计量结果为验收依据；质量以甲方化验结果为验收依据（按照国家标准采样、制样、化验）。乙方有权对数量及质量验收过程进行监督（仅限1人监督，监督人员安全自行负责，与甲方无关），但不得影响和干预甲方验收工作。 </w:t>
      </w:r>
    </w:p>
    <w:p w14:paraId="2DD6F7DF">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auto"/>
          <w:kern w:val="0"/>
          <w:sz w:val="21"/>
          <w:szCs w:val="21"/>
        </w:rPr>
      </w:pP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二</w:t>
      </w:r>
      <w:r>
        <w:rPr>
          <w:rFonts w:hint="eastAsia" w:ascii="宋体" w:hAnsi="宋体" w:cs="宋体"/>
          <w:color w:val="auto"/>
          <w:kern w:val="0"/>
          <w:sz w:val="21"/>
          <w:szCs w:val="21"/>
          <w:lang w:eastAsia="zh-CN"/>
        </w:rPr>
        <w:t>）</w:t>
      </w:r>
      <w:r>
        <w:rPr>
          <w:rFonts w:hint="eastAsia" w:ascii="宋体" w:hAnsi="宋体" w:eastAsia="宋体" w:cs="宋体"/>
          <w:color w:val="auto"/>
          <w:kern w:val="0"/>
          <w:sz w:val="21"/>
          <w:szCs w:val="21"/>
        </w:rPr>
        <w:t>乙方应在交货后5个工作日内到甲方索取化验结果，若</w:t>
      </w:r>
      <w:r>
        <w:rPr>
          <w:rFonts w:hint="eastAsia" w:ascii="宋体" w:hAnsi="宋体" w:eastAsia="宋体" w:cs="宋体"/>
          <w:color w:val="auto"/>
          <w:kern w:val="0"/>
          <w:sz w:val="21"/>
          <w:szCs w:val="21"/>
          <w:lang w:val="en-US" w:eastAsia="zh-CN"/>
        </w:rPr>
        <w:t>5</w:t>
      </w:r>
      <w:r>
        <w:rPr>
          <w:rFonts w:hint="eastAsia" w:ascii="宋体" w:hAnsi="宋体" w:eastAsia="宋体" w:cs="宋体"/>
          <w:color w:val="auto"/>
          <w:kern w:val="0"/>
          <w:sz w:val="21"/>
          <w:szCs w:val="21"/>
        </w:rPr>
        <w:t xml:space="preserve">个工作日内未取，甲方视为乙方对化验结果知晓。 </w:t>
      </w:r>
    </w:p>
    <w:p w14:paraId="3E58E9D3">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auto"/>
          <w:kern w:val="0"/>
          <w:sz w:val="21"/>
          <w:szCs w:val="21"/>
        </w:rPr>
      </w:pP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三</w:t>
      </w:r>
      <w:r>
        <w:rPr>
          <w:rFonts w:hint="eastAsia" w:ascii="宋体" w:hAnsi="宋体" w:cs="宋体"/>
          <w:color w:val="auto"/>
          <w:kern w:val="0"/>
          <w:sz w:val="21"/>
          <w:szCs w:val="21"/>
          <w:lang w:eastAsia="zh-CN"/>
        </w:rPr>
        <w:t>）</w:t>
      </w:r>
      <w:r>
        <w:rPr>
          <w:rFonts w:hint="eastAsia" w:ascii="宋体" w:hAnsi="宋体" w:eastAsia="宋体" w:cs="宋体"/>
          <w:color w:val="auto"/>
          <w:kern w:val="0"/>
          <w:sz w:val="21"/>
          <w:szCs w:val="21"/>
        </w:rPr>
        <w:t>甲方应保存备查煤样两个月（从制样开始计时），如乙方对化验结果有异议，可按本合同争议解决条款处理。</w:t>
      </w:r>
    </w:p>
    <w:p w14:paraId="7F829261">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auto"/>
          <w:kern w:val="0"/>
          <w:sz w:val="21"/>
          <w:szCs w:val="21"/>
        </w:rPr>
      </w:pP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四</w:t>
      </w:r>
      <w:r>
        <w:rPr>
          <w:rFonts w:hint="eastAsia" w:ascii="宋体" w:hAnsi="宋体" w:cs="宋体"/>
          <w:color w:val="auto"/>
          <w:kern w:val="0"/>
          <w:sz w:val="21"/>
          <w:szCs w:val="21"/>
          <w:lang w:eastAsia="zh-CN"/>
        </w:rPr>
        <w:t>）</w:t>
      </w:r>
      <w:r>
        <w:rPr>
          <w:rFonts w:hint="eastAsia" w:ascii="宋体" w:hAnsi="宋体" w:eastAsia="宋体" w:cs="宋体"/>
          <w:color w:val="auto"/>
          <w:kern w:val="0"/>
          <w:sz w:val="21"/>
          <w:szCs w:val="21"/>
        </w:rPr>
        <w:t xml:space="preserve">如乙方入厂煤属下列情形之一按以下原则处理： </w:t>
      </w:r>
    </w:p>
    <w:p w14:paraId="312C6534">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1.</w:t>
      </w:r>
      <w:r>
        <w:rPr>
          <w:rFonts w:hint="eastAsia" w:ascii="宋体" w:hAnsi="宋体" w:eastAsia="宋体" w:cs="宋体"/>
          <w:color w:val="auto"/>
          <w:kern w:val="0"/>
          <w:sz w:val="21"/>
          <w:szCs w:val="21"/>
          <w:lang w:val="en-US" w:eastAsia="zh-CN"/>
        </w:rPr>
        <w:t xml:space="preserve">上下分层装车、包芯，甲方有权拒付或按甲方相关制度规定执行。 </w:t>
      </w:r>
    </w:p>
    <w:p w14:paraId="0291E969">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2.</w:t>
      </w:r>
      <w:r>
        <w:rPr>
          <w:rFonts w:hint="eastAsia" w:ascii="宋体" w:hAnsi="宋体" w:eastAsia="宋体" w:cs="宋体"/>
          <w:color w:val="auto"/>
          <w:kern w:val="0"/>
          <w:sz w:val="21"/>
          <w:szCs w:val="21"/>
          <w:lang w:val="en-US" w:eastAsia="zh-CN"/>
        </w:rPr>
        <w:t>来煤有矸石、石头及其他杂物时按相应重量扣除吨位；情节严重的，拒绝入厂、卸车，对已卸煤场的，按甲方相关制度规定进行扣吨处理。</w:t>
      </w:r>
    </w:p>
    <w:p w14:paraId="1159F41F">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auto"/>
          <w:kern w:val="0"/>
          <w:sz w:val="21"/>
          <w:szCs w:val="21"/>
        </w:rPr>
      </w:pP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五</w:t>
      </w:r>
      <w:r>
        <w:rPr>
          <w:rFonts w:hint="eastAsia" w:ascii="宋体" w:hAnsi="宋体" w:cs="宋体"/>
          <w:color w:val="auto"/>
          <w:kern w:val="0"/>
          <w:sz w:val="21"/>
          <w:szCs w:val="21"/>
          <w:lang w:eastAsia="zh-CN"/>
        </w:rPr>
        <w:t>）</w:t>
      </w:r>
      <w:r>
        <w:rPr>
          <w:rFonts w:hint="eastAsia" w:ascii="宋体" w:hAnsi="宋体" w:eastAsia="宋体" w:cs="宋体"/>
          <w:color w:val="auto"/>
          <w:kern w:val="0"/>
          <w:sz w:val="21"/>
          <w:szCs w:val="21"/>
        </w:rPr>
        <w:t>复检机构为贵州省煤</w:t>
      </w:r>
      <w:r>
        <w:rPr>
          <w:rFonts w:hint="eastAsia" w:ascii="宋体" w:hAnsi="宋体" w:cs="宋体"/>
          <w:color w:val="auto"/>
          <w:kern w:val="0"/>
          <w:sz w:val="21"/>
          <w:szCs w:val="21"/>
          <w:lang w:val="en-US" w:eastAsia="zh-CN"/>
        </w:rPr>
        <w:t>炭</w:t>
      </w:r>
      <w:r>
        <w:rPr>
          <w:rFonts w:hint="eastAsia" w:ascii="宋体" w:hAnsi="宋体" w:eastAsia="宋体" w:cs="宋体"/>
          <w:color w:val="auto"/>
          <w:kern w:val="0"/>
          <w:sz w:val="21"/>
          <w:szCs w:val="21"/>
        </w:rPr>
        <w:t>产品质量监督检验院。</w:t>
      </w:r>
    </w:p>
    <w:p w14:paraId="6D0FCA3C">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auto"/>
          <w:kern w:val="0"/>
          <w:sz w:val="21"/>
          <w:szCs w:val="21"/>
        </w:rPr>
      </w:pP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六</w:t>
      </w:r>
      <w:r>
        <w:rPr>
          <w:rFonts w:hint="eastAsia" w:ascii="宋体" w:hAnsi="宋体" w:cs="宋体"/>
          <w:color w:val="auto"/>
          <w:kern w:val="0"/>
          <w:sz w:val="21"/>
          <w:szCs w:val="21"/>
          <w:lang w:eastAsia="zh-CN"/>
        </w:rPr>
        <w:t>）</w:t>
      </w:r>
      <w:r>
        <w:rPr>
          <w:rFonts w:hint="eastAsia" w:ascii="宋体" w:hAnsi="宋体" w:eastAsia="宋体" w:cs="宋体"/>
          <w:color w:val="auto"/>
          <w:kern w:val="0"/>
          <w:sz w:val="21"/>
          <w:szCs w:val="21"/>
        </w:rPr>
        <w:t xml:space="preserve">检验费用：数量检测费用由甲方承担，质量检测费用由甲方承担。发生复检时，复检费用由甲、乙双方主张的检验结果与最终复检结果偏差较大的一方承担，若偏差相同，则复检费用由提出异议方承担。 </w:t>
      </w:r>
    </w:p>
    <w:p w14:paraId="2480E633">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b/>
          <w:bCs/>
          <w:color w:val="auto"/>
          <w:kern w:val="0"/>
          <w:sz w:val="21"/>
          <w:szCs w:val="21"/>
        </w:rPr>
      </w:pP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七</w:t>
      </w:r>
      <w:r>
        <w:rPr>
          <w:rFonts w:hint="eastAsia" w:ascii="宋体" w:hAnsi="宋体" w:cs="宋体"/>
          <w:color w:val="auto"/>
          <w:kern w:val="0"/>
          <w:sz w:val="21"/>
          <w:szCs w:val="21"/>
          <w:lang w:eastAsia="zh-CN"/>
        </w:rPr>
        <w:t>）</w:t>
      </w:r>
      <w:r>
        <w:rPr>
          <w:rFonts w:hint="eastAsia" w:ascii="宋体" w:hAnsi="宋体" w:eastAsia="宋体" w:cs="宋体"/>
          <w:color w:val="auto"/>
          <w:kern w:val="0"/>
          <w:sz w:val="21"/>
          <w:szCs w:val="21"/>
        </w:rPr>
        <w:t>双方约定的其他条款：乙方应熟知和遵守甲方验收相关制度或标准，</w:t>
      </w:r>
      <w:r>
        <w:rPr>
          <w:rFonts w:hint="eastAsia" w:ascii="宋体" w:hAnsi="宋体" w:eastAsia="宋体" w:cs="宋体"/>
          <w:color w:val="auto"/>
          <w:kern w:val="0"/>
          <w:sz w:val="21"/>
          <w:szCs w:val="21"/>
          <w:lang w:val="en-US" w:eastAsia="zh-CN"/>
        </w:rPr>
        <w:t>若乙方</w:t>
      </w:r>
      <w:r>
        <w:rPr>
          <w:rFonts w:hint="eastAsia" w:ascii="宋体" w:hAnsi="宋体" w:eastAsia="宋体" w:cs="宋体"/>
          <w:color w:val="auto"/>
          <w:kern w:val="0"/>
          <w:sz w:val="21"/>
          <w:szCs w:val="21"/>
        </w:rPr>
        <w:t xml:space="preserve">违反附件所列制度或标准的责任由乙方承担。 </w:t>
      </w:r>
    </w:p>
    <w:p w14:paraId="247449D1">
      <w:pPr>
        <w:keepNext w:val="0"/>
        <w:keepLines w:val="0"/>
        <w:pageBreakBefore w:val="0"/>
        <w:widowControl/>
        <w:kinsoku/>
        <w:wordWrap/>
        <w:overflowPunct/>
        <w:topLinePunct w:val="0"/>
        <w:autoSpaceDE/>
        <w:autoSpaceDN/>
        <w:bidi w:val="0"/>
        <w:adjustRightInd/>
        <w:spacing w:line="360" w:lineRule="auto"/>
        <w:ind w:left="0" w:leftChars="0" w:firstLine="422" w:firstLineChars="200"/>
        <w:jc w:val="left"/>
        <w:rPr>
          <w:rFonts w:hint="eastAsia" w:ascii="宋体" w:hAnsi="宋体" w:eastAsia="宋体" w:cs="宋体"/>
          <w:color w:val="auto"/>
          <w:kern w:val="0"/>
          <w:sz w:val="21"/>
          <w:szCs w:val="21"/>
        </w:rPr>
      </w:pPr>
      <w:r>
        <w:rPr>
          <w:rFonts w:hint="eastAsia" w:ascii="宋体" w:hAnsi="宋体" w:eastAsia="宋体" w:cs="宋体"/>
          <w:b/>
          <w:bCs/>
          <w:color w:val="auto"/>
          <w:kern w:val="0"/>
          <w:sz w:val="21"/>
          <w:szCs w:val="21"/>
        </w:rPr>
        <w:t xml:space="preserve">五、结算及付款方式 </w:t>
      </w:r>
      <w:r>
        <w:rPr>
          <w:rFonts w:hint="eastAsia" w:ascii="宋体" w:hAnsi="宋体" w:eastAsia="宋体" w:cs="宋体"/>
          <w:color w:val="auto"/>
          <w:kern w:val="0"/>
          <w:sz w:val="21"/>
          <w:szCs w:val="21"/>
        </w:rPr>
        <w:t xml:space="preserve"> </w:t>
      </w:r>
    </w:p>
    <w:p w14:paraId="13543AB0">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auto"/>
          <w:kern w:val="0"/>
          <w:sz w:val="21"/>
          <w:szCs w:val="21"/>
        </w:rPr>
      </w:pP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一</w:t>
      </w:r>
      <w:r>
        <w:rPr>
          <w:rFonts w:hint="eastAsia" w:ascii="宋体" w:hAnsi="宋体" w:cs="宋体"/>
          <w:color w:val="auto"/>
          <w:kern w:val="0"/>
          <w:sz w:val="21"/>
          <w:szCs w:val="21"/>
          <w:lang w:eastAsia="zh-CN"/>
        </w:rPr>
        <w:t>）</w:t>
      </w:r>
      <w:r>
        <w:rPr>
          <w:rFonts w:hint="eastAsia" w:ascii="宋体" w:hAnsi="宋体" w:eastAsia="宋体" w:cs="宋体"/>
          <w:color w:val="auto"/>
          <w:kern w:val="0"/>
          <w:sz w:val="21"/>
          <w:szCs w:val="21"/>
        </w:rPr>
        <w:t>结算方式</w:t>
      </w:r>
    </w:p>
    <w:p w14:paraId="27F2EF3B">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lang w:val="en-US" w:eastAsia="zh-CN"/>
        </w:rPr>
        <w:t>1.</w:t>
      </w:r>
      <w:r>
        <w:rPr>
          <w:rFonts w:hint="eastAsia" w:ascii="宋体" w:hAnsi="宋体" w:eastAsia="宋体" w:cs="宋体"/>
          <w:b w:val="0"/>
          <w:bCs w:val="0"/>
          <w:color w:val="000000"/>
          <w:kern w:val="0"/>
          <w:sz w:val="21"/>
          <w:szCs w:val="21"/>
        </w:rPr>
        <w:t>合同期内以甲方</w:t>
      </w:r>
      <w:r>
        <w:rPr>
          <w:rFonts w:hint="eastAsia" w:ascii="宋体" w:hAnsi="宋体" w:eastAsia="宋体" w:cs="宋体"/>
          <w:b w:val="0"/>
          <w:bCs w:val="0"/>
          <w:color w:val="000000"/>
          <w:kern w:val="0"/>
          <w:sz w:val="21"/>
          <w:szCs w:val="21"/>
          <w:lang w:val="en-US" w:eastAsia="zh-CN"/>
        </w:rPr>
        <w:t>实际</w:t>
      </w:r>
      <w:r>
        <w:rPr>
          <w:rFonts w:hint="eastAsia" w:ascii="宋体" w:hAnsi="宋体" w:eastAsia="宋体" w:cs="宋体"/>
          <w:b w:val="0"/>
          <w:bCs w:val="0"/>
          <w:color w:val="000000"/>
          <w:kern w:val="0"/>
          <w:sz w:val="21"/>
          <w:szCs w:val="21"/>
        </w:rPr>
        <w:t>到厂计量数量、化验结果为结算依据，合同期内所供燃煤按</w:t>
      </w:r>
      <w:r>
        <w:rPr>
          <w:rFonts w:hint="eastAsia" w:ascii="宋体" w:hAnsi="宋体" w:cs="宋体"/>
          <w:b w:val="0"/>
          <w:bCs w:val="0"/>
          <w:color w:val="000000"/>
          <w:kern w:val="0"/>
          <w:sz w:val="21"/>
          <w:szCs w:val="21"/>
          <w:lang w:val="en-US" w:eastAsia="zh-CN"/>
        </w:rPr>
        <w:t>2500</w:t>
      </w:r>
      <w:r>
        <w:rPr>
          <w:rFonts w:hint="eastAsia" w:ascii="宋体" w:hAnsi="宋体" w:eastAsia="宋体" w:cs="宋体"/>
          <w:b w:val="0"/>
          <w:bCs w:val="0"/>
          <w:color w:val="000000"/>
          <w:kern w:val="0"/>
          <w:sz w:val="21"/>
          <w:szCs w:val="21"/>
        </w:rPr>
        <w:t>大卡以上热值加权（或单批次）方式计算后合计一票到厂结算</w:t>
      </w:r>
      <w:r>
        <w:rPr>
          <w:rFonts w:hint="eastAsia" w:ascii="宋体" w:hAnsi="宋体" w:eastAsia="宋体" w:cs="宋体"/>
          <w:b w:val="0"/>
          <w:bCs w:val="0"/>
          <w:color w:val="000000"/>
          <w:kern w:val="0"/>
          <w:sz w:val="21"/>
          <w:szCs w:val="21"/>
          <w:lang w:eastAsia="zh-CN"/>
        </w:rPr>
        <w:t>（</w:t>
      </w:r>
      <w:r>
        <w:rPr>
          <w:rFonts w:hint="eastAsia" w:ascii="宋体" w:hAnsi="宋体" w:eastAsia="宋体" w:cs="宋体"/>
          <w:b w:val="0"/>
          <w:bCs w:val="0"/>
          <w:color w:val="000000"/>
          <w:kern w:val="0"/>
          <w:sz w:val="21"/>
          <w:szCs w:val="21"/>
          <w:lang w:val="en-US" w:eastAsia="zh-CN"/>
        </w:rPr>
        <w:t>若乙方选择供应同等价值及以上燃煤作为合同履约保证金，则自《中标通知书》发出之日起至合同签订之日前，所供应同等价值及以上燃煤煤量纳入全合同量一并结算</w:t>
      </w:r>
      <w:r>
        <w:rPr>
          <w:rFonts w:hint="eastAsia" w:ascii="宋体" w:hAnsi="宋体" w:eastAsia="宋体" w:cs="宋体"/>
          <w:b w:val="0"/>
          <w:bCs w:val="0"/>
          <w:color w:val="000000"/>
          <w:kern w:val="0"/>
          <w:sz w:val="21"/>
          <w:szCs w:val="21"/>
          <w:lang w:eastAsia="zh-CN"/>
        </w:rPr>
        <w:t>）</w:t>
      </w:r>
      <w:r>
        <w:rPr>
          <w:rFonts w:hint="eastAsia" w:ascii="宋体" w:hAnsi="宋体" w:eastAsia="宋体" w:cs="宋体"/>
          <w:b w:val="0"/>
          <w:bCs w:val="0"/>
          <w:color w:val="000000"/>
          <w:kern w:val="0"/>
          <w:sz w:val="21"/>
          <w:szCs w:val="21"/>
        </w:rPr>
        <w:t>；</w:t>
      </w:r>
    </w:p>
    <w:p w14:paraId="63CE8D85">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b w:val="0"/>
          <w:bCs w:val="0"/>
          <w:color w:val="000000"/>
          <w:kern w:val="0"/>
          <w:sz w:val="21"/>
          <w:szCs w:val="21"/>
          <w:lang w:eastAsia="zh-CN"/>
        </w:rPr>
      </w:pPr>
      <w:r>
        <w:rPr>
          <w:rFonts w:hint="eastAsia" w:ascii="宋体" w:hAnsi="宋体" w:eastAsia="宋体" w:cs="宋体"/>
          <w:b w:val="0"/>
          <w:bCs w:val="0"/>
          <w:color w:val="000000"/>
          <w:kern w:val="0"/>
          <w:sz w:val="21"/>
          <w:szCs w:val="21"/>
          <w:lang w:val="en-US" w:eastAsia="zh-CN"/>
        </w:rPr>
        <w:t>2.</w:t>
      </w:r>
      <w:r>
        <w:rPr>
          <w:rFonts w:hint="eastAsia" w:ascii="宋体" w:hAnsi="宋体" w:eastAsia="宋体" w:cs="宋体"/>
          <w:b w:val="0"/>
          <w:bCs w:val="0"/>
          <w:color w:val="000000"/>
          <w:kern w:val="0"/>
          <w:sz w:val="21"/>
          <w:szCs w:val="21"/>
        </w:rPr>
        <w:t>所有指标用扣吨后的煤量进行加权计算单价，并用扣吨后的</w:t>
      </w:r>
      <w:r>
        <w:rPr>
          <w:rFonts w:hint="eastAsia" w:ascii="宋体" w:hAnsi="宋体" w:eastAsia="宋体" w:cs="宋体"/>
          <w:b w:val="0"/>
          <w:bCs w:val="0"/>
          <w:color w:val="000000"/>
          <w:kern w:val="0"/>
          <w:sz w:val="21"/>
          <w:szCs w:val="21"/>
          <w:lang w:val="en-US" w:eastAsia="zh-CN"/>
        </w:rPr>
        <w:t>煤量</w:t>
      </w:r>
      <w:r>
        <w:rPr>
          <w:rFonts w:hint="eastAsia" w:ascii="宋体" w:hAnsi="宋体" w:eastAsia="宋体" w:cs="宋体"/>
          <w:b w:val="0"/>
          <w:bCs w:val="0"/>
          <w:color w:val="000000"/>
          <w:kern w:val="0"/>
          <w:sz w:val="21"/>
          <w:szCs w:val="21"/>
        </w:rPr>
        <w:t>计算应结算煤款</w:t>
      </w:r>
      <w:r>
        <w:rPr>
          <w:rFonts w:hint="eastAsia" w:ascii="宋体" w:hAnsi="宋体" w:eastAsia="宋体" w:cs="宋体"/>
          <w:b w:val="0"/>
          <w:bCs w:val="0"/>
          <w:color w:val="000000"/>
          <w:kern w:val="0"/>
          <w:sz w:val="21"/>
          <w:szCs w:val="21"/>
          <w:lang w:eastAsia="zh-CN"/>
        </w:rPr>
        <w:t>；</w:t>
      </w:r>
    </w:p>
    <w:p w14:paraId="458321F4">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b w:val="0"/>
          <w:bCs w:val="0"/>
          <w:color w:val="000000"/>
          <w:kern w:val="0"/>
          <w:sz w:val="21"/>
          <w:szCs w:val="21"/>
          <w:lang w:eastAsia="zh-CN"/>
        </w:rPr>
      </w:pPr>
      <w:r>
        <w:rPr>
          <w:rFonts w:hint="eastAsia" w:ascii="宋体" w:hAnsi="宋体" w:eastAsia="宋体" w:cs="宋体"/>
          <w:b w:val="0"/>
          <w:bCs w:val="0"/>
          <w:color w:val="000000"/>
          <w:kern w:val="0"/>
          <w:sz w:val="21"/>
          <w:szCs w:val="21"/>
          <w:lang w:val="en-US" w:eastAsia="zh-CN"/>
        </w:rPr>
        <w:t>3.</w:t>
      </w:r>
      <w:r>
        <w:rPr>
          <w:rFonts w:hint="eastAsia" w:ascii="宋体" w:hAnsi="宋体" w:eastAsia="宋体" w:cs="宋体"/>
          <w:b w:val="0"/>
          <w:bCs w:val="0"/>
          <w:color w:val="000000"/>
          <w:kern w:val="0"/>
          <w:sz w:val="21"/>
          <w:szCs w:val="21"/>
        </w:rPr>
        <w:t>合同约定的供煤量完成后双方办理结算（若乙方超</w:t>
      </w:r>
      <w:r>
        <w:rPr>
          <w:rFonts w:hint="eastAsia" w:ascii="宋体" w:hAnsi="宋体" w:eastAsia="宋体" w:cs="宋体"/>
          <w:b w:val="0"/>
          <w:bCs w:val="0"/>
          <w:color w:val="000000"/>
          <w:kern w:val="0"/>
          <w:sz w:val="21"/>
          <w:szCs w:val="21"/>
          <w:lang w:val="en-US" w:eastAsia="zh-CN"/>
        </w:rPr>
        <w:t>期天数超过30</w:t>
      </w:r>
      <w:r>
        <w:rPr>
          <w:rFonts w:hint="eastAsia" w:ascii="宋体" w:hAnsi="宋体" w:eastAsia="宋体" w:cs="宋体"/>
          <w:b w:val="0"/>
          <w:bCs w:val="0"/>
          <w:color w:val="000000"/>
          <w:kern w:val="0"/>
          <w:sz w:val="21"/>
          <w:szCs w:val="21"/>
        </w:rPr>
        <w:t>天仍未供应完合同约定煤量</w:t>
      </w:r>
      <w:r>
        <w:rPr>
          <w:rFonts w:hint="eastAsia" w:ascii="宋体" w:hAnsi="宋体" w:eastAsia="宋体" w:cs="宋体"/>
          <w:b w:val="0"/>
          <w:bCs w:val="0"/>
          <w:color w:val="000000"/>
          <w:kern w:val="0"/>
          <w:sz w:val="21"/>
          <w:szCs w:val="21"/>
          <w:lang w:val="en-US" w:eastAsia="zh-CN"/>
        </w:rPr>
        <w:t>，则甲方通知乙方办理结算</w:t>
      </w:r>
      <w:r>
        <w:rPr>
          <w:rFonts w:hint="eastAsia" w:ascii="宋体" w:hAnsi="宋体" w:eastAsia="宋体" w:cs="宋体"/>
          <w:b w:val="0"/>
          <w:bCs w:val="0"/>
          <w:color w:val="000000"/>
          <w:kern w:val="0"/>
          <w:sz w:val="21"/>
          <w:szCs w:val="21"/>
        </w:rPr>
        <w:t>）；乙方根据双方共同签字确认的结算单，开具相应增值税专用发票（税率13%）交到甲方</w:t>
      </w:r>
      <w:r>
        <w:rPr>
          <w:rFonts w:hint="eastAsia" w:ascii="宋体" w:hAnsi="宋体" w:eastAsia="宋体" w:cs="宋体"/>
          <w:b w:val="0"/>
          <w:bCs w:val="0"/>
          <w:color w:val="000000"/>
          <w:kern w:val="0"/>
          <w:sz w:val="21"/>
          <w:szCs w:val="21"/>
          <w:lang w:eastAsia="zh-CN"/>
        </w:rPr>
        <w:t>；</w:t>
      </w:r>
    </w:p>
    <w:p w14:paraId="4507B933">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4.乙方完成合同约定供煤量，甲方于次月底前向乙方支付50%煤款，第三月月底前向乙方付清剩余煤款。乙方未提供发票的，甲方有权延期付款。</w:t>
      </w:r>
    </w:p>
    <w:p w14:paraId="107F4870">
      <w:pPr>
        <w:keepNext w:val="0"/>
        <w:keepLines w:val="0"/>
        <w:pageBreakBefore w:val="0"/>
        <w:widowControl/>
        <w:kinsoku/>
        <w:wordWrap/>
        <w:overflowPunct/>
        <w:topLinePunct w:val="0"/>
        <w:autoSpaceDE/>
        <w:autoSpaceDN/>
        <w:bidi w:val="0"/>
        <w:adjustRightInd/>
        <w:spacing w:line="360" w:lineRule="auto"/>
        <w:ind w:left="0" w:leftChars="0" w:firstLine="422" w:firstLineChars="200"/>
        <w:jc w:val="left"/>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lang w:eastAsia="zh-CN"/>
        </w:rPr>
        <w:t>（</w:t>
      </w:r>
      <w:r>
        <w:rPr>
          <w:rFonts w:hint="eastAsia" w:ascii="宋体" w:hAnsi="宋体" w:eastAsia="宋体" w:cs="宋体"/>
          <w:b/>
          <w:bCs/>
          <w:color w:val="000000"/>
          <w:kern w:val="0"/>
          <w:sz w:val="21"/>
          <w:szCs w:val="21"/>
          <w:lang w:val="en-US" w:eastAsia="zh-CN"/>
        </w:rPr>
        <w:t>二</w:t>
      </w:r>
      <w:r>
        <w:rPr>
          <w:rFonts w:hint="eastAsia" w:ascii="宋体" w:hAnsi="宋体" w:eastAsia="宋体" w:cs="宋体"/>
          <w:b/>
          <w:bCs/>
          <w:color w:val="000000"/>
          <w:kern w:val="0"/>
          <w:sz w:val="21"/>
          <w:szCs w:val="21"/>
          <w:lang w:eastAsia="zh-CN"/>
        </w:rPr>
        <w:t>）</w:t>
      </w:r>
      <w:r>
        <w:rPr>
          <w:rFonts w:hint="eastAsia" w:ascii="宋体" w:hAnsi="宋体" w:eastAsia="宋体" w:cs="宋体"/>
          <w:b/>
          <w:bCs/>
          <w:color w:val="000000"/>
          <w:kern w:val="0"/>
          <w:sz w:val="21"/>
          <w:szCs w:val="21"/>
        </w:rPr>
        <w:t>付款方式：</w:t>
      </w:r>
      <w:r>
        <w:rPr>
          <w:rFonts w:hint="eastAsia" w:ascii="宋体" w:hAnsi="宋体" w:eastAsia="宋体" w:cs="宋体"/>
          <w:b w:val="0"/>
          <w:bCs w:val="0"/>
          <w:color w:val="000000"/>
          <w:kern w:val="0"/>
          <w:sz w:val="21"/>
          <w:szCs w:val="21"/>
        </w:rPr>
        <w:t>现汇</w:t>
      </w:r>
      <w:r>
        <w:rPr>
          <w:rFonts w:hint="eastAsia" w:ascii="宋体" w:hAnsi="宋体" w:cs="宋体"/>
          <w:b w:val="0"/>
          <w:bCs w:val="0"/>
          <w:color w:val="000000"/>
          <w:kern w:val="0"/>
          <w:sz w:val="21"/>
          <w:szCs w:val="21"/>
          <w:lang w:eastAsia="zh-CN"/>
        </w:rPr>
        <w:t>、</w:t>
      </w:r>
      <w:r>
        <w:rPr>
          <w:rFonts w:hint="eastAsia" w:ascii="宋体" w:hAnsi="宋体" w:cs="宋体"/>
          <w:b w:val="0"/>
          <w:bCs w:val="0"/>
          <w:color w:val="000000"/>
          <w:kern w:val="0"/>
          <w:sz w:val="21"/>
          <w:szCs w:val="21"/>
          <w:lang w:val="en-US" w:eastAsia="zh-CN"/>
        </w:rPr>
        <w:t>银行承兑汇票</w:t>
      </w:r>
      <w:r>
        <w:rPr>
          <w:rFonts w:hint="eastAsia" w:ascii="宋体" w:hAnsi="宋体" w:eastAsia="宋体" w:cs="宋体"/>
          <w:b w:val="0"/>
          <w:bCs w:val="0"/>
          <w:color w:val="000000"/>
          <w:kern w:val="0"/>
          <w:sz w:val="21"/>
          <w:szCs w:val="21"/>
        </w:rPr>
        <w:t>或其他。</w:t>
      </w:r>
    </w:p>
    <w:p w14:paraId="5B60C8B6">
      <w:pPr>
        <w:keepNext w:val="0"/>
        <w:keepLines w:val="0"/>
        <w:pageBreakBefore w:val="0"/>
        <w:widowControl/>
        <w:kinsoku/>
        <w:wordWrap/>
        <w:overflowPunct/>
        <w:topLinePunct w:val="0"/>
        <w:autoSpaceDE/>
        <w:autoSpaceDN/>
        <w:bidi w:val="0"/>
        <w:adjustRightInd/>
        <w:spacing w:line="360" w:lineRule="auto"/>
        <w:ind w:left="0" w:leftChars="0" w:firstLine="422" w:firstLineChars="200"/>
        <w:jc w:val="left"/>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lang w:eastAsia="zh-CN"/>
        </w:rPr>
        <w:t>（</w:t>
      </w:r>
      <w:r>
        <w:rPr>
          <w:rFonts w:hint="eastAsia" w:ascii="宋体" w:hAnsi="宋体" w:eastAsia="宋体" w:cs="宋体"/>
          <w:b/>
          <w:bCs/>
          <w:color w:val="000000"/>
          <w:kern w:val="0"/>
          <w:sz w:val="21"/>
          <w:szCs w:val="21"/>
          <w:lang w:val="en-US" w:eastAsia="zh-CN"/>
        </w:rPr>
        <w:t>三</w:t>
      </w:r>
      <w:r>
        <w:rPr>
          <w:rFonts w:hint="eastAsia" w:ascii="宋体" w:hAnsi="宋体" w:eastAsia="宋体" w:cs="宋体"/>
          <w:b/>
          <w:bCs/>
          <w:color w:val="000000"/>
          <w:kern w:val="0"/>
          <w:sz w:val="21"/>
          <w:szCs w:val="21"/>
          <w:lang w:eastAsia="zh-CN"/>
        </w:rPr>
        <w:t>）</w:t>
      </w:r>
      <w:r>
        <w:rPr>
          <w:rFonts w:hint="eastAsia" w:ascii="宋体" w:hAnsi="宋体" w:eastAsia="宋体" w:cs="宋体"/>
          <w:b/>
          <w:bCs/>
          <w:color w:val="000000"/>
          <w:kern w:val="0"/>
          <w:sz w:val="21"/>
          <w:szCs w:val="21"/>
        </w:rPr>
        <w:t>双方约定的其他条款：</w:t>
      </w:r>
      <w:r>
        <w:rPr>
          <w:rFonts w:hint="eastAsia" w:ascii="宋体" w:hAnsi="宋体" w:eastAsia="宋体" w:cs="宋体"/>
          <w:b w:val="0"/>
          <w:bCs w:val="0"/>
          <w:color w:val="000000"/>
          <w:kern w:val="0"/>
          <w:sz w:val="21"/>
          <w:szCs w:val="21"/>
        </w:rPr>
        <w:t>无。</w:t>
      </w:r>
    </w:p>
    <w:p w14:paraId="4910C498">
      <w:pPr>
        <w:keepNext w:val="0"/>
        <w:keepLines w:val="0"/>
        <w:pageBreakBefore w:val="0"/>
        <w:widowControl/>
        <w:kinsoku/>
        <w:wordWrap/>
        <w:overflowPunct/>
        <w:topLinePunct w:val="0"/>
        <w:autoSpaceDE/>
        <w:autoSpaceDN/>
        <w:bidi w:val="0"/>
        <w:adjustRightInd/>
        <w:spacing w:line="360" w:lineRule="auto"/>
        <w:ind w:left="0" w:leftChars="0" w:firstLine="422" w:firstLineChars="200"/>
        <w:jc w:val="left"/>
        <w:rPr>
          <w:rFonts w:hint="eastAsia" w:ascii="宋体" w:hAnsi="宋体" w:eastAsia="宋体" w:cs="宋体"/>
          <w:sz w:val="21"/>
          <w:szCs w:val="21"/>
        </w:rPr>
      </w:pPr>
      <w:r>
        <w:rPr>
          <w:rFonts w:hint="eastAsia" w:ascii="宋体" w:hAnsi="宋体" w:eastAsia="宋体" w:cs="宋体"/>
          <w:b/>
          <w:bCs/>
          <w:color w:val="000000"/>
          <w:kern w:val="0"/>
          <w:sz w:val="21"/>
          <w:szCs w:val="21"/>
        </w:rPr>
        <w:t>六、</w:t>
      </w:r>
      <w:r>
        <w:rPr>
          <w:rFonts w:hint="eastAsia" w:ascii="宋体" w:hAnsi="宋体" w:eastAsia="宋体" w:cs="宋体"/>
          <w:color w:val="000000"/>
          <w:kern w:val="0"/>
          <w:sz w:val="21"/>
          <w:szCs w:val="21"/>
        </w:rPr>
        <w:t xml:space="preserve"> </w:t>
      </w:r>
      <w:r>
        <w:rPr>
          <w:rFonts w:hint="eastAsia" w:ascii="宋体" w:hAnsi="宋体" w:eastAsia="宋体" w:cs="宋体"/>
          <w:b/>
          <w:bCs/>
          <w:color w:val="000000"/>
          <w:kern w:val="0"/>
          <w:sz w:val="21"/>
          <w:szCs w:val="21"/>
        </w:rPr>
        <w:t xml:space="preserve">合同变更、提前终止与解除 </w:t>
      </w:r>
    </w:p>
    <w:p w14:paraId="2961B2A0">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本合同生效后，任何一方均不得擅自变更或解除。如确需变更或解除，应经双方协商一致并达成书面协议。书面协议达成之前，本合同继续有效。 </w:t>
      </w:r>
    </w:p>
    <w:p w14:paraId="3913E318">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eastAsia="zh-CN"/>
        </w:rPr>
        <w:t>（</w:t>
      </w:r>
      <w:r>
        <w:rPr>
          <w:rFonts w:hint="eastAsia" w:ascii="宋体" w:hAnsi="宋体" w:cs="宋体"/>
          <w:color w:val="000000"/>
          <w:kern w:val="0"/>
          <w:sz w:val="21"/>
          <w:szCs w:val="21"/>
          <w:lang w:val="en-US" w:eastAsia="zh-CN"/>
        </w:rPr>
        <w:t>一</w:t>
      </w:r>
      <w:r>
        <w:rPr>
          <w:rFonts w:hint="eastAsia" w:ascii="宋体" w:hAnsi="宋体" w:cs="宋体"/>
          <w:color w:val="000000"/>
          <w:kern w:val="0"/>
          <w:sz w:val="21"/>
          <w:szCs w:val="21"/>
          <w:lang w:eastAsia="zh-CN"/>
        </w:rPr>
        <w:t>）</w:t>
      </w:r>
      <w:r>
        <w:rPr>
          <w:rFonts w:hint="eastAsia" w:ascii="宋体" w:hAnsi="宋体" w:eastAsia="宋体" w:cs="宋体"/>
          <w:color w:val="000000"/>
          <w:kern w:val="0"/>
          <w:sz w:val="21"/>
          <w:szCs w:val="21"/>
        </w:rPr>
        <w:t xml:space="preserve">发生如下任何一种情形的，甲方有权解除合同且无需承担违约责任： </w:t>
      </w:r>
    </w:p>
    <w:p w14:paraId="6010D0D4">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1.乙方违反本合同义务，甲方书面通知后 7 日内仍未纠正的。</w:t>
      </w:r>
    </w:p>
    <w:p w14:paraId="1A352FBA">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2.乙方不履行本合同义务，经甲方书面通知后 7 日内仍未履行的。</w:t>
      </w:r>
    </w:p>
    <w:p w14:paraId="1D43CD9F">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3.在约定的交货日前 7 日，甲方书面通知乙方的。</w:t>
      </w:r>
    </w:p>
    <w:p w14:paraId="70AF5D8C">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4.乙方发生破产清算、注销或吊销营业执照等情形的。</w:t>
      </w:r>
    </w:p>
    <w:p w14:paraId="0E00F72F">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5.本合同约定的其他甲方解除合同的情形。 </w:t>
      </w:r>
    </w:p>
    <w:p w14:paraId="1D2D4270">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eastAsia="zh-CN"/>
        </w:rPr>
        <w:t>（</w:t>
      </w:r>
      <w:r>
        <w:rPr>
          <w:rFonts w:hint="eastAsia" w:ascii="宋体" w:hAnsi="宋体" w:cs="宋体"/>
          <w:color w:val="000000"/>
          <w:kern w:val="0"/>
          <w:sz w:val="21"/>
          <w:szCs w:val="21"/>
          <w:lang w:val="en-US" w:eastAsia="zh-CN"/>
        </w:rPr>
        <w:t>二</w:t>
      </w:r>
      <w:r>
        <w:rPr>
          <w:rFonts w:hint="eastAsia" w:ascii="宋体" w:hAnsi="宋体" w:cs="宋体"/>
          <w:color w:val="000000"/>
          <w:kern w:val="0"/>
          <w:sz w:val="21"/>
          <w:szCs w:val="21"/>
          <w:lang w:eastAsia="zh-CN"/>
        </w:rPr>
        <w:t>）</w:t>
      </w:r>
      <w:r>
        <w:rPr>
          <w:rFonts w:hint="eastAsia" w:ascii="宋体" w:hAnsi="宋体" w:eastAsia="宋体" w:cs="宋体"/>
          <w:color w:val="000000"/>
          <w:kern w:val="0"/>
          <w:sz w:val="21"/>
          <w:szCs w:val="21"/>
        </w:rPr>
        <w:t>发生如下任何一种情形的，乙方有权解除合同且无需承担违约责任：</w:t>
      </w:r>
    </w:p>
    <w:p w14:paraId="0EDF5CE7">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1.甲方违反本合同义务，经乙方书面通知后 7 日内仍未纠正的。</w:t>
      </w:r>
    </w:p>
    <w:p w14:paraId="67612DDE">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sz w:val="21"/>
          <w:szCs w:val="21"/>
        </w:rPr>
      </w:pPr>
      <w:r>
        <w:rPr>
          <w:rFonts w:hint="eastAsia" w:ascii="宋体" w:hAnsi="宋体" w:eastAsia="宋体" w:cs="宋体"/>
          <w:color w:val="000000"/>
          <w:kern w:val="0"/>
          <w:sz w:val="21"/>
          <w:szCs w:val="21"/>
        </w:rPr>
        <w:t>2.甲方不履行本合同义务，经乙方书面通知后 7 日内仍未履行的。</w:t>
      </w:r>
    </w:p>
    <w:p w14:paraId="328186A9">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sz w:val="21"/>
          <w:szCs w:val="21"/>
        </w:rPr>
      </w:pPr>
      <w:r>
        <w:rPr>
          <w:rFonts w:hint="eastAsia" w:ascii="宋体" w:hAnsi="宋体" w:eastAsia="宋体" w:cs="宋体"/>
          <w:color w:val="000000"/>
          <w:kern w:val="0"/>
          <w:sz w:val="21"/>
          <w:szCs w:val="21"/>
        </w:rPr>
        <w:t>3.甲方发生破产清算、注销或吊销营业执照等情形的。</w:t>
      </w:r>
    </w:p>
    <w:p w14:paraId="2AF40B51">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sz w:val="21"/>
          <w:szCs w:val="21"/>
        </w:rPr>
      </w:pPr>
      <w:r>
        <w:rPr>
          <w:rFonts w:hint="eastAsia" w:ascii="宋体" w:hAnsi="宋体" w:eastAsia="宋体" w:cs="宋体"/>
          <w:color w:val="000000"/>
          <w:kern w:val="0"/>
          <w:sz w:val="21"/>
          <w:szCs w:val="21"/>
        </w:rPr>
        <w:t xml:space="preserve">4.本合同约定的其他乙方解除合同的情形。 </w:t>
      </w:r>
    </w:p>
    <w:p w14:paraId="1F827361">
      <w:pPr>
        <w:keepNext w:val="0"/>
        <w:keepLines w:val="0"/>
        <w:pageBreakBefore w:val="0"/>
        <w:widowControl/>
        <w:kinsoku/>
        <w:wordWrap/>
        <w:overflowPunct/>
        <w:topLinePunct w:val="0"/>
        <w:autoSpaceDE/>
        <w:autoSpaceDN/>
        <w:bidi w:val="0"/>
        <w:adjustRightInd/>
        <w:spacing w:line="360" w:lineRule="auto"/>
        <w:ind w:left="0" w:leftChars="0" w:firstLine="422" w:firstLineChars="200"/>
        <w:jc w:val="left"/>
        <w:rPr>
          <w:rFonts w:hint="eastAsia" w:ascii="宋体" w:hAnsi="宋体" w:eastAsia="宋体" w:cs="宋体"/>
          <w:sz w:val="21"/>
          <w:szCs w:val="21"/>
        </w:rPr>
      </w:pPr>
      <w:r>
        <w:rPr>
          <w:rFonts w:hint="eastAsia" w:ascii="宋体" w:hAnsi="宋体" w:eastAsia="宋体" w:cs="宋体"/>
          <w:b/>
          <w:bCs/>
          <w:color w:val="000000"/>
          <w:kern w:val="0"/>
          <w:sz w:val="21"/>
          <w:szCs w:val="21"/>
        </w:rPr>
        <w:t>七、</w:t>
      </w:r>
      <w:r>
        <w:rPr>
          <w:rFonts w:hint="eastAsia" w:ascii="宋体" w:hAnsi="宋体" w:eastAsia="宋体" w:cs="宋体"/>
          <w:color w:val="000000"/>
          <w:kern w:val="0"/>
          <w:sz w:val="21"/>
          <w:szCs w:val="21"/>
        </w:rPr>
        <w:t xml:space="preserve"> </w:t>
      </w:r>
      <w:r>
        <w:rPr>
          <w:rFonts w:hint="eastAsia" w:ascii="宋体" w:hAnsi="宋体" w:eastAsia="宋体" w:cs="宋体"/>
          <w:b/>
          <w:bCs/>
          <w:color w:val="000000"/>
          <w:kern w:val="0"/>
          <w:sz w:val="21"/>
          <w:szCs w:val="21"/>
        </w:rPr>
        <w:t xml:space="preserve">违约责任 </w:t>
      </w:r>
    </w:p>
    <w:p w14:paraId="2A6EA03A">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eastAsia="zh-CN"/>
        </w:rPr>
        <w:t>（</w:t>
      </w:r>
      <w:r>
        <w:rPr>
          <w:rFonts w:hint="eastAsia" w:ascii="宋体" w:hAnsi="宋体" w:cs="宋体"/>
          <w:color w:val="000000"/>
          <w:kern w:val="0"/>
          <w:sz w:val="21"/>
          <w:szCs w:val="21"/>
          <w:lang w:val="en-US" w:eastAsia="zh-CN"/>
        </w:rPr>
        <w:t>一</w:t>
      </w:r>
      <w:r>
        <w:rPr>
          <w:rFonts w:hint="eastAsia" w:ascii="宋体" w:hAnsi="宋体" w:cs="宋体"/>
          <w:color w:val="000000"/>
          <w:kern w:val="0"/>
          <w:sz w:val="21"/>
          <w:szCs w:val="21"/>
          <w:lang w:eastAsia="zh-CN"/>
        </w:rPr>
        <w:t>）</w:t>
      </w:r>
      <w:r>
        <w:rPr>
          <w:rFonts w:hint="eastAsia" w:ascii="宋体" w:hAnsi="宋体" w:eastAsia="宋体" w:cs="宋体"/>
          <w:color w:val="000000"/>
          <w:kern w:val="0"/>
          <w:sz w:val="21"/>
          <w:szCs w:val="21"/>
        </w:rPr>
        <w:t xml:space="preserve">合同履行过程中双方应加强沟通，因乙方原因未按照合同规定的时间、数量及甲方通知的调运计划发运燃煤的，乙方应承担由此造成的经济损失。乙方逾期交付超过7日的，甲方有权解除合同。 </w:t>
      </w:r>
    </w:p>
    <w:p w14:paraId="188C112B">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eastAsia="zh-CN"/>
        </w:rPr>
        <w:t>（</w:t>
      </w:r>
      <w:r>
        <w:rPr>
          <w:rFonts w:hint="eastAsia" w:ascii="宋体" w:hAnsi="宋体" w:cs="宋体"/>
          <w:color w:val="000000"/>
          <w:kern w:val="0"/>
          <w:sz w:val="21"/>
          <w:szCs w:val="21"/>
          <w:lang w:val="en-US" w:eastAsia="zh-CN"/>
        </w:rPr>
        <w:t>二</w:t>
      </w:r>
      <w:r>
        <w:rPr>
          <w:rFonts w:hint="eastAsia" w:ascii="宋体" w:hAnsi="宋体" w:cs="宋体"/>
          <w:color w:val="000000"/>
          <w:kern w:val="0"/>
          <w:sz w:val="21"/>
          <w:szCs w:val="21"/>
          <w:lang w:eastAsia="zh-CN"/>
        </w:rPr>
        <w:t>）</w:t>
      </w:r>
      <w:r>
        <w:rPr>
          <w:rFonts w:hint="eastAsia" w:ascii="宋体" w:hAnsi="宋体" w:eastAsia="宋体" w:cs="宋体"/>
          <w:color w:val="000000"/>
          <w:kern w:val="0"/>
          <w:sz w:val="21"/>
          <w:szCs w:val="21"/>
        </w:rPr>
        <w:t xml:space="preserve">甲方发现乙方来煤煤质异常时，应立即电话通知乙方合同中确定的联系人，乙方应及时赶到现场处理。若乙方接到通知后8小时内未赶到现场或未作任何回复即视为乙方接受甲方处理结果，甲方应做好通知乙方的记录台账并存档备查。 </w:t>
      </w:r>
    </w:p>
    <w:p w14:paraId="6F15EEEF">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eastAsia="zh-CN"/>
        </w:rPr>
        <w:t>（</w:t>
      </w:r>
      <w:r>
        <w:rPr>
          <w:rFonts w:hint="eastAsia" w:ascii="宋体" w:hAnsi="宋体" w:cs="宋体"/>
          <w:color w:val="000000"/>
          <w:kern w:val="0"/>
          <w:sz w:val="21"/>
          <w:szCs w:val="21"/>
          <w:lang w:val="en-US" w:eastAsia="zh-CN"/>
        </w:rPr>
        <w:t>三</w:t>
      </w:r>
      <w:r>
        <w:rPr>
          <w:rFonts w:hint="eastAsia" w:ascii="宋体" w:hAnsi="宋体" w:cs="宋体"/>
          <w:color w:val="000000"/>
          <w:kern w:val="0"/>
          <w:sz w:val="21"/>
          <w:szCs w:val="21"/>
          <w:lang w:eastAsia="zh-CN"/>
        </w:rPr>
        <w:t>）</w:t>
      </w:r>
      <w:r>
        <w:rPr>
          <w:rFonts w:hint="eastAsia" w:ascii="宋体" w:hAnsi="宋体" w:eastAsia="宋体" w:cs="宋体"/>
          <w:color w:val="000000"/>
          <w:kern w:val="0"/>
          <w:sz w:val="21"/>
          <w:szCs w:val="21"/>
        </w:rPr>
        <w:t xml:space="preserve">因乙方提供的燃煤不符合本合同质量要求导致甲方缺煤停机或造成设备异常损坏的，乙方应采取更换、补发符合合同约定的燃煤，并承担由此产生的费用，给甲方造成的经济损失应予以全额赔偿，甲方有权解除合同。 </w:t>
      </w:r>
    </w:p>
    <w:p w14:paraId="7E8881F9">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eastAsia="zh-CN"/>
        </w:rPr>
        <w:t>（</w:t>
      </w:r>
      <w:r>
        <w:rPr>
          <w:rFonts w:hint="eastAsia" w:ascii="宋体" w:hAnsi="宋体" w:cs="宋体"/>
          <w:color w:val="000000"/>
          <w:kern w:val="0"/>
          <w:sz w:val="21"/>
          <w:szCs w:val="21"/>
          <w:lang w:val="en-US" w:eastAsia="zh-CN"/>
        </w:rPr>
        <w:t>四</w:t>
      </w:r>
      <w:r>
        <w:rPr>
          <w:rFonts w:hint="eastAsia" w:ascii="宋体" w:hAnsi="宋体" w:cs="宋体"/>
          <w:color w:val="000000"/>
          <w:kern w:val="0"/>
          <w:sz w:val="21"/>
          <w:szCs w:val="21"/>
          <w:lang w:eastAsia="zh-CN"/>
        </w:rPr>
        <w:t>）</w:t>
      </w:r>
      <w:r>
        <w:rPr>
          <w:rFonts w:hint="eastAsia" w:ascii="宋体" w:hAnsi="宋体" w:eastAsia="宋体" w:cs="宋体"/>
          <w:color w:val="000000"/>
          <w:kern w:val="0"/>
          <w:sz w:val="21"/>
          <w:szCs w:val="21"/>
        </w:rPr>
        <w:t>甲、乙双方应严格履行本合同。任何一方不履行本合同义务或履行本合同义务不符合本合同约定的，应按《中华人民共和国民法典》的规定承担继续履行、采取补救措施和赔偿守约方损失等违约责任。</w:t>
      </w:r>
    </w:p>
    <w:p w14:paraId="52A89D47">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eastAsia="zh-CN"/>
        </w:rPr>
        <w:t>（</w:t>
      </w:r>
      <w:r>
        <w:rPr>
          <w:rFonts w:hint="eastAsia" w:ascii="宋体" w:hAnsi="宋体" w:cs="宋体"/>
          <w:color w:val="000000"/>
          <w:kern w:val="0"/>
          <w:sz w:val="21"/>
          <w:szCs w:val="21"/>
          <w:lang w:val="en-US" w:eastAsia="zh-CN"/>
        </w:rPr>
        <w:t>五</w:t>
      </w:r>
      <w:r>
        <w:rPr>
          <w:rFonts w:hint="eastAsia" w:ascii="宋体" w:hAnsi="宋体" w:cs="宋体"/>
          <w:color w:val="000000"/>
          <w:kern w:val="0"/>
          <w:sz w:val="21"/>
          <w:szCs w:val="21"/>
          <w:lang w:eastAsia="zh-CN"/>
        </w:rPr>
        <w:t>）</w:t>
      </w:r>
      <w:r>
        <w:rPr>
          <w:rFonts w:hint="eastAsia" w:ascii="宋体" w:hAnsi="宋体" w:eastAsia="宋体" w:cs="宋体"/>
          <w:color w:val="000000"/>
          <w:kern w:val="0"/>
          <w:sz w:val="21"/>
          <w:szCs w:val="21"/>
        </w:rPr>
        <w:t>双方约定的其他条款：</w:t>
      </w:r>
    </w:p>
    <w:p w14:paraId="05555FA0">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1.</w:t>
      </w:r>
      <w:r>
        <w:rPr>
          <w:rFonts w:hint="eastAsia" w:ascii="宋体" w:hAnsi="宋体" w:eastAsia="宋体" w:cs="宋体"/>
          <w:color w:val="000000"/>
          <w:kern w:val="0"/>
          <w:sz w:val="21"/>
          <w:szCs w:val="21"/>
          <w:lang w:val="en-US" w:eastAsia="zh-CN"/>
        </w:rPr>
        <w:t>乙方可选择以下任何一种方式向甲方交纳合同履约保证金：</w:t>
      </w:r>
    </w:p>
    <w:p w14:paraId="13F87317">
      <w:pPr>
        <w:keepNext w:val="0"/>
        <w:keepLines w:val="0"/>
        <w:pageBreakBefore w:val="0"/>
        <w:widowControl/>
        <w:kinsoku/>
        <w:wordWrap/>
        <w:overflowPunct/>
        <w:topLinePunct w:val="0"/>
        <w:autoSpaceDE/>
        <w:autoSpaceDN/>
        <w:bidi w:val="0"/>
        <w:adjustRightInd/>
        <w:spacing w:line="360" w:lineRule="auto"/>
        <w:ind w:firstLine="420" w:firstLineChars="200"/>
        <w:jc w:val="left"/>
        <w:rPr>
          <w:rFonts w:hint="eastAsia" w:ascii="仿宋_GB2312" w:hAnsi="仿宋_GB2312" w:eastAsia="仿宋_GB2312" w:cs="仿宋_GB2312"/>
          <w:color w:val="000000"/>
          <w:kern w:val="0"/>
          <w:sz w:val="28"/>
          <w:szCs w:val="28"/>
        </w:rPr>
      </w:pPr>
      <w:r>
        <w:rPr>
          <w:rFonts w:hint="eastAsia" w:ascii="宋体" w:hAnsi="宋体" w:eastAsia="宋体" w:cs="宋体"/>
          <w:color w:val="000000"/>
          <w:kern w:val="0"/>
          <w:sz w:val="21"/>
          <w:szCs w:val="21"/>
          <w:lang w:val="en-US" w:eastAsia="zh-CN"/>
        </w:rPr>
        <w:t>（1）</w:t>
      </w:r>
      <w:r>
        <w:rPr>
          <w:rFonts w:hint="eastAsia" w:ascii="宋体" w:hAnsi="宋体" w:eastAsia="宋体" w:cs="宋体"/>
          <w:b/>
          <w:bCs/>
          <w:color w:val="000000"/>
          <w:kern w:val="0"/>
          <w:sz w:val="21"/>
          <w:szCs w:val="21"/>
        </w:rPr>
        <w:t>履约保证金：</w:t>
      </w:r>
    </w:p>
    <w:p w14:paraId="104A4095">
      <w:pPr>
        <w:keepNext w:val="0"/>
        <w:keepLines w:val="0"/>
        <w:pageBreakBefore w:val="0"/>
        <w:widowControl/>
        <w:kinsoku/>
        <w:wordWrap/>
        <w:overflowPunct/>
        <w:topLinePunct w:val="0"/>
        <w:autoSpaceDE/>
        <w:autoSpaceDN/>
        <w:bidi w:val="0"/>
        <w:adjustRightInd/>
        <w:spacing w:line="360" w:lineRule="auto"/>
        <w:ind w:firstLine="420" w:firstLineChars="200"/>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1）乙方需在收到甲方发出的《中标通知书》7个工作日内向甲方交纳履约保证金</w:t>
      </w:r>
      <w:r>
        <w:rPr>
          <w:rFonts w:hint="eastAsia" w:ascii="宋体" w:hAnsi="宋体" w:cs="宋体"/>
          <w:color w:val="000000"/>
          <w:kern w:val="0"/>
          <w:sz w:val="21"/>
          <w:szCs w:val="21"/>
          <w:lang w:val="en-US" w:eastAsia="zh-CN"/>
        </w:rPr>
        <w:t>20</w:t>
      </w:r>
      <w:r>
        <w:rPr>
          <w:rFonts w:hint="eastAsia" w:ascii="宋体" w:hAnsi="宋体" w:eastAsia="宋体" w:cs="宋体"/>
          <w:color w:val="000000"/>
          <w:kern w:val="0"/>
          <w:sz w:val="21"/>
          <w:szCs w:val="21"/>
          <w:lang w:val="en-US" w:eastAsia="zh-CN"/>
        </w:rPr>
        <w:t>0,000元（大写：人民币</w:t>
      </w:r>
      <w:r>
        <w:rPr>
          <w:rFonts w:hint="eastAsia" w:ascii="宋体" w:hAnsi="宋体" w:cs="宋体"/>
          <w:color w:val="000000"/>
          <w:kern w:val="0"/>
          <w:sz w:val="21"/>
          <w:szCs w:val="21"/>
          <w:lang w:val="en-US" w:eastAsia="zh-CN"/>
        </w:rPr>
        <w:t>贰</w:t>
      </w:r>
      <w:r>
        <w:rPr>
          <w:rFonts w:hint="eastAsia" w:ascii="宋体" w:hAnsi="宋体" w:eastAsia="宋体" w:cs="宋体"/>
          <w:color w:val="000000"/>
          <w:kern w:val="0"/>
          <w:sz w:val="21"/>
          <w:szCs w:val="21"/>
          <w:lang w:val="en-US" w:eastAsia="zh-CN"/>
        </w:rPr>
        <w:t>拾万元整），乙方在收到《中标通知书》7个工作日内需通过银行电汇形式将履约保证金交纳到甲方指定账户，甲方在接到乙方交纳履约保证金相关凭证后，方可签订合同。</w:t>
      </w:r>
    </w:p>
    <w:p w14:paraId="40F9761D">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2）乙方履行完合同后，由乙方提出书面申请，甲方于10 个工作日内无息返还履约保证金。因甲方调运原因、环保原因、降价原因、极端天气或者发生不可抗力事故造成合同无法履行的，履约保证金全部无息退还。乙方供应燃煤与合同煤质严重不符的，甲方有权停止采购乙方燃煤，并扣除全部履约保证金。本次保证金只接受现汇，不接受银行保函、现金等其他形式保证金。保证金交纳账户：</w:t>
      </w:r>
    </w:p>
    <w:p w14:paraId="248BF3D9">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名  称：</w:t>
      </w:r>
      <w:r>
        <w:rPr>
          <w:rFonts w:hint="eastAsia" w:ascii="宋体" w:hAnsi="宋体" w:cs="宋体"/>
          <w:color w:val="000000"/>
          <w:kern w:val="0"/>
          <w:sz w:val="21"/>
          <w:szCs w:val="21"/>
          <w:lang w:val="en-US" w:eastAsia="zh-CN"/>
        </w:rPr>
        <w:t>XXXXXXXX</w:t>
      </w:r>
      <w:r>
        <w:rPr>
          <w:rFonts w:hint="eastAsia" w:ascii="宋体" w:hAnsi="宋体" w:eastAsia="宋体" w:cs="宋体"/>
          <w:color w:val="000000"/>
          <w:kern w:val="0"/>
          <w:sz w:val="21"/>
          <w:szCs w:val="21"/>
          <w:lang w:val="en-US" w:eastAsia="zh-CN"/>
        </w:rPr>
        <w:t>公司</w:t>
      </w:r>
    </w:p>
    <w:p w14:paraId="0377ED12">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 xml:space="preserve">开户行： </w:t>
      </w:r>
    </w:p>
    <w:p w14:paraId="161993D1">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 xml:space="preserve">账  号: </w:t>
      </w:r>
    </w:p>
    <w:p w14:paraId="15B90546">
      <w:pPr>
        <w:keepNext w:val="0"/>
        <w:keepLines w:val="0"/>
        <w:pageBreakBefore w:val="0"/>
        <w:widowControl/>
        <w:numPr>
          <w:ilvl w:val="0"/>
          <w:numId w:val="0"/>
        </w:numPr>
        <w:kinsoku/>
        <w:wordWrap/>
        <w:overflowPunct/>
        <w:topLinePunct w:val="0"/>
        <w:autoSpaceDE/>
        <w:autoSpaceDN/>
        <w:bidi w:val="0"/>
        <w:adjustRightInd/>
        <w:spacing w:line="360" w:lineRule="auto"/>
        <w:ind w:left="0" w:leftChars="0" w:firstLine="420" w:firstLineChars="200"/>
        <w:jc w:val="left"/>
        <w:rPr>
          <w:rFonts w:hint="eastAsia" w:ascii="仿宋_GB2312" w:hAnsi="仿宋_GB2312" w:eastAsia="仿宋_GB2312" w:cs="仿宋_GB2312"/>
          <w:color w:val="000000"/>
          <w:kern w:val="0"/>
          <w:sz w:val="28"/>
          <w:szCs w:val="28"/>
          <w:lang w:val="en-US" w:eastAsia="zh-CN"/>
        </w:rPr>
      </w:pPr>
      <w:r>
        <w:rPr>
          <w:rFonts w:hint="eastAsia" w:ascii="宋体" w:hAnsi="宋体" w:eastAsia="宋体" w:cs="宋体"/>
          <w:color w:val="000000"/>
          <w:kern w:val="0"/>
          <w:sz w:val="21"/>
          <w:szCs w:val="21"/>
          <w:lang w:val="en-US" w:eastAsia="zh-CN"/>
        </w:rPr>
        <w:t>（2）</w:t>
      </w:r>
      <w:r>
        <w:rPr>
          <w:rFonts w:hint="eastAsia" w:ascii="宋体" w:hAnsi="宋体" w:eastAsia="宋体" w:cs="宋体"/>
          <w:b/>
          <w:bCs/>
          <w:color w:val="000000"/>
          <w:kern w:val="0"/>
          <w:sz w:val="21"/>
          <w:szCs w:val="21"/>
          <w:lang w:val="en-US" w:eastAsia="zh-CN"/>
        </w:rPr>
        <w:t>同等价值的燃煤</w:t>
      </w:r>
    </w:p>
    <w:p w14:paraId="6308A049">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1）</w:t>
      </w:r>
      <w:r>
        <w:rPr>
          <w:rFonts w:hint="eastAsia" w:ascii="宋体" w:hAnsi="宋体" w:eastAsia="宋体" w:cs="宋体"/>
          <w:color w:val="000000"/>
          <w:kern w:val="0"/>
          <w:sz w:val="21"/>
          <w:szCs w:val="21"/>
          <w:lang w:val="en-US" w:eastAsia="zh-CN"/>
        </w:rPr>
        <w:t>乙方在收到甲方发出的《中标通知书》之日起7个工作日内向甲方供应与保证金同等价值及以上的燃煤作为本合同履约保证金；</w:t>
      </w:r>
    </w:p>
    <w:p w14:paraId="3609A6F1">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2）</w:t>
      </w:r>
      <w:r>
        <w:rPr>
          <w:rFonts w:hint="eastAsia" w:ascii="宋体" w:hAnsi="宋体" w:eastAsia="宋体" w:cs="宋体"/>
          <w:color w:val="000000"/>
          <w:kern w:val="0"/>
          <w:sz w:val="21"/>
          <w:szCs w:val="21"/>
          <w:lang w:val="en-US" w:eastAsia="zh-CN"/>
        </w:rPr>
        <w:t>乙方收到甲方发出的《中标通知书》7个工作日后，甲方按本合同条款加权或单批次核算乙方所供应的燃煤是否等同或大于履约保证金价值；若乙方供应的燃煤等于或大于履约保证金价值，则甲方与乙方签订本合同；若乙方供应的燃煤小于保证金价值，则乙方可选择与甲方签订合同，但在合同办理结算时，需扣除不足合同履约保证金价值的煤款，乙方也可选择放弃与甲方签订合同，则乙方已供应到甲方的燃煤不做结算；</w:t>
      </w:r>
    </w:p>
    <w:p w14:paraId="3F8C3103">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3）</w:t>
      </w:r>
      <w:r>
        <w:rPr>
          <w:rFonts w:hint="eastAsia" w:ascii="宋体" w:hAnsi="宋体" w:eastAsia="宋体" w:cs="宋体"/>
          <w:color w:val="000000"/>
          <w:kern w:val="0"/>
          <w:sz w:val="21"/>
          <w:szCs w:val="21"/>
          <w:lang w:val="en-US" w:eastAsia="zh-CN"/>
        </w:rPr>
        <w:t>乙方收到甲方发出的《中标通知书》7个工作日内，已向甲方供应燃煤，但供应价值不足履约保证金的情况下，乙方可选择在收到甲方发出的《中标通知书》7个工作日内向甲方交纳全额履约保证金，保证金在规定时间交纳后，乙方已向甲方供应的燃煤纳入全合同量按合同条款结算；</w:t>
      </w:r>
    </w:p>
    <w:p w14:paraId="28A6EF54">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4）</w:t>
      </w:r>
      <w:r>
        <w:rPr>
          <w:rFonts w:hint="eastAsia" w:ascii="宋体" w:hAnsi="宋体" w:eastAsia="宋体" w:cs="宋体"/>
          <w:color w:val="000000"/>
          <w:kern w:val="0"/>
          <w:sz w:val="21"/>
          <w:szCs w:val="21"/>
          <w:lang w:val="en-US" w:eastAsia="zh-CN"/>
        </w:rPr>
        <w:t>乙方向甲方供应的同等价值的燃煤具有和履约保证金相等的效用，乙方所供应同等履约保证金价值的燃煤纳入全合同量按合同条款结算，在乙方履约合同时涉及到本合同保证金扣罚条款时，甲方在结算的总煤款中扣除。</w:t>
      </w:r>
    </w:p>
    <w:p w14:paraId="47803285">
      <w:pPr>
        <w:keepNext w:val="0"/>
        <w:keepLines w:val="0"/>
        <w:pageBreakBefore w:val="0"/>
        <w:widowControl/>
        <w:kinsoku/>
        <w:wordWrap/>
        <w:overflowPunct/>
        <w:topLinePunct w:val="0"/>
        <w:autoSpaceDE/>
        <w:autoSpaceDN/>
        <w:bidi w:val="0"/>
        <w:adjustRightInd/>
        <w:spacing w:line="360" w:lineRule="auto"/>
        <w:ind w:left="0" w:leftChars="0" w:firstLine="422" w:firstLineChars="200"/>
        <w:jc w:val="left"/>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 xml:space="preserve"> 八、</w:t>
      </w:r>
      <w:r>
        <w:rPr>
          <w:rFonts w:hint="eastAsia" w:ascii="宋体" w:hAnsi="宋体" w:eastAsia="宋体" w:cs="宋体"/>
          <w:color w:val="000000"/>
          <w:kern w:val="0"/>
          <w:sz w:val="21"/>
          <w:szCs w:val="21"/>
        </w:rPr>
        <w:t xml:space="preserve"> </w:t>
      </w:r>
      <w:r>
        <w:rPr>
          <w:rFonts w:hint="eastAsia" w:ascii="宋体" w:hAnsi="宋体" w:eastAsia="宋体" w:cs="宋体"/>
          <w:b/>
          <w:bCs/>
          <w:color w:val="000000"/>
          <w:kern w:val="0"/>
          <w:sz w:val="21"/>
          <w:szCs w:val="21"/>
        </w:rPr>
        <w:t xml:space="preserve">不可抗力 </w:t>
      </w:r>
    </w:p>
    <w:p w14:paraId="56B2DC3B">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eastAsia="zh-CN"/>
        </w:rPr>
        <w:t>（</w:t>
      </w:r>
      <w:r>
        <w:rPr>
          <w:rFonts w:hint="eastAsia" w:ascii="宋体" w:hAnsi="宋体" w:cs="宋体"/>
          <w:color w:val="000000"/>
          <w:kern w:val="0"/>
          <w:sz w:val="21"/>
          <w:szCs w:val="21"/>
          <w:lang w:val="en-US" w:eastAsia="zh-CN"/>
        </w:rPr>
        <w:t>一</w:t>
      </w:r>
      <w:r>
        <w:rPr>
          <w:rFonts w:hint="eastAsia" w:ascii="宋体" w:hAnsi="宋体" w:cs="宋体"/>
          <w:color w:val="000000"/>
          <w:kern w:val="0"/>
          <w:sz w:val="21"/>
          <w:szCs w:val="21"/>
          <w:lang w:eastAsia="zh-CN"/>
        </w:rPr>
        <w:t>）</w:t>
      </w:r>
      <w:r>
        <w:rPr>
          <w:rFonts w:hint="eastAsia" w:ascii="宋体" w:hAnsi="宋体" w:eastAsia="宋体" w:cs="宋体"/>
          <w:color w:val="000000"/>
          <w:kern w:val="0"/>
          <w:sz w:val="21"/>
          <w:szCs w:val="21"/>
        </w:rPr>
        <w:t xml:space="preserve">在本合同履行过程中，如遇不可抗力（包括但不限于自然灾害、战争、政府征用、没收等不可预见、不能克服、不能避免的事件与因素）致使合同无法正常履行的，甲乙双方对此均不承担违约责任。  </w:t>
      </w:r>
    </w:p>
    <w:p w14:paraId="57942A5E">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eastAsia="zh-CN"/>
        </w:rPr>
        <w:t>（</w:t>
      </w:r>
      <w:r>
        <w:rPr>
          <w:rFonts w:hint="eastAsia" w:ascii="宋体" w:hAnsi="宋体" w:cs="宋体"/>
          <w:color w:val="000000"/>
          <w:kern w:val="0"/>
          <w:sz w:val="21"/>
          <w:szCs w:val="21"/>
          <w:lang w:val="en-US" w:eastAsia="zh-CN"/>
        </w:rPr>
        <w:t>二</w:t>
      </w:r>
      <w:r>
        <w:rPr>
          <w:rFonts w:hint="eastAsia" w:ascii="宋体" w:hAnsi="宋体" w:cs="宋体"/>
          <w:color w:val="000000"/>
          <w:kern w:val="0"/>
          <w:sz w:val="21"/>
          <w:szCs w:val="21"/>
          <w:lang w:eastAsia="zh-CN"/>
        </w:rPr>
        <w:t>）</w:t>
      </w:r>
      <w:r>
        <w:rPr>
          <w:rFonts w:hint="eastAsia" w:ascii="宋体" w:hAnsi="宋体" w:eastAsia="宋体" w:cs="宋体"/>
          <w:color w:val="000000"/>
          <w:kern w:val="0"/>
          <w:sz w:val="21"/>
          <w:szCs w:val="21"/>
        </w:rPr>
        <w:t xml:space="preserve">不可抗力发生后，不能正常履行合同的一方应在 7 个工作日内将情况通知另外一方，并有义务采取合理措施将损失降到最低，同时应在不可抗力事件停止或影响消除后 7 个工作日内向另外一方提供相应书面证明。 </w:t>
      </w:r>
    </w:p>
    <w:p w14:paraId="37C17ECB">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eastAsia="zh-CN"/>
        </w:rPr>
        <w:t>（</w:t>
      </w:r>
      <w:r>
        <w:rPr>
          <w:rFonts w:hint="eastAsia" w:ascii="宋体" w:hAnsi="宋体" w:cs="宋体"/>
          <w:color w:val="000000"/>
          <w:kern w:val="0"/>
          <w:sz w:val="21"/>
          <w:szCs w:val="21"/>
          <w:lang w:val="en-US" w:eastAsia="zh-CN"/>
        </w:rPr>
        <w:t>三</w:t>
      </w:r>
      <w:r>
        <w:rPr>
          <w:rFonts w:hint="eastAsia" w:ascii="宋体" w:hAnsi="宋体" w:cs="宋体"/>
          <w:color w:val="000000"/>
          <w:kern w:val="0"/>
          <w:sz w:val="21"/>
          <w:szCs w:val="21"/>
          <w:lang w:eastAsia="zh-CN"/>
        </w:rPr>
        <w:t>）</w:t>
      </w:r>
      <w:r>
        <w:rPr>
          <w:rFonts w:hint="eastAsia" w:ascii="宋体" w:hAnsi="宋体" w:eastAsia="宋体" w:cs="宋体"/>
          <w:color w:val="000000"/>
          <w:kern w:val="0"/>
          <w:sz w:val="21"/>
          <w:szCs w:val="21"/>
        </w:rPr>
        <w:t>不可抗力事件停止或影响消除后，对于本合同相关的约定事项是否延期履行、部分履行或解除本合同，由双方协商解决。</w:t>
      </w:r>
    </w:p>
    <w:p w14:paraId="24A428D9">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sz w:val="21"/>
          <w:szCs w:val="21"/>
        </w:rPr>
      </w:pPr>
      <w:r>
        <w:rPr>
          <w:rFonts w:hint="eastAsia" w:ascii="宋体" w:hAnsi="宋体" w:cs="宋体"/>
          <w:color w:val="000000"/>
          <w:kern w:val="0"/>
          <w:sz w:val="21"/>
          <w:szCs w:val="21"/>
          <w:lang w:eastAsia="zh-CN"/>
        </w:rPr>
        <w:t>（</w:t>
      </w:r>
      <w:r>
        <w:rPr>
          <w:rFonts w:hint="eastAsia" w:ascii="宋体" w:hAnsi="宋体" w:cs="宋体"/>
          <w:color w:val="000000"/>
          <w:kern w:val="0"/>
          <w:sz w:val="21"/>
          <w:szCs w:val="21"/>
          <w:lang w:val="en-US" w:eastAsia="zh-CN"/>
        </w:rPr>
        <w:t>四</w:t>
      </w:r>
      <w:r>
        <w:rPr>
          <w:rFonts w:hint="eastAsia" w:ascii="宋体" w:hAnsi="宋体" w:cs="宋体"/>
          <w:color w:val="000000"/>
          <w:kern w:val="0"/>
          <w:sz w:val="21"/>
          <w:szCs w:val="21"/>
          <w:lang w:eastAsia="zh-CN"/>
        </w:rPr>
        <w:t>）</w:t>
      </w:r>
      <w:r>
        <w:rPr>
          <w:rFonts w:hint="eastAsia" w:ascii="宋体" w:hAnsi="宋体" w:eastAsia="宋体" w:cs="宋体"/>
          <w:color w:val="000000"/>
          <w:kern w:val="0"/>
          <w:sz w:val="21"/>
          <w:szCs w:val="21"/>
        </w:rPr>
        <w:t xml:space="preserve">如果一方已发出不可抗力通知，且不可抗力事件已不间断地持续达90天，则任何一方均有权在向对方发出终止通知后终止本合同。 </w:t>
      </w:r>
    </w:p>
    <w:p w14:paraId="72E00FB4">
      <w:pPr>
        <w:keepNext w:val="0"/>
        <w:keepLines w:val="0"/>
        <w:pageBreakBefore w:val="0"/>
        <w:widowControl/>
        <w:kinsoku/>
        <w:wordWrap/>
        <w:overflowPunct/>
        <w:topLinePunct w:val="0"/>
        <w:autoSpaceDE/>
        <w:autoSpaceDN/>
        <w:bidi w:val="0"/>
        <w:adjustRightInd/>
        <w:spacing w:line="360" w:lineRule="auto"/>
        <w:ind w:left="0" w:leftChars="0" w:firstLine="422" w:firstLineChars="200"/>
        <w:jc w:val="left"/>
        <w:rPr>
          <w:rFonts w:hint="eastAsia" w:ascii="宋体" w:hAnsi="宋体" w:eastAsia="宋体" w:cs="宋体"/>
          <w:sz w:val="21"/>
          <w:szCs w:val="21"/>
        </w:rPr>
      </w:pPr>
      <w:r>
        <w:rPr>
          <w:rFonts w:hint="eastAsia" w:ascii="宋体" w:hAnsi="宋体" w:eastAsia="宋体" w:cs="宋体"/>
          <w:b/>
          <w:bCs/>
          <w:color w:val="000000"/>
          <w:kern w:val="0"/>
          <w:sz w:val="21"/>
          <w:szCs w:val="21"/>
        </w:rPr>
        <w:t>九、</w:t>
      </w:r>
      <w:r>
        <w:rPr>
          <w:rFonts w:hint="eastAsia" w:ascii="宋体" w:hAnsi="宋体" w:eastAsia="宋体" w:cs="宋体"/>
          <w:color w:val="000000"/>
          <w:kern w:val="0"/>
          <w:sz w:val="21"/>
          <w:szCs w:val="21"/>
        </w:rPr>
        <w:t xml:space="preserve"> </w:t>
      </w:r>
      <w:r>
        <w:rPr>
          <w:rFonts w:hint="eastAsia" w:ascii="宋体" w:hAnsi="宋体" w:eastAsia="宋体" w:cs="宋体"/>
          <w:b/>
          <w:bCs/>
          <w:color w:val="000000"/>
          <w:kern w:val="0"/>
          <w:sz w:val="21"/>
          <w:szCs w:val="21"/>
        </w:rPr>
        <w:t xml:space="preserve">争议解决 </w:t>
      </w:r>
    </w:p>
    <w:p w14:paraId="4D08D398">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eastAsia="zh-CN"/>
        </w:rPr>
        <w:t>（</w:t>
      </w:r>
      <w:r>
        <w:rPr>
          <w:rFonts w:hint="eastAsia" w:ascii="宋体" w:hAnsi="宋体" w:cs="宋体"/>
          <w:color w:val="000000"/>
          <w:kern w:val="0"/>
          <w:sz w:val="21"/>
          <w:szCs w:val="21"/>
          <w:lang w:val="en-US" w:eastAsia="zh-CN"/>
        </w:rPr>
        <w:t>一</w:t>
      </w:r>
      <w:r>
        <w:rPr>
          <w:rFonts w:hint="eastAsia" w:ascii="宋体" w:hAnsi="宋体" w:cs="宋体"/>
          <w:color w:val="000000"/>
          <w:kern w:val="0"/>
          <w:sz w:val="21"/>
          <w:szCs w:val="21"/>
          <w:lang w:eastAsia="zh-CN"/>
        </w:rPr>
        <w:t>）</w:t>
      </w:r>
      <w:r>
        <w:rPr>
          <w:rFonts w:hint="eastAsia" w:ascii="宋体" w:hAnsi="宋体" w:eastAsia="宋体" w:cs="宋体"/>
          <w:color w:val="000000"/>
          <w:kern w:val="0"/>
          <w:sz w:val="21"/>
          <w:szCs w:val="21"/>
        </w:rPr>
        <w:t>本合同在履行过程中发生争议，通过协商解决，协商不成，按以下方式解决：</w:t>
      </w:r>
    </w:p>
    <w:p w14:paraId="512DC5A8">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lang w:val="en-US" w:eastAsia="zh-CN"/>
        </w:rPr>
        <w:t>1.</w:t>
      </w:r>
      <w:r>
        <w:rPr>
          <w:rFonts w:hint="eastAsia" w:ascii="宋体" w:hAnsi="宋体" w:eastAsia="宋体" w:cs="宋体"/>
          <w:color w:val="000000"/>
          <w:kern w:val="0"/>
          <w:sz w:val="21"/>
          <w:szCs w:val="21"/>
        </w:rPr>
        <w:t>向甲方住所地人民法院起诉</w:t>
      </w:r>
      <w:r>
        <w:rPr>
          <w:rFonts w:hint="eastAsia" w:ascii="宋体" w:hAnsi="宋体" w:cs="宋体"/>
          <w:color w:val="000000"/>
          <w:kern w:val="0"/>
          <w:sz w:val="21"/>
          <w:szCs w:val="21"/>
          <w:lang w:eastAsia="zh-CN"/>
        </w:rPr>
        <w:t>；</w:t>
      </w:r>
    </w:p>
    <w:p w14:paraId="411473F5">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val="en-US" w:eastAsia="zh-CN"/>
        </w:rPr>
        <w:t>2.</w:t>
      </w:r>
      <w:r>
        <w:rPr>
          <w:rFonts w:hint="eastAsia" w:ascii="宋体" w:hAnsi="宋体" w:eastAsia="宋体" w:cs="宋体"/>
          <w:color w:val="000000"/>
          <w:kern w:val="0"/>
          <w:sz w:val="21"/>
          <w:szCs w:val="21"/>
        </w:rPr>
        <w:t>乙方对化验数据若有异议，应于供煤批次10日内书面提出复查申请，双方共同提取存查样至贵州省燃煤产品质量监督检验院进行仲裁化验，逾期则以甲方数据为准。仲裁结果若超出国标允许误差，则以仲裁结果为结算依据，仲裁化验费用由甲方承担；仲裁结果若未超出国标允许误差，则以甲方结果为结算依据，仲裁化验费用由乙方承担。</w:t>
      </w:r>
    </w:p>
    <w:p w14:paraId="50E50802">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sz w:val="21"/>
          <w:szCs w:val="21"/>
        </w:rPr>
      </w:pPr>
      <w:r>
        <w:rPr>
          <w:rFonts w:hint="eastAsia" w:ascii="宋体" w:hAnsi="宋体" w:cs="宋体"/>
          <w:color w:val="000000"/>
          <w:kern w:val="0"/>
          <w:sz w:val="21"/>
          <w:szCs w:val="21"/>
          <w:lang w:eastAsia="zh-CN"/>
        </w:rPr>
        <w:t>（</w:t>
      </w:r>
      <w:r>
        <w:rPr>
          <w:rFonts w:hint="eastAsia" w:ascii="宋体" w:hAnsi="宋体" w:cs="宋体"/>
          <w:color w:val="000000"/>
          <w:kern w:val="0"/>
          <w:sz w:val="21"/>
          <w:szCs w:val="21"/>
          <w:lang w:val="en-US" w:eastAsia="zh-CN"/>
        </w:rPr>
        <w:t>二</w:t>
      </w:r>
      <w:r>
        <w:rPr>
          <w:rFonts w:hint="eastAsia" w:ascii="宋体" w:hAnsi="宋体" w:cs="宋体"/>
          <w:color w:val="000000"/>
          <w:kern w:val="0"/>
          <w:sz w:val="21"/>
          <w:szCs w:val="21"/>
          <w:lang w:eastAsia="zh-CN"/>
        </w:rPr>
        <w:t>）</w:t>
      </w:r>
      <w:r>
        <w:rPr>
          <w:rFonts w:hint="eastAsia" w:ascii="宋体" w:hAnsi="宋体" w:eastAsia="宋体" w:cs="宋体"/>
          <w:color w:val="000000"/>
          <w:kern w:val="0"/>
          <w:sz w:val="21"/>
          <w:szCs w:val="21"/>
        </w:rPr>
        <w:t xml:space="preserve">在诉讼或仲裁期间，本合同不涉及争议部分的条款仍须履行。 </w:t>
      </w:r>
    </w:p>
    <w:p w14:paraId="0BBD0EC5">
      <w:pPr>
        <w:keepNext w:val="0"/>
        <w:keepLines w:val="0"/>
        <w:pageBreakBefore w:val="0"/>
        <w:widowControl/>
        <w:kinsoku/>
        <w:wordWrap/>
        <w:overflowPunct/>
        <w:topLinePunct w:val="0"/>
        <w:autoSpaceDE/>
        <w:autoSpaceDN/>
        <w:bidi w:val="0"/>
        <w:adjustRightInd/>
        <w:spacing w:line="360" w:lineRule="auto"/>
        <w:ind w:left="0" w:leftChars="0" w:firstLine="422" w:firstLineChars="200"/>
        <w:jc w:val="left"/>
        <w:rPr>
          <w:rFonts w:hint="eastAsia" w:ascii="宋体" w:hAnsi="宋体" w:eastAsia="宋体" w:cs="宋体"/>
          <w:sz w:val="21"/>
          <w:szCs w:val="21"/>
        </w:rPr>
      </w:pPr>
      <w:r>
        <w:rPr>
          <w:rFonts w:hint="eastAsia" w:ascii="宋体" w:hAnsi="宋体" w:eastAsia="宋体" w:cs="宋体"/>
          <w:b/>
          <w:bCs/>
          <w:color w:val="000000"/>
          <w:kern w:val="0"/>
          <w:sz w:val="21"/>
          <w:szCs w:val="21"/>
        </w:rPr>
        <w:t>十、</w:t>
      </w:r>
      <w:r>
        <w:rPr>
          <w:rFonts w:hint="eastAsia" w:ascii="宋体" w:hAnsi="宋体" w:eastAsia="宋体" w:cs="宋体"/>
          <w:color w:val="000000"/>
          <w:kern w:val="0"/>
          <w:sz w:val="21"/>
          <w:szCs w:val="21"/>
        </w:rPr>
        <w:t xml:space="preserve"> </w:t>
      </w:r>
      <w:r>
        <w:rPr>
          <w:rFonts w:hint="eastAsia" w:ascii="宋体" w:hAnsi="宋体" w:eastAsia="宋体" w:cs="宋体"/>
          <w:b/>
          <w:bCs/>
          <w:color w:val="000000"/>
          <w:kern w:val="0"/>
          <w:sz w:val="21"/>
          <w:szCs w:val="21"/>
        </w:rPr>
        <w:t xml:space="preserve">合同生效及其他 </w:t>
      </w:r>
    </w:p>
    <w:p w14:paraId="5EAA568B">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kern w:val="0"/>
          <w:sz w:val="21"/>
          <w:szCs w:val="21"/>
        </w:rPr>
      </w:pPr>
      <w:r>
        <w:rPr>
          <w:rFonts w:hint="eastAsia" w:ascii="宋体" w:hAnsi="宋体" w:cs="宋体"/>
          <w:color w:val="000000"/>
          <w:kern w:val="0"/>
          <w:sz w:val="21"/>
          <w:szCs w:val="21"/>
          <w:lang w:eastAsia="zh-CN"/>
        </w:rPr>
        <w:t>（</w:t>
      </w:r>
      <w:r>
        <w:rPr>
          <w:rFonts w:hint="eastAsia" w:ascii="宋体" w:hAnsi="宋体" w:cs="宋体"/>
          <w:color w:val="000000"/>
          <w:kern w:val="0"/>
          <w:sz w:val="21"/>
          <w:szCs w:val="21"/>
          <w:lang w:val="en-US" w:eastAsia="zh-CN"/>
        </w:rPr>
        <w:t>一</w:t>
      </w:r>
      <w:r>
        <w:rPr>
          <w:rFonts w:hint="eastAsia" w:ascii="宋体" w:hAnsi="宋体" w:cs="宋体"/>
          <w:color w:val="000000"/>
          <w:kern w:val="0"/>
          <w:sz w:val="21"/>
          <w:szCs w:val="21"/>
          <w:lang w:eastAsia="zh-CN"/>
        </w:rPr>
        <w:t>）</w:t>
      </w:r>
      <w:r>
        <w:rPr>
          <w:rFonts w:hint="eastAsia" w:ascii="宋体" w:hAnsi="宋体" w:eastAsia="宋体" w:cs="宋体"/>
          <w:color w:val="000000"/>
          <w:kern w:val="0"/>
          <w:sz w:val="21"/>
          <w:szCs w:val="21"/>
        </w:rPr>
        <w:t>本合同自双方法定代表人签字或加盖法人章（授权委托人签字）并加盖公章或合同章之日起生效</w:t>
      </w:r>
      <w:r>
        <w:rPr>
          <w:rFonts w:hint="eastAsia" w:ascii="宋体" w:hAnsi="宋体" w:eastAsia="宋体" w:cs="宋体"/>
          <w:kern w:val="0"/>
          <w:sz w:val="21"/>
          <w:szCs w:val="21"/>
        </w:rPr>
        <w:t xml:space="preserve">。 </w:t>
      </w:r>
    </w:p>
    <w:p w14:paraId="7751EF76">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eastAsia="zh-CN"/>
        </w:rPr>
        <w:t>（</w:t>
      </w:r>
      <w:r>
        <w:rPr>
          <w:rFonts w:hint="eastAsia" w:ascii="宋体" w:hAnsi="宋体" w:cs="宋体"/>
          <w:color w:val="000000"/>
          <w:kern w:val="0"/>
          <w:sz w:val="21"/>
          <w:szCs w:val="21"/>
          <w:lang w:val="en-US" w:eastAsia="zh-CN"/>
        </w:rPr>
        <w:t>二</w:t>
      </w:r>
      <w:r>
        <w:rPr>
          <w:rFonts w:hint="eastAsia" w:ascii="宋体" w:hAnsi="宋体" w:cs="宋体"/>
          <w:color w:val="000000"/>
          <w:kern w:val="0"/>
          <w:sz w:val="21"/>
          <w:szCs w:val="21"/>
          <w:lang w:eastAsia="zh-CN"/>
        </w:rPr>
        <w:t>）</w:t>
      </w:r>
      <w:r>
        <w:rPr>
          <w:rFonts w:hint="eastAsia" w:ascii="宋体" w:hAnsi="宋体" w:eastAsia="宋体" w:cs="宋体"/>
          <w:color w:val="000000"/>
          <w:kern w:val="0"/>
          <w:sz w:val="21"/>
          <w:szCs w:val="21"/>
        </w:rPr>
        <w:t>双方约定本合同其他相关事项为：</w:t>
      </w:r>
    </w:p>
    <w:p w14:paraId="1450E56D">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val="en-US" w:eastAsia="zh-CN"/>
        </w:rPr>
        <w:t>1.</w:t>
      </w:r>
      <w:r>
        <w:rPr>
          <w:rFonts w:hint="eastAsia" w:ascii="宋体" w:hAnsi="宋体" w:eastAsia="宋体" w:cs="宋体"/>
          <w:color w:val="000000"/>
          <w:kern w:val="0"/>
          <w:sz w:val="21"/>
          <w:szCs w:val="21"/>
        </w:rPr>
        <w:t>乙方须对当日来煤进行核对，若现场未提出异议的，则不得对任何修改；</w:t>
      </w:r>
    </w:p>
    <w:p w14:paraId="61621F74">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val="en-US" w:eastAsia="zh-CN"/>
        </w:rPr>
        <w:t>2.</w:t>
      </w:r>
      <w:r>
        <w:rPr>
          <w:rFonts w:hint="eastAsia" w:ascii="宋体" w:hAnsi="宋体" w:eastAsia="宋体" w:cs="宋体"/>
          <w:color w:val="000000"/>
          <w:kern w:val="0"/>
          <w:sz w:val="21"/>
          <w:szCs w:val="21"/>
        </w:rPr>
        <w:t>有关本合同的任何修改均应以书面形式做出，并经本合同双方法定代表人或其授权代表签字或加盖法人章（授权委托人签字）并加盖公章或合同章</w:t>
      </w:r>
      <w:r>
        <w:rPr>
          <w:rFonts w:hint="eastAsia" w:ascii="宋体" w:hAnsi="宋体" w:cs="宋体"/>
          <w:color w:val="000000"/>
          <w:kern w:val="0"/>
          <w:sz w:val="21"/>
          <w:szCs w:val="21"/>
          <w:lang w:val="en-US" w:eastAsia="zh-CN"/>
        </w:rPr>
        <w:t>后</w:t>
      </w:r>
      <w:r>
        <w:rPr>
          <w:rFonts w:hint="eastAsia" w:ascii="宋体" w:hAnsi="宋体" w:eastAsia="宋体" w:cs="宋体"/>
          <w:color w:val="000000"/>
          <w:kern w:val="0"/>
          <w:sz w:val="21"/>
          <w:szCs w:val="21"/>
        </w:rPr>
        <w:t>生效；</w:t>
      </w:r>
    </w:p>
    <w:p w14:paraId="4D20E170">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val="en-US" w:eastAsia="zh-CN"/>
        </w:rPr>
        <w:t>3.</w:t>
      </w:r>
      <w:r>
        <w:rPr>
          <w:rFonts w:hint="eastAsia" w:ascii="宋体" w:hAnsi="宋体" w:eastAsia="宋体" w:cs="宋体"/>
          <w:color w:val="000000"/>
          <w:kern w:val="0"/>
          <w:sz w:val="21"/>
          <w:szCs w:val="21"/>
        </w:rPr>
        <w:t>本合同任何条款的无效，除导致该条款及与该无效条款相关的条款无效外，不应影响本合同任何其它条款的效力；</w:t>
      </w:r>
    </w:p>
    <w:p w14:paraId="1E01C8A1">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val="en-US" w:eastAsia="zh-CN"/>
        </w:rPr>
        <w:t>4.</w:t>
      </w:r>
      <w:r>
        <w:rPr>
          <w:rFonts w:hint="eastAsia" w:ascii="宋体" w:hAnsi="宋体" w:eastAsia="宋体" w:cs="宋体"/>
          <w:color w:val="000000"/>
          <w:kern w:val="0"/>
          <w:sz w:val="21"/>
          <w:szCs w:val="21"/>
        </w:rPr>
        <w:t>本合同构成双方就本合同标的事宜达成的全部协议，并取代此前就该标的事宜所达成的所有书面或口头的协议，合同或其他形式的文件；</w:t>
      </w:r>
    </w:p>
    <w:p w14:paraId="34D7F6E5">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val="en-US" w:eastAsia="zh-CN"/>
        </w:rPr>
        <w:t>5.</w:t>
      </w:r>
      <w:r>
        <w:rPr>
          <w:rFonts w:hint="eastAsia" w:ascii="宋体" w:hAnsi="宋体" w:eastAsia="宋体" w:cs="宋体"/>
          <w:color w:val="000000"/>
          <w:kern w:val="0"/>
          <w:sz w:val="21"/>
          <w:szCs w:val="21"/>
        </w:rPr>
        <w:t>任何一方如需将其在本合同下的任何权利或义务转让给第三方均需征得对方的书面同意；</w:t>
      </w:r>
    </w:p>
    <w:p w14:paraId="06328422">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val="en-US" w:eastAsia="zh-CN"/>
        </w:rPr>
        <w:t>6.</w:t>
      </w:r>
      <w:r>
        <w:rPr>
          <w:rFonts w:hint="eastAsia" w:ascii="宋体" w:hAnsi="宋体" w:eastAsia="宋体" w:cs="宋体"/>
          <w:color w:val="000000"/>
          <w:kern w:val="0"/>
          <w:sz w:val="21"/>
          <w:szCs w:val="21"/>
        </w:rPr>
        <w:t>本合同对双方的任何承继者和经允许的受让人亦具有约束力,该承继者或受让人应承担出让方在本合同下的所有责任和义务,如同其为本合同的原始签订者一样；</w:t>
      </w:r>
    </w:p>
    <w:p w14:paraId="7E1F835D">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val="en-US" w:eastAsia="zh-CN"/>
        </w:rPr>
        <w:t>7.</w:t>
      </w:r>
      <w:r>
        <w:rPr>
          <w:rFonts w:hint="eastAsia" w:ascii="宋体" w:hAnsi="宋体" w:eastAsia="宋体" w:cs="宋体"/>
          <w:color w:val="000000"/>
          <w:kern w:val="0"/>
          <w:sz w:val="21"/>
          <w:szCs w:val="21"/>
        </w:rPr>
        <w:t>双方之间有关本合同的任何通知应以电子邮件的方式进行确认。相关通知及函一旦成功发送至乙方指定邮箱,即视为其确认收到；</w:t>
      </w:r>
    </w:p>
    <w:p w14:paraId="1FD622E9">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val="en-US" w:eastAsia="zh-CN"/>
        </w:rPr>
        <w:t>8.</w:t>
      </w:r>
      <w:r>
        <w:rPr>
          <w:rFonts w:hint="eastAsia" w:ascii="宋体" w:hAnsi="宋体" w:eastAsia="宋体" w:cs="宋体"/>
          <w:color w:val="000000"/>
          <w:kern w:val="0"/>
          <w:sz w:val="21"/>
          <w:szCs w:val="21"/>
        </w:rPr>
        <w:t>乙方在供煤过程中必须全程覆盖抑尘网进厂；</w:t>
      </w:r>
    </w:p>
    <w:p w14:paraId="7AC094F9">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val="en-US" w:eastAsia="zh-CN"/>
        </w:rPr>
        <w:t>9.</w:t>
      </w:r>
      <w:r>
        <w:rPr>
          <w:rFonts w:hint="eastAsia" w:ascii="宋体" w:hAnsi="宋体" w:eastAsia="宋体" w:cs="宋体"/>
          <w:color w:val="000000"/>
          <w:kern w:val="0"/>
          <w:sz w:val="21"/>
          <w:szCs w:val="21"/>
        </w:rPr>
        <w:t>司乘人员必须遵守交规，进入厂区后要遵守厂规厂纪，遵守XX有限责任公司汽车运输接卸制度，途中和在甲方区域内发生一切事故均由乙方自负，与甲方无关；</w:t>
      </w:r>
    </w:p>
    <w:p w14:paraId="42531B6E">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val="en-US" w:eastAsia="zh-CN"/>
        </w:rPr>
        <w:t>10.</w:t>
      </w:r>
      <w:r>
        <w:rPr>
          <w:rFonts w:hint="eastAsia" w:ascii="宋体" w:hAnsi="宋体" w:eastAsia="宋体" w:cs="宋体"/>
          <w:color w:val="000000"/>
          <w:kern w:val="0"/>
          <w:sz w:val="21"/>
          <w:szCs w:val="21"/>
        </w:rPr>
        <w:t>乙方不得采用前后轮距超过11.8米的拖挂车进行运输，不得采用平板车进行运输、不得组织民工进行卸煤，若私自使用平板车运输则甲方有权拒绝入厂卸车；</w:t>
      </w:r>
    </w:p>
    <w:p w14:paraId="2C7C5F25">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val="en-US" w:eastAsia="zh-CN"/>
        </w:rPr>
        <w:t>11.</w:t>
      </w:r>
      <w:r>
        <w:rPr>
          <w:rFonts w:hint="eastAsia" w:ascii="宋体" w:hAnsi="宋体" w:eastAsia="宋体" w:cs="宋体"/>
          <w:color w:val="000000"/>
          <w:kern w:val="0"/>
          <w:sz w:val="21"/>
          <w:szCs w:val="21"/>
        </w:rPr>
        <w:t>本合同一式</w:t>
      </w:r>
      <w:r>
        <w:rPr>
          <w:rFonts w:hint="eastAsia" w:ascii="宋体" w:hAnsi="宋体" w:cs="宋体"/>
          <w:color w:val="000000"/>
          <w:kern w:val="0"/>
          <w:sz w:val="21"/>
          <w:szCs w:val="21"/>
          <w:lang w:val="en-US" w:eastAsia="zh-CN"/>
        </w:rPr>
        <w:t>七</w:t>
      </w:r>
      <w:r>
        <w:rPr>
          <w:rFonts w:hint="eastAsia" w:ascii="宋体" w:hAnsi="宋体" w:eastAsia="宋体" w:cs="宋体"/>
          <w:color w:val="000000"/>
          <w:kern w:val="0"/>
          <w:sz w:val="21"/>
          <w:szCs w:val="21"/>
        </w:rPr>
        <w:t>份，甲方执四份，乙方</w:t>
      </w:r>
      <w:r>
        <w:rPr>
          <w:rFonts w:hint="eastAsia" w:ascii="宋体" w:hAnsi="宋体" w:cs="宋体"/>
          <w:color w:val="000000"/>
          <w:kern w:val="0"/>
          <w:sz w:val="21"/>
          <w:szCs w:val="21"/>
          <w:lang w:val="en-US" w:eastAsia="zh-CN"/>
        </w:rPr>
        <w:t>三</w:t>
      </w:r>
      <w:r>
        <w:rPr>
          <w:rFonts w:hint="eastAsia" w:ascii="宋体" w:hAnsi="宋体" w:eastAsia="宋体" w:cs="宋体"/>
          <w:color w:val="000000"/>
          <w:kern w:val="0"/>
          <w:sz w:val="21"/>
          <w:szCs w:val="21"/>
        </w:rPr>
        <w:t>份，</w:t>
      </w:r>
      <w:r>
        <w:rPr>
          <w:rFonts w:hint="eastAsia" w:ascii="宋体" w:hAnsi="宋体" w:eastAsia="宋体" w:cs="宋体"/>
          <w:color w:val="000000"/>
          <w:kern w:val="0"/>
          <w:sz w:val="21"/>
          <w:szCs w:val="21"/>
          <w:lang w:val="en-US" w:eastAsia="zh-CN"/>
        </w:rPr>
        <w:t>合同附件双方</w:t>
      </w:r>
      <w:r>
        <w:rPr>
          <w:rFonts w:hint="eastAsia" w:ascii="宋体" w:hAnsi="宋体" w:eastAsia="宋体" w:cs="宋体"/>
          <w:color w:val="000000"/>
          <w:kern w:val="0"/>
          <w:sz w:val="21"/>
          <w:szCs w:val="21"/>
        </w:rPr>
        <w:t>各</w:t>
      </w:r>
      <w:r>
        <w:rPr>
          <w:rFonts w:hint="eastAsia" w:ascii="宋体" w:hAnsi="宋体" w:eastAsia="宋体" w:cs="宋体"/>
          <w:color w:val="000000"/>
          <w:kern w:val="0"/>
          <w:sz w:val="21"/>
          <w:szCs w:val="21"/>
          <w:lang w:val="en-US" w:eastAsia="zh-CN"/>
        </w:rPr>
        <w:t>执</w:t>
      </w:r>
      <w:r>
        <w:rPr>
          <w:rFonts w:hint="eastAsia" w:ascii="宋体" w:hAnsi="宋体" w:cs="宋体"/>
          <w:color w:val="000000"/>
          <w:kern w:val="0"/>
          <w:sz w:val="21"/>
          <w:szCs w:val="21"/>
          <w:lang w:val="en-US" w:eastAsia="zh-CN"/>
        </w:rPr>
        <w:t>一</w:t>
      </w:r>
      <w:r>
        <w:rPr>
          <w:rFonts w:hint="eastAsia" w:ascii="宋体" w:hAnsi="宋体" w:eastAsia="宋体" w:cs="宋体"/>
          <w:color w:val="000000"/>
          <w:kern w:val="0"/>
          <w:sz w:val="21"/>
          <w:szCs w:val="21"/>
        </w:rPr>
        <w:t>份</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均具有同等法律效力。</w:t>
      </w:r>
    </w:p>
    <w:p w14:paraId="42E6C5DB">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eastAsia="zh-CN"/>
        </w:rPr>
        <w:t>（</w:t>
      </w:r>
      <w:r>
        <w:rPr>
          <w:rFonts w:hint="eastAsia" w:ascii="宋体" w:hAnsi="宋体" w:cs="宋体"/>
          <w:color w:val="000000"/>
          <w:kern w:val="0"/>
          <w:sz w:val="21"/>
          <w:szCs w:val="21"/>
          <w:lang w:val="en-US" w:eastAsia="zh-CN"/>
        </w:rPr>
        <w:t>三</w:t>
      </w:r>
      <w:r>
        <w:rPr>
          <w:rFonts w:hint="eastAsia" w:ascii="宋体" w:hAnsi="宋体" w:cs="宋体"/>
          <w:color w:val="000000"/>
          <w:kern w:val="0"/>
          <w:sz w:val="21"/>
          <w:szCs w:val="21"/>
          <w:lang w:eastAsia="zh-CN"/>
        </w:rPr>
        <w:t>）</w:t>
      </w:r>
      <w:r>
        <w:rPr>
          <w:rFonts w:hint="eastAsia" w:ascii="宋体" w:hAnsi="宋体" w:eastAsia="宋体" w:cs="宋体"/>
          <w:color w:val="000000"/>
          <w:kern w:val="0"/>
          <w:sz w:val="21"/>
          <w:szCs w:val="21"/>
        </w:rPr>
        <w:t xml:space="preserve">以上条款请双方认真阅读，一经签字确认视为同意本合同条款。 </w:t>
      </w:r>
    </w:p>
    <w:p w14:paraId="70B94C4A">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eastAsia="zh-CN"/>
        </w:rPr>
        <w:t>（</w:t>
      </w:r>
      <w:r>
        <w:rPr>
          <w:rFonts w:hint="eastAsia" w:ascii="宋体" w:hAnsi="宋体" w:cs="宋体"/>
          <w:color w:val="000000"/>
          <w:kern w:val="0"/>
          <w:sz w:val="21"/>
          <w:szCs w:val="21"/>
          <w:lang w:val="en-US" w:eastAsia="zh-CN"/>
        </w:rPr>
        <w:t>四</w:t>
      </w:r>
      <w:r>
        <w:rPr>
          <w:rFonts w:hint="eastAsia" w:ascii="宋体" w:hAnsi="宋体" w:cs="宋体"/>
          <w:color w:val="000000"/>
          <w:kern w:val="0"/>
          <w:sz w:val="21"/>
          <w:szCs w:val="21"/>
          <w:lang w:eastAsia="zh-CN"/>
        </w:rPr>
        <w:t>）</w:t>
      </w:r>
      <w:r>
        <w:rPr>
          <w:rFonts w:hint="eastAsia" w:ascii="宋体" w:hAnsi="宋体" w:eastAsia="宋体" w:cs="宋体"/>
          <w:color w:val="000000"/>
          <w:kern w:val="0"/>
          <w:sz w:val="21"/>
          <w:szCs w:val="21"/>
        </w:rPr>
        <w:t xml:space="preserve"> 本合同中的未尽事宜可由双方签订补充协议另行补充约定。</w:t>
      </w:r>
    </w:p>
    <w:p w14:paraId="764A57B8">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（五）</w:t>
      </w:r>
      <w:r>
        <w:rPr>
          <w:rFonts w:hint="eastAsia" w:ascii="宋体" w:hAnsi="宋体" w:eastAsia="宋体" w:cs="宋体"/>
          <w:color w:val="000000"/>
          <w:kern w:val="0"/>
          <w:sz w:val="21"/>
          <w:szCs w:val="21"/>
          <w:lang w:val="en-US" w:eastAsia="zh-CN"/>
        </w:rPr>
        <w:t>附件</w:t>
      </w:r>
    </w:p>
    <w:p w14:paraId="7366C0B2">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附件1：</w:t>
      </w:r>
      <w:r>
        <w:rPr>
          <w:rFonts w:hint="eastAsia" w:ascii="宋体" w:hAnsi="宋体" w:eastAsia="宋体" w:cs="宋体"/>
          <w:color w:val="000000"/>
          <w:kern w:val="0"/>
          <w:sz w:val="21"/>
          <w:szCs w:val="21"/>
        </w:rPr>
        <w:t>贵州钟山野马寨热电有限责任公司</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安全生产管理协议书</w:t>
      </w:r>
      <w:r>
        <w:rPr>
          <w:rFonts w:hint="eastAsia" w:ascii="宋体" w:hAnsi="宋体" w:eastAsia="宋体" w:cs="宋体"/>
          <w:color w:val="000000"/>
          <w:kern w:val="0"/>
          <w:sz w:val="21"/>
          <w:szCs w:val="21"/>
          <w:lang w:eastAsia="zh-CN"/>
        </w:rPr>
        <w:t>》</w:t>
      </w:r>
    </w:p>
    <w:p w14:paraId="69709F05">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附件2：</w:t>
      </w:r>
      <w:r>
        <w:rPr>
          <w:rFonts w:hint="eastAsia" w:ascii="宋体" w:hAnsi="宋体" w:eastAsia="宋体" w:cs="宋体"/>
          <w:color w:val="000000"/>
          <w:kern w:val="0"/>
          <w:sz w:val="21"/>
          <w:szCs w:val="21"/>
        </w:rPr>
        <w:t>贵州钟山野马寨热电有限责任公司</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lang w:val="en-US" w:eastAsia="zh-CN"/>
        </w:rPr>
        <w:t>廉洁协议》</w:t>
      </w:r>
    </w:p>
    <w:p w14:paraId="72F1CDDA">
      <w:pPr>
        <w:pStyle w:val="8"/>
        <w:keepNext w:val="0"/>
        <w:keepLines w:val="0"/>
        <w:pageBreakBefore w:val="0"/>
        <w:kinsoku/>
        <w:wordWrap/>
        <w:overflowPunct/>
        <w:topLinePunct w:val="0"/>
        <w:autoSpaceDE/>
        <w:autoSpaceDN/>
        <w:bidi w:val="0"/>
        <w:adjustRightInd/>
        <w:spacing w:line="360" w:lineRule="auto"/>
        <w:ind w:left="0" w:leftChars="0"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附件3：</w:t>
      </w:r>
      <w:r>
        <w:rPr>
          <w:rFonts w:hint="eastAsia" w:ascii="宋体" w:hAnsi="宋体" w:eastAsia="宋体" w:cs="宋体"/>
          <w:color w:val="000000"/>
          <w:kern w:val="0"/>
          <w:sz w:val="21"/>
          <w:szCs w:val="21"/>
          <w:lang w:val="zh-CN"/>
        </w:rPr>
        <w:t>贵州钟山野马寨热电有限责任公司《入厂煤煤质异常及纠纷处理</w:t>
      </w:r>
      <w:r>
        <w:rPr>
          <w:rFonts w:hint="eastAsia" w:ascii="宋体" w:hAnsi="宋体" w:eastAsia="宋体" w:cs="宋体"/>
          <w:color w:val="000000"/>
          <w:kern w:val="0"/>
          <w:sz w:val="21"/>
          <w:szCs w:val="21"/>
          <w:lang w:val="en-US" w:eastAsia="zh-CN"/>
        </w:rPr>
        <w:t>办法》</w:t>
      </w:r>
    </w:p>
    <w:p w14:paraId="2515218B">
      <w:pPr>
        <w:pStyle w:val="8"/>
        <w:keepNext w:val="0"/>
        <w:keepLines w:val="0"/>
        <w:pageBreakBefore w:val="0"/>
        <w:kinsoku/>
        <w:wordWrap/>
        <w:overflowPunct/>
        <w:topLinePunct w:val="0"/>
        <w:autoSpaceDE/>
        <w:autoSpaceDN/>
        <w:bidi w:val="0"/>
        <w:adjustRightInd/>
        <w:spacing w:line="360" w:lineRule="auto"/>
        <w:ind w:left="0" w:leftChars="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（以下无正文，下接签署页）</w:t>
      </w:r>
    </w:p>
    <w:p w14:paraId="59B25D7B">
      <w:pP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br w:type="page"/>
      </w:r>
    </w:p>
    <w:p w14:paraId="44B91E03">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签署页：</w:t>
      </w:r>
    </w:p>
    <w:p w14:paraId="095858FD">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p>
    <w:p w14:paraId="7EADFA5B">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p>
    <w:p w14:paraId="6660D654">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p>
    <w:p w14:paraId="4EFDABFF">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甲方：XX有限公司（公章）                               </w:t>
      </w:r>
    </w:p>
    <w:p w14:paraId="3E660F2A">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法定代表人或授权代理人（签字</w:t>
      </w:r>
      <w:r>
        <w:rPr>
          <w:rFonts w:hint="eastAsia" w:ascii="宋体" w:hAnsi="宋体" w:cs="宋体"/>
          <w:color w:val="000000"/>
          <w:kern w:val="0"/>
          <w:sz w:val="21"/>
          <w:szCs w:val="21"/>
          <w:lang w:val="en-US" w:eastAsia="zh-CN"/>
        </w:rPr>
        <w:t>或盖法人章</w:t>
      </w:r>
      <w:r>
        <w:rPr>
          <w:rFonts w:hint="eastAsia" w:ascii="宋体" w:hAnsi="宋体" w:eastAsia="宋体" w:cs="宋体"/>
          <w:color w:val="000000"/>
          <w:kern w:val="0"/>
          <w:sz w:val="21"/>
          <w:szCs w:val="21"/>
        </w:rPr>
        <w:t>）：</w:t>
      </w:r>
      <w:r>
        <w:rPr>
          <w:rFonts w:hint="eastAsia" w:ascii="宋体" w:hAnsi="宋体" w:cs="宋体"/>
          <w:color w:val="000000"/>
          <w:kern w:val="0"/>
          <w:sz w:val="21"/>
          <w:szCs w:val="21"/>
          <w:u w:val="single"/>
          <w:lang w:val="en-US" w:eastAsia="zh-CN"/>
        </w:rPr>
        <w:t xml:space="preserve">                 </w:t>
      </w:r>
      <w:r>
        <w:rPr>
          <w:rFonts w:hint="eastAsia" w:ascii="宋体" w:hAnsi="宋体" w:cs="宋体"/>
          <w:color w:val="000000"/>
          <w:kern w:val="0"/>
          <w:sz w:val="21"/>
          <w:szCs w:val="21"/>
          <w:lang w:val="en-US" w:eastAsia="zh-CN"/>
        </w:rPr>
        <w:t xml:space="preserve">   </w:t>
      </w:r>
      <w:r>
        <w:rPr>
          <w:rFonts w:hint="eastAsia" w:ascii="宋体" w:hAnsi="宋体" w:eastAsia="宋体" w:cs="宋体"/>
          <w:color w:val="000000"/>
          <w:kern w:val="0"/>
          <w:sz w:val="21"/>
          <w:szCs w:val="21"/>
        </w:rPr>
        <w:t xml:space="preserve">                               </w:t>
      </w:r>
    </w:p>
    <w:p w14:paraId="0BD59165">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税号：</w:t>
      </w:r>
    </w:p>
    <w:p w14:paraId="7CEA789B">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地址及电话：</w:t>
      </w:r>
    </w:p>
    <w:p w14:paraId="3E562380">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开户行及账号：        </w:t>
      </w:r>
    </w:p>
    <w:p w14:paraId="203B8F6C">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联系人：</w:t>
      </w:r>
      <w:r>
        <w:rPr>
          <w:rFonts w:hint="eastAsia" w:ascii="宋体" w:hAnsi="宋体" w:eastAsia="宋体" w:cs="宋体"/>
          <w:color w:val="000000"/>
          <w:kern w:val="0"/>
          <w:sz w:val="21"/>
          <w:szCs w:val="21"/>
        </w:rPr>
        <w:tab/>
      </w:r>
      <w:r>
        <w:rPr>
          <w:rFonts w:hint="eastAsia" w:ascii="宋体" w:hAnsi="宋体" w:eastAsia="宋体" w:cs="宋体"/>
          <w:color w:val="000000"/>
          <w:kern w:val="0"/>
          <w:sz w:val="21"/>
          <w:szCs w:val="21"/>
        </w:rPr>
        <w:t xml:space="preserve">        </w:t>
      </w:r>
    </w:p>
    <w:p w14:paraId="0ADE975B">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联系电话：</w:t>
      </w:r>
    </w:p>
    <w:p w14:paraId="09547CEB">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签订日期：</w:t>
      </w:r>
    </w:p>
    <w:p w14:paraId="751A47D3">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p>
    <w:p w14:paraId="3EB383FF">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p>
    <w:p w14:paraId="4BFE2773">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乙方：XX有限公司（公章）                        </w:t>
      </w:r>
    </w:p>
    <w:p w14:paraId="3F6A856C">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法定代表人或授权代理人（签字</w:t>
      </w:r>
      <w:r>
        <w:rPr>
          <w:rFonts w:hint="eastAsia" w:ascii="宋体" w:hAnsi="宋体" w:cs="宋体"/>
          <w:color w:val="000000"/>
          <w:kern w:val="0"/>
          <w:sz w:val="21"/>
          <w:szCs w:val="21"/>
          <w:lang w:val="en-US" w:eastAsia="zh-CN"/>
        </w:rPr>
        <w:t>或盖法人章</w:t>
      </w:r>
      <w:r>
        <w:rPr>
          <w:rFonts w:hint="eastAsia" w:ascii="宋体" w:hAnsi="宋体" w:eastAsia="宋体" w:cs="宋体"/>
          <w:color w:val="000000"/>
          <w:kern w:val="0"/>
          <w:sz w:val="21"/>
          <w:szCs w:val="21"/>
        </w:rPr>
        <w:t>）：</w:t>
      </w:r>
      <w:r>
        <w:rPr>
          <w:rFonts w:hint="eastAsia" w:ascii="宋体" w:hAnsi="宋体" w:cs="宋体"/>
          <w:color w:val="000000"/>
          <w:kern w:val="0"/>
          <w:sz w:val="21"/>
          <w:szCs w:val="21"/>
          <w:u w:val="single"/>
          <w:lang w:val="en-US" w:eastAsia="zh-CN"/>
        </w:rPr>
        <w:t xml:space="preserve">                 </w:t>
      </w:r>
      <w:r>
        <w:rPr>
          <w:rFonts w:hint="eastAsia" w:ascii="宋体" w:hAnsi="宋体" w:eastAsia="宋体" w:cs="宋体"/>
          <w:color w:val="000000"/>
          <w:kern w:val="0"/>
          <w:sz w:val="21"/>
          <w:szCs w:val="21"/>
        </w:rPr>
        <w:t xml:space="preserve">                          </w:t>
      </w:r>
    </w:p>
    <w:p w14:paraId="0EDA6E6C">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开户银行：</w:t>
      </w:r>
    </w:p>
    <w:p w14:paraId="07CAD6DE">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开户账号：</w:t>
      </w:r>
    </w:p>
    <w:p w14:paraId="3C3C4184">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纳税识别号：</w:t>
      </w:r>
    </w:p>
    <w:p w14:paraId="2862C881">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联系人： </w:t>
      </w:r>
    </w:p>
    <w:p w14:paraId="3A1AD3F7">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联系电话：</w:t>
      </w:r>
    </w:p>
    <w:p w14:paraId="75E40746">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签订日期：</w:t>
      </w:r>
    </w:p>
    <w:p w14:paraId="085FFACA">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sectPr>
          <w:footerReference r:id="rId6" w:type="default"/>
          <w:pgSz w:w="11906" w:h="16838"/>
          <w:pgMar w:top="1440" w:right="1800" w:bottom="1440" w:left="1800" w:header="851" w:footer="992" w:gutter="0"/>
          <w:pgNumType w:fmt="decimal" w:start="1"/>
          <w:cols w:space="425" w:num="1"/>
          <w:docGrid w:type="lines" w:linePitch="312" w:charSpace="0"/>
        </w:sectPr>
      </w:pPr>
    </w:p>
    <w:p w14:paraId="20C1F4BF">
      <w:pPr>
        <w:spacing w:line="300" w:lineRule="auto"/>
        <w:jc w:val="left"/>
        <w:rPr>
          <w:rFonts w:hint="eastAsia" w:ascii="黑体" w:hAnsi="黑体" w:eastAsia="黑体" w:cs="黑体"/>
          <w:sz w:val="28"/>
          <w:szCs w:val="28"/>
          <w:lang w:val="en-US" w:eastAsia="zh-CN"/>
        </w:rPr>
      </w:pPr>
      <w:bookmarkStart w:id="27" w:name="_Toc11294"/>
      <w:r>
        <w:rPr>
          <w:rFonts w:hint="eastAsia" w:ascii="黑体" w:hAnsi="黑体" w:eastAsia="黑体" w:cs="黑体"/>
          <w:sz w:val="28"/>
          <w:szCs w:val="28"/>
          <w:lang w:val="en-US" w:eastAsia="zh-CN"/>
        </w:rPr>
        <w:t>附件1：</w:t>
      </w:r>
    </w:p>
    <w:p w14:paraId="6039F395">
      <w:pPr>
        <w:spacing w:line="300" w:lineRule="auto"/>
        <w:jc w:val="center"/>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贵州钟山野马寨热电有限责任公司</w:t>
      </w:r>
    </w:p>
    <w:p w14:paraId="43383005">
      <w:pPr>
        <w:spacing w:line="300" w:lineRule="auto"/>
        <w:jc w:val="center"/>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安全生产管理协议书</w:t>
      </w:r>
    </w:p>
    <w:p w14:paraId="55013DB1">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p>
    <w:p w14:paraId="46C0E227">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合同名称：贵州钟山野马寨热电有限责任公司燃煤采购项目合同</w:t>
      </w:r>
    </w:p>
    <w:p w14:paraId="0A81F07D">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合同编号：ZSRD-RL-2025-</w:t>
      </w:r>
      <w:r>
        <w:rPr>
          <w:rFonts w:hint="eastAsia" w:hAnsi="宋体" w:cs="宋体"/>
          <w:color w:val="auto"/>
          <w:sz w:val="21"/>
          <w:szCs w:val="21"/>
          <w:lang w:val="en-US" w:eastAsia="zh-CN"/>
        </w:rPr>
        <w:t>XXX</w:t>
      </w:r>
    </w:p>
    <w:p w14:paraId="278D7F50">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甲    方：贵州钟山野马寨热电有限责任公司</w:t>
      </w:r>
    </w:p>
    <w:p w14:paraId="3EA85AE0">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乙    方：</w:t>
      </w:r>
      <w:r>
        <w:rPr>
          <w:rFonts w:hint="eastAsia" w:hAnsi="宋体" w:cs="宋体"/>
          <w:color w:val="auto"/>
          <w:sz w:val="21"/>
          <w:szCs w:val="21"/>
          <w:lang w:val="en-US" w:eastAsia="zh-CN"/>
        </w:rPr>
        <w:t>XXXXXXXX</w:t>
      </w:r>
      <w:r>
        <w:rPr>
          <w:rFonts w:hint="eastAsia" w:ascii="宋体" w:hAnsi="宋体" w:eastAsia="宋体" w:cs="宋体"/>
          <w:color w:val="auto"/>
          <w:sz w:val="21"/>
          <w:szCs w:val="21"/>
          <w:lang w:val="en-US" w:eastAsia="zh-CN"/>
        </w:rPr>
        <w:t>公司</w:t>
      </w:r>
    </w:p>
    <w:p w14:paraId="06964D1F">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p>
    <w:p w14:paraId="30D3024A">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鉴于甲乙双方签订燃煤购销合同，甲方是电力生产企业，需要采购燃煤作为发电的主要原料，乙方是燃煤供应商，有能力向甲方提供所需的燃煤。为了明确双方的权利和义务，确保燃煤供应的顺利进行。同时为贯彻“安全第一、预防为主、综合治理”的安全生产方针，明确甲、乙双方的安全责任，提高野马寨电厂现场安全文明管理水平，保障电厂及从业人员的安全，根据国家有关法律法规及双方行业有关安全文明管理的规程、规定，结合本项目的特点，经甲、乙双方协商，达成如下协议。</w:t>
      </w:r>
    </w:p>
    <w:p w14:paraId="7D89FD97">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一、协议目的</w:t>
      </w:r>
    </w:p>
    <w:p w14:paraId="4389CA03">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本协议旨在确保燃煤供应过程中的环保、安全等，预防并减少因燃煤供应不当而可能引发的各类安全事故，保障双方的生产及运输安全。</w:t>
      </w:r>
    </w:p>
    <w:p w14:paraId="7D362D66">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二、甲方的责任</w:t>
      </w:r>
    </w:p>
    <w:p w14:paraId="20D654CB">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（一）甲方需向乙方提供明确的燃煤需求和质量要求，确保乙方能够按照要求供应燃煤。</w:t>
      </w:r>
    </w:p>
    <w:p w14:paraId="15264FED">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（二）甲方告知乙方运输车辆入厂管理规定；乙方人员应遵守入厂如下告知注意事项：</w:t>
      </w:r>
    </w:p>
    <w:p w14:paraId="126476F6">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1.乙方运煤司机要严格遵守甲方公司管理规定，服从现场工作人员的安排，不发生插队、阻塞通道、打架斗殴等违反甲方公司规章制度的行为。</w:t>
      </w:r>
    </w:p>
    <w:p w14:paraId="2D3CA48E">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2.乙方司机对现场管理或值班人员进行辱骂、威胁等人身攻击行为，影响恶劣者将按照甲方公司制度严重处理，并将车辆拉入黑名单。</w:t>
      </w:r>
    </w:p>
    <w:p w14:paraId="2CEC42E3">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3.乙方人员进入厂区必须正确佩戴安全帽，穿戴带反光标识的衣服，不得穿凉鞋、拖鞋、高跟鞋等。</w:t>
      </w:r>
    </w:p>
    <w:p w14:paraId="25895E17">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4.严禁乙方司机带无关人员进入厂区，生产现场禁止吸烟。</w:t>
      </w:r>
    </w:p>
    <w:p w14:paraId="53B5781F">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5.严禁酒后驾驶车辆，不得在卸料时吸烟、饮食、打电话或有其他影响安全卸料的行为。</w:t>
      </w:r>
    </w:p>
    <w:p w14:paraId="65BAF662">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6.身体过度疲劳或患病有碍行车安全时，不得驾驶车辆进厂。</w:t>
      </w:r>
    </w:p>
    <w:p w14:paraId="7403088F">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7.乙方车辆出厂前，必须对车身、轮胎进行彻底冲洗才能出厂。8.乙方车辆进入厂区应提前减速，最高行驶速度5km/h。</w:t>
      </w:r>
    </w:p>
    <w:p w14:paraId="70429085">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9.乙方车辆上汽车衡前应关闭车辆各外排水，过磅时，车辆停稳后熄火、下车，人不得站在秤台上，称重完成后车辆再驶离秤台。</w:t>
      </w:r>
    </w:p>
    <w:p w14:paraId="63C1CC87">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10.司机必须配合计量、采样人员对车辆进行检查。</w:t>
      </w:r>
    </w:p>
    <w:p w14:paraId="5570F4DB">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11.运煤司机、供应商代表不得干扰计量、采制工作。</w:t>
      </w:r>
    </w:p>
    <w:p w14:paraId="4BD8C7DD">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12.乙方运煤司机及供应商禁止在现场拍照；处理纠纷时，可以对处理的煤样、采样情况拍照，但不得针对采样人员、监督人员拍照。</w:t>
      </w:r>
    </w:p>
    <w:p w14:paraId="79960F6D">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13.乙方运煤车辆在货箱底部有余煤未卸干净时，不得以急倒车的方式卸余煤，以免发生人身及车辆事故，货箱底部余煤由司机开到指定地点用铲子卸尽。 </w:t>
      </w:r>
    </w:p>
    <w:p w14:paraId="1D9378AC">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14.乙方运输车辆禁止以排水等方式减少车辆皮重的行为，若经发现，扣除5吨/次，按煤价（元/吨）从运输费用里扣除。</w:t>
      </w:r>
    </w:p>
    <w:p w14:paraId="1FFF6129">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15.司机不得在现场扎堆、影响现场生产工作；不准离开规定区域，进入其他生产现场。</w:t>
      </w:r>
    </w:p>
    <w:p w14:paraId="5134741F">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16.煤场卸煤时，司机在卸煤过程中要与工程机械设备保持一定的安全距离。</w:t>
      </w:r>
    </w:p>
    <w:p w14:paraId="3E9991DD">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17.司机在生产现场撞毁、损坏现场设施、设备及建筑物等，按原价进行赔偿。</w:t>
      </w:r>
    </w:p>
    <w:p w14:paraId="4593BA11">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18.运输通行卡（IC卡）由燃料部现场统一制卡，每张IC卡对应一辆车和车牌号。车辆进厂后进行制卡（要求司机必须持有来煤户头：公司全称），制完卡后，司机进行刷卡过磅、卸煤除皮后司机返还IC卡。</w:t>
      </w:r>
    </w:p>
    <w:p w14:paraId="4E217134">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19.运输通行卡（IC卡）发放后，因个人原因遗失或损坏，司机按原价赔偿50元/张。</w:t>
      </w:r>
    </w:p>
    <w:p w14:paraId="4354E0CD">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三）甲方为了确保煤场现场安全、规范管理和汽车卸煤工作的顺利进行，防止人身伤害和车辆损坏事故的发生，根据公司规章制度的相关规定和煤场实际情况要求，制定煤车进、出煤场的汽车卸煤安全防范措施及管理规定，乙方人员应遵守甲方安全防范措施及管理规定：</w:t>
      </w:r>
    </w:p>
    <w:p w14:paraId="75B44DCF">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乙方相关人员及司机必须严格遵守《电力安全工作规程》及甲方公司各项规章制度的要求，进入煤场违规者，煤场管理人员有权予以清退出场。煤场外等待卸煤的车辆应排列整齐，司机应在车内、煤场外或者到指定的位置休息待命，煤场内、外严禁随地乱扔垃圾。</w:t>
      </w:r>
    </w:p>
    <w:p w14:paraId="74A0DACD">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乙方进入煤场的车辆和司机必须服从煤场管理人员指挥，按照煤场管理人员指定位置安全停放车辆，进入煤场的车辆上无关人员应待在车内，确保汽车安全正常顺利卸煤和作业车辆安全作业;特殊情况，运煤车辆司机可通过供煤单位管理人员或者车队负责人与煤场管理人员商定执行。</w:t>
      </w:r>
    </w:p>
    <w:p w14:paraId="0009A013">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为确保汽车卸煤工作安全正常顺利进行，煤场管理人员必须严格控制进出煤场的车辆和人员，对在煤场内出现问题的车辆应积极配合解决，正在卸煤车辆周围严禁站人;出现问题的车辆，司机应尽快通知供煤单位管理人员或者车队负责人与煤场管理人员协商解决，避免堵塞通道。</w:t>
      </w:r>
    </w:p>
    <w:p w14:paraId="768BBCB3">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乙方进出煤场的车辆必须按照规定的路线行驶，严禁损坏厂区内公用设施及绿化作物等，运煤车辆必须服从入厂调度（包括行车路线、过磅地点及卸煤地点），运煤车辆须服从煤场验收人员的调度，违者扣煤2吨/次。</w:t>
      </w:r>
    </w:p>
    <w:p w14:paraId="7244720F">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5.卸煤过程中，必须在人员指挥下才允许卸车，自卸车卸车时不得一次将车厢升到顶，应分两次以上进行。</w:t>
      </w:r>
    </w:p>
    <w:p w14:paraId="521B04FF">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6.为防止自卸车卸车过程中车辆意外翻车造成人员及设备伤害，自卸车并列卸车时两车必须留有足够的安全距离(大于八米)，卸车过程中人员不得靠近车辆(安全距离大于八米)。</w:t>
      </w:r>
    </w:p>
    <w:p w14:paraId="21CAC23E">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7.乙方车辆进入煤场，行驶及过轻、重磅时，行驶速度必须小于5km/h。</w:t>
      </w:r>
    </w:p>
    <w:p w14:paraId="3596C6F9">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8.除运煤车辆外，其他车辆未经煤场管理人员许可，不得擅自进入收煤现场。</w:t>
      </w:r>
    </w:p>
    <w:p w14:paraId="30C4425A">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过磅煤车进入收煤现场应服从煤场工作人员指挥，严禁候磅煤车插队，严禁倒车上磅。（特殊情况如车辆损坏至采样机处等影响正常收煤流程，需由现场人员监督指挥上磅）。对于不服从指挥、扰乱煤场交通秩序煤车，扣罚供方煤炭2吨/次。</w:t>
      </w:r>
    </w:p>
    <w:p w14:paraId="1FAF79F1">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10.过重车衡时，驾驶室内人员应全部下车过磅，如还有其他人员在内，扣罚供方煤炭2吨/人次。</w:t>
      </w:r>
    </w:p>
    <w:p w14:paraId="6ECE4ADE">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11.禁止货主（矿方）人员在收煤现场，需要现场监督的货主（矿方）只允许一名联系人并持有煤场准入证才能进入现场，违者扣罚煤炭2吨/人次。</w:t>
      </w:r>
    </w:p>
    <w:p w14:paraId="6AA41452">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12.乙方运煤车辆空车回返时，不得升高斗厢，边开车边抖煤，也不得随意在公路上清除车厢内剩煤。违者扣罚煤炭2吨/次。</w:t>
      </w:r>
    </w:p>
    <w:p w14:paraId="3CB9E617">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13.小车严禁驶入煤场，须停入指定停车场，否则将按厂区车辆停放管理制度罚款。</w:t>
      </w:r>
    </w:p>
    <w:p w14:paraId="4F4A465C">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以上卸煤司机违规者，煤场管理人员可延迟其卸煤、拒绝签收或上报处罚。</w:t>
      </w:r>
    </w:p>
    <w:p w14:paraId="4C2E34D7">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（四）甲方需定期对燃煤存储和设备进行维护和检查，确保其正常运行，防止因设备故障而引发安全事故。</w:t>
      </w:r>
    </w:p>
    <w:p w14:paraId="4196DCE1">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三、乙方的责任</w:t>
      </w:r>
    </w:p>
    <w:p w14:paraId="64B2E377">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（一）乙方需按照甲方的要求供应燃煤，确保燃煤的质量和数量满足甲方的需求。</w:t>
      </w:r>
    </w:p>
    <w:p w14:paraId="12EA4EC8">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（二）乙方需对燃煤的采集、加工和运输过程进行严格的监督和管理，在燃煤供应过程中不出现任何环保、安全问题。若出现环保、安全等事件由乙方全权负责，与甲方无关。</w:t>
      </w:r>
    </w:p>
    <w:p w14:paraId="66E8ED85">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三）乙方需配合甲方的燃煤装卸和运输工作，确保燃煤能够安全、顺利地送达甲方指定的地点。同时乙方入厂人员需遵守甲方现场的管理规定和入厂告知注意事项及安全防范措施；若乙方在甲方煤场区域内未遵守甲方现场相关管理规定出现的一切安全事件，由乙方全权负责，与甲方无关。</w:t>
      </w:r>
    </w:p>
    <w:p w14:paraId="4958CBA5">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四、违约责任</w:t>
      </w:r>
    </w:p>
    <w:p w14:paraId="171374C7">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若因乙方供应的燃煤存在质量问题或供应不当而引发安全事故，乙方需承担相应的违约责任，并赔偿甲方由此产生的一切损失。</w:t>
      </w:r>
    </w:p>
    <w:p w14:paraId="54EC5EF7">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五、争议解决</w:t>
      </w:r>
    </w:p>
    <w:p w14:paraId="696B2EA2">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对于因执行本协议而引发的争议，双方应首先友好协商解决。若协商无果，任何一方均可向甲方所在地的人民法院提起诉讼。</w:t>
      </w:r>
    </w:p>
    <w:p w14:paraId="0C2F46AF">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六、其他</w:t>
      </w:r>
    </w:p>
    <w:p w14:paraId="50491CDB">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（一）本协议自合同双方法定代表人签字或加盖法人章（授权委托人签字）并加盖公章或合同章后生效。</w:t>
      </w:r>
    </w:p>
    <w:p w14:paraId="605164F2">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（二）本协议一式贰份，甲乙双方各执壹份，具有同等法律效力。</w:t>
      </w:r>
    </w:p>
    <w:p w14:paraId="64F15DAC">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（以下无正文，下接签署页）</w:t>
      </w:r>
    </w:p>
    <w:p w14:paraId="56DAA736">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p>
    <w:p w14:paraId="665471B4">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p>
    <w:p w14:paraId="7199EDDC">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p>
    <w:p w14:paraId="32297CA3">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br w:type="page"/>
      </w:r>
    </w:p>
    <w:p w14:paraId="14AF29A9">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签署页</w:t>
      </w:r>
    </w:p>
    <w:p w14:paraId="61DD210B">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p>
    <w:p w14:paraId="388E72CB">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甲    方：贵州钟山野马寨热电有限责任公司（章）                 </w:t>
      </w:r>
    </w:p>
    <w:p w14:paraId="55E71FA3">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p>
    <w:p w14:paraId="70BE3F51">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法定代表人（或授权委托人）</w:t>
      </w:r>
      <w:r>
        <w:rPr>
          <w:rFonts w:hint="eastAsia" w:hAnsi="宋体" w:cs="宋体"/>
          <w:color w:val="auto"/>
          <w:sz w:val="21"/>
          <w:szCs w:val="21"/>
          <w:lang w:val="en-US" w:eastAsia="zh-CN"/>
        </w:rPr>
        <w:t>（</w:t>
      </w:r>
      <w:r>
        <w:rPr>
          <w:rFonts w:hint="eastAsia" w:ascii="宋体" w:hAnsi="宋体" w:eastAsia="宋体" w:cs="宋体"/>
          <w:color w:val="auto"/>
          <w:sz w:val="21"/>
          <w:szCs w:val="21"/>
          <w:lang w:val="en-US" w:eastAsia="zh-CN"/>
        </w:rPr>
        <w:t>签字</w:t>
      </w:r>
      <w:r>
        <w:rPr>
          <w:rFonts w:hint="eastAsia" w:hAnsi="宋体" w:cs="宋体"/>
          <w:color w:val="auto"/>
          <w:sz w:val="21"/>
          <w:szCs w:val="21"/>
          <w:lang w:val="en-US" w:eastAsia="zh-CN"/>
        </w:rPr>
        <w:t>或盖法人章）</w:t>
      </w:r>
      <w:r>
        <w:rPr>
          <w:rFonts w:hint="eastAsia" w:ascii="宋体" w:hAnsi="宋体" w:eastAsia="宋体" w:cs="宋体"/>
          <w:color w:val="auto"/>
          <w:sz w:val="21"/>
          <w:szCs w:val="21"/>
          <w:lang w:val="en-US" w:eastAsia="zh-CN"/>
        </w:rPr>
        <w:t xml:space="preserve">：          </w:t>
      </w:r>
    </w:p>
    <w:p w14:paraId="3462F90B">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p>
    <w:p w14:paraId="5B357545">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签字日期：2025年XX月XX日</w:t>
      </w:r>
    </w:p>
    <w:p w14:paraId="2E1792D3">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p>
    <w:p w14:paraId="49045422">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p>
    <w:p w14:paraId="22E41E9A">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p>
    <w:p w14:paraId="1B4EDCD6">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乙    方： XXXXXXXXXX公司（章）</w:t>
      </w:r>
    </w:p>
    <w:p w14:paraId="7BEA222B">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p>
    <w:p w14:paraId="04CD9F9E">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法定代表人（或授权委托人）</w:t>
      </w:r>
      <w:r>
        <w:rPr>
          <w:rFonts w:hint="eastAsia" w:hAnsi="宋体" w:cs="宋体"/>
          <w:color w:val="auto"/>
          <w:sz w:val="21"/>
          <w:szCs w:val="21"/>
          <w:lang w:val="en-US" w:eastAsia="zh-CN"/>
        </w:rPr>
        <w:t>（</w:t>
      </w:r>
      <w:r>
        <w:rPr>
          <w:rFonts w:hint="eastAsia" w:ascii="宋体" w:hAnsi="宋体" w:eastAsia="宋体" w:cs="宋体"/>
          <w:color w:val="auto"/>
          <w:sz w:val="21"/>
          <w:szCs w:val="21"/>
          <w:lang w:val="en-US" w:eastAsia="zh-CN"/>
        </w:rPr>
        <w:t>签字</w:t>
      </w:r>
      <w:r>
        <w:rPr>
          <w:rFonts w:hint="eastAsia" w:hAnsi="宋体" w:cs="宋体"/>
          <w:color w:val="auto"/>
          <w:sz w:val="21"/>
          <w:szCs w:val="21"/>
          <w:lang w:val="en-US" w:eastAsia="zh-CN"/>
        </w:rPr>
        <w:t>或盖法人章）</w:t>
      </w:r>
      <w:r>
        <w:rPr>
          <w:rFonts w:hint="eastAsia" w:ascii="宋体" w:hAnsi="宋体" w:eastAsia="宋体" w:cs="宋体"/>
          <w:color w:val="auto"/>
          <w:sz w:val="21"/>
          <w:szCs w:val="21"/>
          <w:lang w:val="en-US" w:eastAsia="zh-CN"/>
        </w:rPr>
        <w:t xml:space="preserve">：            </w:t>
      </w:r>
    </w:p>
    <w:p w14:paraId="69C7D26C">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p>
    <w:p w14:paraId="6AE66EB3">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签字日期：2025年XX月XX日</w:t>
      </w:r>
    </w:p>
    <w:p w14:paraId="0EC529F6">
      <w:pPr>
        <w:spacing w:line="300" w:lineRule="auto"/>
        <w:jc w:val="left"/>
        <w:rPr>
          <w:rFonts w:hint="eastAsia" w:ascii="方正小标宋简体" w:hAnsi="方正小标宋简体" w:eastAsia="方正小标宋简体" w:cs="方正小标宋简体"/>
          <w:sz w:val="32"/>
          <w:szCs w:val="32"/>
          <w:lang w:val="en-US" w:eastAsia="zh-CN"/>
        </w:rPr>
        <w:sectPr>
          <w:footerReference r:id="rId7" w:type="default"/>
          <w:pgSz w:w="11906" w:h="16838"/>
          <w:pgMar w:top="1440" w:right="1800" w:bottom="1440" w:left="1800" w:header="851" w:footer="992" w:gutter="0"/>
          <w:pgNumType w:fmt="decimal"/>
          <w:cols w:space="425" w:num="1"/>
          <w:docGrid w:type="lines" w:linePitch="312" w:charSpace="0"/>
        </w:sectPr>
      </w:pPr>
    </w:p>
    <w:p w14:paraId="4AF3314B">
      <w:pPr>
        <w:spacing w:line="300" w:lineRule="auto"/>
        <w:jc w:val="left"/>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附件2：</w:t>
      </w:r>
    </w:p>
    <w:p w14:paraId="0D4A04EB">
      <w:pPr>
        <w:pStyle w:val="27"/>
        <w:jc w:val="center"/>
        <w:rPr>
          <w:rFonts w:hint="default"/>
          <w:lang w:val="en-US"/>
        </w:rPr>
      </w:pPr>
      <w:r>
        <w:rPr>
          <w:rFonts w:hint="eastAsia" w:ascii="方正小标宋简体" w:hAnsi="方正小标宋简体" w:eastAsia="方正小标宋简体" w:cs="方正小标宋简体"/>
          <w:sz w:val="32"/>
          <w:szCs w:val="32"/>
          <w:lang w:val="en-US" w:eastAsia="zh-CN"/>
        </w:rPr>
        <w:t>贵州钟山野马寨热电有限责任公司</w:t>
      </w:r>
    </w:p>
    <w:p w14:paraId="211F09FF">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方正小标宋简体" w:hAnsi="方正小标宋简体" w:eastAsia="方正小标宋简体" w:cs="方正小标宋简体"/>
          <w:sz w:val="32"/>
          <w:szCs w:val="32"/>
          <w:lang w:val="zh-CN" w:eastAsia="zh-CN" w:bidi="ar-SA"/>
        </w:rPr>
      </w:pPr>
      <w:r>
        <w:rPr>
          <w:rFonts w:hint="eastAsia" w:ascii="方正小标宋简体" w:hAnsi="方正小标宋简体" w:eastAsia="方正小标宋简体" w:cs="方正小标宋简体"/>
          <w:sz w:val="32"/>
          <w:szCs w:val="32"/>
          <w:lang w:val="zh-CN" w:eastAsia="zh-CN" w:bidi="ar-SA"/>
        </w:rPr>
        <w:t>廉洁</w:t>
      </w:r>
      <w:bookmarkEnd w:id="27"/>
      <w:r>
        <w:rPr>
          <w:rFonts w:hint="eastAsia" w:ascii="方正小标宋简体" w:hAnsi="方正小标宋简体" w:eastAsia="方正小标宋简体" w:cs="方正小标宋简体"/>
          <w:sz w:val="32"/>
          <w:szCs w:val="32"/>
          <w:lang w:val="zh-CN" w:eastAsia="zh-CN" w:bidi="ar-SA"/>
        </w:rPr>
        <w:t>协议</w:t>
      </w:r>
    </w:p>
    <w:p w14:paraId="3AA08DD6">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bookmarkStart w:id="28" w:name="_Toc31987"/>
    </w:p>
    <w:p w14:paraId="7A2AADA8">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合同名称：贵州钟山野马寨热电有限责任公司</w:t>
      </w:r>
      <w:r>
        <w:rPr>
          <w:rFonts w:hint="eastAsia" w:ascii="宋体" w:hAnsi="宋体" w:eastAsia="宋体" w:cs="宋体"/>
          <w:color w:val="auto"/>
          <w:sz w:val="21"/>
          <w:szCs w:val="21"/>
          <w:lang w:val="en-US" w:eastAsia="zh-CN"/>
        </w:rPr>
        <w:t>燃煤采购项目合同</w:t>
      </w:r>
    </w:p>
    <w:p w14:paraId="29469EB7">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合同</w:t>
      </w:r>
      <w:r>
        <w:rPr>
          <w:rFonts w:hint="eastAsia" w:ascii="宋体" w:hAnsi="宋体" w:eastAsia="宋体" w:cs="宋体"/>
          <w:color w:val="auto"/>
          <w:sz w:val="21"/>
          <w:szCs w:val="21"/>
          <w:lang w:val="zh-CN" w:eastAsia="zh-CN"/>
        </w:rPr>
        <w:t>编号：</w:t>
      </w:r>
      <w:r>
        <w:rPr>
          <w:rFonts w:hint="eastAsia" w:ascii="宋体" w:hAnsi="宋体" w:eastAsia="宋体" w:cs="宋体"/>
          <w:color w:val="auto"/>
          <w:sz w:val="21"/>
          <w:szCs w:val="21"/>
          <w:lang w:val="en-US" w:eastAsia="zh-CN"/>
        </w:rPr>
        <w:t>ZSRD-RL-2025-XXXX</w:t>
      </w:r>
    </w:p>
    <w:p w14:paraId="141B67BD">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甲    方：贵州钟山野马寨热电有限责任公司</w:t>
      </w:r>
    </w:p>
    <w:p w14:paraId="2027EEDA">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zh-CN" w:eastAsia="zh-CN"/>
        </w:rPr>
        <w:t>乙    方：</w:t>
      </w:r>
      <w:r>
        <w:rPr>
          <w:rFonts w:hint="eastAsia" w:ascii="宋体" w:hAnsi="宋体" w:eastAsia="宋体" w:cs="宋体"/>
          <w:color w:val="auto"/>
          <w:sz w:val="21"/>
          <w:szCs w:val="21"/>
          <w:lang w:val="en-US" w:eastAsia="zh-CN"/>
        </w:rPr>
        <w:t>XXXXXXX公司</w:t>
      </w:r>
    </w:p>
    <w:p w14:paraId="7A10E317">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p>
    <w:p w14:paraId="736A1539">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为规范合同签订工作，防止违法违纪事件的发生，经甲乙双方协商同意，签订以下条款，请双方严格执行。</w:t>
      </w:r>
    </w:p>
    <w:p w14:paraId="644D6143">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en-US" w:eastAsia="zh-CN"/>
        </w:rPr>
        <w:t>一、</w:t>
      </w:r>
      <w:r>
        <w:rPr>
          <w:rFonts w:hint="eastAsia" w:ascii="宋体" w:hAnsi="宋体" w:eastAsia="宋体" w:cs="宋体"/>
          <w:color w:val="auto"/>
          <w:sz w:val="21"/>
          <w:szCs w:val="21"/>
          <w:lang w:val="zh-CN" w:eastAsia="zh-CN"/>
        </w:rPr>
        <w:t>甲方的权利和义务</w:t>
      </w:r>
    </w:p>
    <w:p w14:paraId="01FFD8D1">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（一）甲方的工作人员有责任向乙方介绍本单位有关廉洁从业的制度、规定。甲方的纪检监察人员有权对双方在合同执行过程中的廉洁情况进行监督。</w:t>
      </w:r>
    </w:p>
    <w:p w14:paraId="694F0BE6">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二）甲方的工作人员在合同执行过程中，不得以任何形式向乙方索取贿赂、收受回扣及好处费等；不得接受乙方馈赠的有价证券和贵重物品；不得让乙方报销任何费用；不得参加对执行公务有影响的娱乐活动和宴请；不得向乙方介绍家属或亲友从事与该项目有关的</w:t>
      </w:r>
      <w:r>
        <w:rPr>
          <w:rFonts w:hint="eastAsia" w:ascii="宋体" w:hAnsi="宋体" w:eastAsia="宋体" w:cs="宋体"/>
          <w:color w:val="auto"/>
          <w:sz w:val="21"/>
          <w:szCs w:val="21"/>
          <w:lang w:val="en-US" w:eastAsia="zh-CN"/>
        </w:rPr>
        <w:t>燃煤及运输车辆、</w:t>
      </w:r>
      <w:r>
        <w:rPr>
          <w:rFonts w:hint="eastAsia" w:ascii="宋体" w:hAnsi="宋体" w:eastAsia="宋体" w:cs="宋体"/>
          <w:color w:val="auto"/>
          <w:sz w:val="21"/>
          <w:szCs w:val="21"/>
          <w:lang w:val="zh-CN" w:eastAsia="zh-CN"/>
        </w:rPr>
        <w:t>材料、设备供应</w:t>
      </w:r>
      <w:r>
        <w:rPr>
          <w:rFonts w:hint="eastAsia" w:ascii="宋体" w:hAnsi="宋体" w:eastAsia="宋体" w:cs="宋体"/>
          <w:color w:val="auto"/>
          <w:sz w:val="21"/>
          <w:szCs w:val="21"/>
          <w:lang w:val="en-US" w:eastAsia="zh-CN"/>
        </w:rPr>
        <w:t>等</w:t>
      </w:r>
      <w:r>
        <w:rPr>
          <w:rFonts w:hint="eastAsia" w:ascii="宋体" w:hAnsi="宋体" w:eastAsia="宋体" w:cs="宋体"/>
          <w:color w:val="auto"/>
          <w:sz w:val="21"/>
          <w:szCs w:val="21"/>
          <w:lang w:val="zh-CN" w:eastAsia="zh-CN"/>
        </w:rPr>
        <w:t>和该项目分包等经济活动；不得要求乙方为其装修房子；不得要求乙方为亲属安排出境和国内旅游等；不得借婚丧嫁娶之机收受乙方的钱（含有价证券）、物。</w:t>
      </w:r>
    </w:p>
    <w:p w14:paraId="1A3F0A23">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（三）对乙方主动给予的钱（含有价证券）、物，甲方的工作人员要坚决拒绝，无法拒绝的要在两周内上交甲方的纪检监察部门或上级纪检监察部门。</w:t>
      </w:r>
    </w:p>
    <w:p w14:paraId="44B1CB67">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（四）甲方的工作人员在合同</w:t>
      </w:r>
      <w:r>
        <w:rPr>
          <w:rFonts w:hint="eastAsia" w:ascii="宋体" w:hAnsi="宋体" w:eastAsia="宋体" w:cs="宋体"/>
          <w:color w:val="auto"/>
          <w:sz w:val="21"/>
          <w:szCs w:val="21"/>
          <w:lang w:val="en-US" w:eastAsia="zh-CN"/>
        </w:rPr>
        <w:t>执行</w:t>
      </w:r>
      <w:r>
        <w:rPr>
          <w:rFonts w:hint="eastAsia" w:ascii="宋体" w:hAnsi="宋体" w:eastAsia="宋体" w:cs="宋体"/>
          <w:color w:val="auto"/>
          <w:sz w:val="21"/>
          <w:szCs w:val="21"/>
          <w:lang w:val="zh-CN" w:eastAsia="zh-CN"/>
        </w:rPr>
        <w:t>过程中，必须遵守廉洁自律的其他有关规定。</w:t>
      </w:r>
    </w:p>
    <w:p w14:paraId="5D1A8CA3">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en-US" w:eastAsia="zh-CN"/>
        </w:rPr>
        <w:t>二、</w:t>
      </w:r>
      <w:r>
        <w:rPr>
          <w:rFonts w:hint="eastAsia" w:ascii="宋体" w:hAnsi="宋体" w:eastAsia="宋体" w:cs="宋体"/>
          <w:color w:val="auto"/>
          <w:sz w:val="21"/>
          <w:szCs w:val="21"/>
          <w:lang w:val="zh-CN" w:eastAsia="zh-CN"/>
        </w:rPr>
        <w:t>乙方的权利和义务</w:t>
      </w:r>
    </w:p>
    <w:p w14:paraId="5C644768">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（一）乙方的纪检监察人员有权对双方在合同执行过程中的廉洁从业情况进行监督，并积极配合甲方纪检监察工作人员就有关违纪问题进行调查取证。</w:t>
      </w:r>
    </w:p>
    <w:p w14:paraId="5C589B8B">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（二）乙方有权了解甲方在廉洁从业方面的各项制度和规定，并主动配合甲方遵守执行。</w:t>
      </w:r>
    </w:p>
    <w:p w14:paraId="730A4171">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三）乙方的工作人员在合同执行过程中，不得向甲方的工作人员行贿、提供回扣或其他好处费等；不得向甲方的工作人员馈赠有价证券和贵重物品；不得给甲方的工作人员报销任何费用；不得为甲方的工作人员购置或长期无偿提供交通工具、通讯工具、家电等；不得邀请甲方的工作人员参加对执行公务有影响的娱乐活动和宴请；不得接受甲方的工作人员介绍的家属或亲友从事与该项目有关的</w:t>
      </w:r>
      <w:r>
        <w:rPr>
          <w:rFonts w:hint="eastAsia" w:ascii="宋体" w:hAnsi="宋体" w:eastAsia="宋体" w:cs="宋体"/>
          <w:color w:val="auto"/>
          <w:sz w:val="21"/>
          <w:szCs w:val="21"/>
          <w:lang w:val="en-US" w:eastAsia="zh-CN"/>
        </w:rPr>
        <w:t>燃煤及运输车辆、</w:t>
      </w:r>
      <w:r>
        <w:rPr>
          <w:rFonts w:hint="eastAsia" w:ascii="宋体" w:hAnsi="宋体" w:eastAsia="宋体" w:cs="宋体"/>
          <w:color w:val="auto"/>
          <w:sz w:val="21"/>
          <w:szCs w:val="21"/>
          <w:lang w:val="zh-CN" w:eastAsia="zh-CN"/>
        </w:rPr>
        <w:t>材料、设备供应</w:t>
      </w:r>
      <w:r>
        <w:rPr>
          <w:rFonts w:hint="eastAsia" w:ascii="宋体" w:hAnsi="宋体" w:eastAsia="宋体" w:cs="宋体"/>
          <w:color w:val="auto"/>
          <w:sz w:val="21"/>
          <w:szCs w:val="21"/>
          <w:lang w:val="en-US" w:eastAsia="zh-CN"/>
        </w:rPr>
        <w:t>等</w:t>
      </w:r>
      <w:r>
        <w:rPr>
          <w:rFonts w:hint="eastAsia" w:ascii="宋体" w:hAnsi="宋体" w:eastAsia="宋体" w:cs="宋体"/>
          <w:color w:val="auto"/>
          <w:sz w:val="21"/>
          <w:szCs w:val="21"/>
          <w:lang w:val="zh-CN" w:eastAsia="zh-CN"/>
        </w:rPr>
        <w:t>或该项目分包等经济活动；不得为甲方的工作人员装修房子；不得为甲方的工作人员的亲属安排出境和国内旅游等；不得借婚丧嫁娶之机向甲方的工作人员赠送钱（含有价证券）、物。</w:t>
      </w:r>
    </w:p>
    <w:p w14:paraId="46A3A8EF">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（四）乙方发现甲方的工作人员有不廉洁的行为，必须在48小时内署名报告甲方的纪检监察人员或有关领导。</w:t>
      </w:r>
    </w:p>
    <w:p w14:paraId="3B7B1FED">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三、违约责任</w:t>
      </w:r>
    </w:p>
    <w:p w14:paraId="0A8AE75D">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（一）甲方的工作人员违反廉洁责任，经调查属实的，甲方将依据党、政纪对当事人进行严肃处理，对涉嫌犯罪人员移送司法机关。</w:t>
      </w:r>
    </w:p>
    <w:p w14:paraId="1D91EAE0">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（二）乙方工作人员违反廉洁责任，经调查属实，甲方有权一次性扣罚与其签订合同</w:t>
      </w:r>
      <w:r>
        <w:rPr>
          <w:rFonts w:hint="eastAsia" w:ascii="宋体" w:hAnsi="宋体" w:eastAsia="宋体" w:cs="宋体"/>
          <w:color w:val="auto"/>
          <w:sz w:val="21"/>
          <w:szCs w:val="21"/>
          <w:lang w:val="en-US" w:eastAsia="zh-CN"/>
        </w:rPr>
        <w:t>结算</w:t>
      </w:r>
      <w:r>
        <w:rPr>
          <w:rFonts w:hint="eastAsia" w:ascii="宋体" w:hAnsi="宋体" w:eastAsia="宋体" w:cs="宋体"/>
          <w:color w:val="auto"/>
          <w:sz w:val="21"/>
          <w:szCs w:val="21"/>
          <w:lang w:val="zh-CN" w:eastAsia="zh-CN"/>
        </w:rPr>
        <w:t>款的0.5%～10%，直至合同终止执行，由此造成的经济损失由乙方承担。在今后项目中，甲方不再考虑与乙方的合作。</w:t>
      </w:r>
    </w:p>
    <w:p w14:paraId="7D62DFAF">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四、协议的生效</w:t>
      </w:r>
    </w:p>
    <w:p w14:paraId="704F8A4C">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（一）本协议自合同双方法定代表人签字或加盖法人章（授权委托人签字）并加盖公章或合同章后生效。</w:t>
      </w:r>
    </w:p>
    <w:p w14:paraId="60143BB0">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（二）本协议在合同授予、履行的全过程有效，并作为合同的附件。</w:t>
      </w:r>
    </w:p>
    <w:p w14:paraId="2929DCAE">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w:t>
      </w:r>
      <w:r>
        <w:rPr>
          <w:rFonts w:hint="eastAsia" w:ascii="宋体" w:hAnsi="宋体" w:eastAsia="宋体" w:cs="宋体"/>
          <w:color w:val="auto"/>
          <w:sz w:val="21"/>
          <w:szCs w:val="21"/>
          <w:lang w:val="en-US" w:eastAsia="zh-CN"/>
        </w:rPr>
        <w:t>三</w:t>
      </w:r>
      <w:r>
        <w:rPr>
          <w:rFonts w:hint="eastAsia" w:ascii="宋体" w:hAnsi="宋体" w:eastAsia="宋体" w:cs="宋体"/>
          <w:color w:val="auto"/>
          <w:sz w:val="21"/>
          <w:szCs w:val="21"/>
          <w:lang w:val="zh-CN" w:eastAsia="zh-CN"/>
        </w:rPr>
        <w:t>）本协议一式贰份，甲乙双方各执壹份，具有同等法律效力。</w:t>
      </w:r>
    </w:p>
    <w:p w14:paraId="0EB77C2D">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p>
    <w:p w14:paraId="1CC5FCBB">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甲    方：贵州钟山野马寨热电有限责任公司 （</w:t>
      </w:r>
      <w:r>
        <w:rPr>
          <w:rFonts w:hint="eastAsia" w:ascii="宋体" w:hAnsi="宋体" w:eastAsia="宋体" w:cs="宋体"/>
          <w:color w:val="auto"/>
          <w:sz w:val="21"/>
          <w:szCs w:val="21"/>
          <w:lang w:val="en-US" w:eastAsia="zh-CN"/>
        </w:rPr>
        <w:t>盖章</w:t>
      </w:r>
      <w:r>
        <w:rPr>
          <w:rFonts w:hint="eastAsia" w:ascii="宋体" w:hAnsi="宋体" w:eastAsia="宋体" w:cs="宋体"/>
          <w:color w:val="auto"/>
          <w:sz w:val="21"/>
          <w:szCs w:val="21"/>
          <w:lang w:val="zh-CN" w:eastAsia="zh-CN"/>
        </w:rPr>
        <w:t xml:space="preserve">）                </w:t>
      </w:r>
    </w:p>
    <w:p w14:paraId="3F196904">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p>
    <w:p w14:paraId="002A73BD">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hAnsi="宋体" w:cs="宋体"/>
          <w:color w:val="auto"/>
          <w:sz w:val="21"/>
          <w:szCs w:val="21"/>
          <w:lang w:val="en-US" w:eastAsia="zh-CN"/>
        </w:rPr>
        <w:t>法定代表</w:t>
      </w:r>
      <w:r>
        <w:rPr>
          <w:rFonts w:hint="eastAsia" w:ascii="宋体" w:hAnsi="宋体" w:eastAsia="宋体" w:cs="宋体"/>
          <w:color w:val="auto"/>
          <w:sz w:val="21"/>
          <w:szCs w:val="21"/>
          <w:lang w:val="zh-CN" w:eastAsia="zh-CN"/>
        </w:rPr>
        <w:t>人（或被授权人）</w:t>
      </w:r>
      <w:r>
        <w:rPr>
          <w:rFonts w:hint="eastAsia" w:hAnsi="宋体" w:cs="宋体"/>
          <w:color w:val="auto"/>
          <w:sz w:val="21"/>
          <w:szCs w:val="21"/>
          <w:lang w:val="en-US" w:eastAsia="zh-CN"/>
        </w:rPr>
        <w:t>（</w:t>
      </w:r>
      <w:r>
        <w:rPr>
          <w:rFonts w:hint="eastAsia" w:ascii="宋体" w:hAnsi="宋体" w:eastAsia="宋体" w:cs="宋体"/>
          <w:color w:val="auto"/>
          <w:sz w:val="21"/>
          <w:szCs w:val="21"/>
          <w:lang w:val="en-US" w:eastAsia="zh-CN"/>
        </w:rPr>
        <w:t>签字</w:t>
      </w:r>
      <w:r>
        <w:rPr>
          <w:rFonts w:hint="eastAsia" w:hAnsi="宋体" w:cs="宋体"/>
          <w:color w:val="auto"/>
          <w:sz w:val="21"/>
          <w:szCs w:val="21"/>
          <w:lang w:val="en-US" w:eastAsia="zh-CN"/>
        </w:rPr>
        <w:t>或盖法人章）</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val="zh-CN" w:eastAsia="zh-CN"/>
        </w:rPr>
        <w:t>：</w:t>
      </w:r>
      <w:r>
        <w:rPr>
          <w:rFonts w:hint="eastAsia" w:ascii="宋体" w:hAnsi="宋体" w:eastAsia="宋体" w:cs="宋体"/>
          <w:color w:val="auto"/>
          <w:sz w:val="21"/>
          <w:szCs w:val="21"/>
          <w:lang w:val="en-US" w:eastAsia="zh-CN"/>
        </w:rPr>
        <w:t xml:space="preserve">                </w:t>
      </w:r>
    </w:p>
    <w:p w14:paraId="6D5DCD6C">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p>
    <w:p w14:paraId="0D4086C5">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zh-CN" w:eastAsia="zh-CN"/>
        </w:rPr>
        <w:t>签字日期：</w:t>
      </w:r>
      <w:r>
        <w:rPr>
          <w:rFonts w:hint="eastAsia" w:ascii="宋体" w:hAnsi="宋体" w:eastAsia="宋体" w:cs="宋体"/>
          <w:color w:val="auto"/>
          <w:sz w:val="21"/>
          <w:szCs w:val="21"/>
          <w:lang w:val="en-US" w:eastAsia="zh-CN"/>
        </w:rPr>
        <w:t>2025年XX月XX日</w:t>
      </w:r>
    </w:p>
    <w:p w14:paraId="5A2D3E56">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1"/>
          <w:szCs w:val="21"/>
          <w:lang w:val="zh-CN" w:eastAsia="zh-CN"/>
        </w:rPr>
      </w:pPr>
    </w:p>
    <w:p w14:paraId="62608F00">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zh-CN" w:eastAsia="zh-CN"/>
        </w:rPr>
        <w:t>乙    方：</w:t>
      </w:r>
      <w:r>
        <w:rPr>
          <w:rFonts w:hint="eastAsia" w:ascii="宋体" w:hAnsi="宋体" w:eastAsia="宋体" w:cs="宋体"/>
          <w:color w:val="auto"/>
          <w:sz w:val="21"/>
          <w:szCs w:val="21"/>
          <w:lang w:val="en-US" w:eastAsia="zh-CN"/>
        </w:rPr>
        <w:t>XXXXXXXXXX公司（章）</w:t>
      </w:r>
    </w:p>
    <w:p w14:paraId="67AC442C">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p>
    <w:p w14:paraId="40F99E49">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hAnsi="宋体" w:cs="宋体"/>
          <w:color w:val="auto"/>
          <w:sz w:val="21"/>
          <w:szCs w:val="21"/>
          <w:lang w:val="en-US" w:eastAsia="zh-CN"/>
        </w:rPr>
        <w:t>法定代表</w:t>
      </w:r>
      <w:r>
        <w:rPr>
          <w:rFonts w:hint="eastAsia" w:ascii="宋体" w:hAnsi="宋体" w:eastAsia="宋体" w:cs="宋体"/>
          <w:color w:val="auto"/>
          <w:sz w:val="21"/>
          <w:szCs w:val="21"/>
          <w:lang w:val="zh-CN" w:eastAsia="zh-CN"/>
        </w:rPr>
        <w:t>人（或被授权人）</w:t>
      </w:r>
      <w:r>
        <w:rPr>
          <w:rFonts w:hint="eastAsia" w:hAnsi="宋体" w:cs="宋体"/>
          <w:color w:val="auto"/>
          <w:sz w:val="21"/>
          <w:szCs w:val="21"/>
          <w:lang w:val="en-US" w:eastAsia="zh-CN"/>
        </w:rPr>
        <w:t>（</w:t>
      </w:r>
      <w:r>
        <w:rPr>
          <w:rFonts w:hint="eastAsia" w:ascii="宋体" w:hAnsi="宋体" w:eastAsia="宋体" w:cs="宋体"/>
          <w:color w:val="auto"/>
          <w:sz w:val="21"/>
          <w:szCs w:val="21"/>
          <w:lang w:val="en-US" w:eastAsia="zh-CN"/>
        </w:rPr>
        <w:t>签字</w:t>
      </w:r>
      <w:r>
        <w:rPr>
          <w:rFonts w:hint="eastAsia" w:hAnsi="宋体" w:cs="宋体"/>
          <w:color w:val="auto"/>
          <w:sz w:val="21"/>
          <w:szCs w:val="21"/>
          <w:lang w:val="en-US" w:eastAsia="zh-CN"/>
        </w:rPr>
        <w:t>或盖法人章）</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val="zh-CN" w:eastAsia="zh-CN"/>
        </w:rPr>
        <w:t>：</w:t>
      </w:r>
      <w:r>
        <w:rPr>
          <w:rFonts w:hint="eastAsia" w:ascii="宋体" w:hAnsi="宋体" w:eastAsia="宋体" w:cs="宋体"/>
          <w:color w:val="auto"/>
          <w:sz w:val="21"/>
          <w:szCs w:val="21"/>
          <w:lang w:val="en-US" w:eastAsia="zh-CN"/>
        </w:rPr>
        <w:t xml:space="preserve">               </w:t>
      </w:r>
    </w:p>
    <w:p w14:paraId="422D59E9">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p>
    <w:p w14:paraId="255CE8A4">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zh-CN" w:eastAsia="zh-CN"/>
        </w:rPr>
        <w:t>签字日期：</w:t>
      </w:r>
      <w:r>
        <w:rPr>
          <w:rFonts w:hint="eastAsia" w:ascii="宋体" w:hAnsi="宋体" w:eastAsia="宋体" w:cs="宋体"/>
          <w:color w:val="auto"/>
          <w:sz w:val="21"/>
          <w:szCs w:val="21"/>
          <w:lang w:val="en-US" w:eastAsia="zh-CN"/>
        </w:rPr>
        <w:t>2025年XX月XX日</w:t>
      </w:r>
    </w:p>
    <w:p w14:paraId="2A53C987">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28"/>
          <w:szCs w:val="28"/>
          <w:lang w:val="zh-CN" w:eastAsia="zh-CN"/>
        </w:rPr>
      </w:pPr>
      <w:r>
        <w:rPr>
          <w:rFonts w:hint="eastAsia" w:ascii="黑体" w:hAnsi="黑体" w:eastAsia="黑体" w:cs="黑体"/>
          <w:color w:val="000000"/>
          <w:kern w:val="0"/>
          <w:sz w:val="28"/>
          <w:szCs w:val="28"/>
          <w:lang w:val="en-US" w:eastAsia="zh-CN"/>
        </w:rPr>
        <w:t>附件3：</w:t>
      </w:r>
    </w:p>
    <w:p w14:paraId="3E98F45D">
      <w:pPr>
        <w:pStyle w:val="27"/>
        <w:keepNext w:val="0"/>
        <w:keepLines w:val="0"/>
        <w:pageBreakBefore w:val="0"/>
        <w:widowControl w:val="0"/>
        <w:kinsoku/>
        <w:wordWrap/>
        <w:overflowPunct/>
        <w:topLinePunct w:val="0"/>
        <w:autoSpaceDE/>
        <w:autoSpaceDN/>
        <w:bidi w:val="0"/>
        <w:adjustRightInd/>
        <w:snapToGrid/>
        <w:spacing w:line="700" w:lineRule="exact"/>
        <w:ind w:left="0" w:leftChars="0" w:firstLine="0" w:firstLineChars="0"/>
        <w:jc w:val="center"/>
        <w:textAlignment w:val="auto"/>
        <w:rPr>
          <w:rFonts w:hint="eastAsia" w:ascii="方正小标宋简体" w:hAnsi="方正小标宋简体" w:eastAsia="方正小标宋简体" w:cs="方正小标宋简体"/>
          <w:color w:val="000000" w:themeColor="text1"/>
          <w:sz w:val="36"/>
          <w:szCs w:val="36"/>
          <w:lang w:val="zh-CN"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36"/>
          <w:szCs w:val="36"/>
          <w:lang w:val="zh-CN" w:eastAsia="zh-CN"/>
          <w14:textFill>
            <w14:solidFill>
              <w14:schemeClr w14:val="tx1"/>
            </w14:solidFill>
          </w14:textFill>
        </w:rPr>
        <w:t>贵州钟山野马寨热电有限责任公司入厂煤煤质</w:t>
      </w:r>
    </w:p>
    <w:p w14:paraId="6D25D967">
      <w:pPr>
        <w:pStyle w:val="27"/>
        <w:keepNext w:val="0"/>
        <w:keepLines w:val="0"/>
        <w:pageBreakBefore w:val="0"/>
        <w:widowControl w:val="0"/>
        <w:kinsoku/>
        <w:wordWrap/>
        <w:overflowPunct/>
        <w:topLinePunct w:val="0"/>
        <w:autoSpaceDE/>
        <w:autoSpaceDN/>
        <w:bidi w:val="0"/>
        <w:adjustRightInd/>
        <w:snapToGrid/>
        <w:spacing w:line="700" w:lineRule="exact"/>
        <w:ind w:left="0" w:leftChars="0" w:firstLine="0" w:firstLineChars="0"/>
        <w:jc w:val="center"/>
        <w:textAlignment w:val="auto"/>
        <w:rPr>
          <w:rFonts w:hint="eastAsia" w:ascii="方正小标宋简体" w:hAnsi="方正小标宋简体" w:eastAsia="方正小标宋简体" w:cs="方正小标宋简体"/>
          <w:color w:val="000000" w:themeColor="text1"/>
          <w:sz w:val="36"/>
          <w:szCs w:val="36"/>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36"/>
          <w:szCs w:val="36"/>
          <w:lang w:val="zh-CN" w:eastAsia="zh-CN"/>
          <w14:textFill>
            <w14:solidFill>
              <w14:schemeClr w14:val="tx1"/>
            </w14:solidFill>
          </w14:textFill>
        </w:rPr>
        <w:t>异常及纠纷处理</w:t>
      </w:r>
      <w:r>
        <w:rPr>
          <w:rFonts w:hint="eastAsia" w:ascii="方正小标宋简体" w:hAnsi="方正小标宋简体" w:eastAsia="方正小标宋简体" w:cs="方正小标宋简体"/>
          <w:color w:val="000000" w:themeColor="text1"/>
          <w:sz w:val="36"/>
          <w:szCs w:val="36"/>
          <w:lang w:val="en-US" w:eastAsia="zh-CN"/>
          <w14:textFill>
            <w14:solidFill>
              <w14:schemeClr w14:val="tx1"/>
            </w14:solidFill>
          </w14:textFill>
        </w:rPr>
        <w:t>办法</w:t>
      </w:r>
    </w:p>
    <w:p w14:paraId="4DB3B1D3">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p>
    <w:p w14:paraId="6C4B7AB8">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合同名称：贵州钟山野马寨热电有限责任公司</w:t>
      </w:r>
      <w:r>
        <w:rPr>
          <w:rFonts w:hint="eastAsia" w:ascii="宋体" w:hAnsi="宋体" w:eastAsia="宋体" w:cs="宋体"/>
          <w:color w:val="auto"/>
          <w:sz w:val="21"/>
          <w:szCs w:val="21"/>
          <w:lang w:val="en-US" w:eastAsia="zh-CN"/>
        </w:rPr>
        <w:t>燃煤采购项目合同</w:t>
      </w:r>
    </w:p>
    <w:p w14:paraId="6B68E455">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合同</w:t>
      </w:r>
      <w:r>
        <w:rPr>
          <w:rFonts w:hint="eastAsia" w:ascii="宋体" w:hAnsi="宋体" w:eastAsia="宋体" w:cs="宋体"/>
          <w:color w:val="auto"/>
          <w:sz w:val="21"/>
          <w:szCs w:val="21"/>
          <w:lang w:val="zh-CN" w:eastAsia="zh-CN"/>
        </w:rPr>
        <w:t>编号：</w:t>
      </w:r>
      <w:r>
        <w:rPr>
          <w:rFonts w:hint="eastAsia" w:ascii="宋体" w:hAnsi="宋体" w:eastAsia="宋体" w:cs="宋体"/>
          <w:color w:val="auto"/>
          <w:sz w:val="21"/>
          <w:szCs w:val="21"/>
          <w:lang w:val="en-US" w:eastAsia="zh-CN"/>
        </w:rPr>
        <w:t>ZSRD-RL-2025-XXX</w:t>
      </w:r>
    </w:p>
    <w:p w14:paraId="0BCCBC94">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en-US" w:eastAsia="zh-CN"/>
        </w:rPr>
        <w:t>甲    方</w:t>
      </w:r>
      <w:r>
        <w:rPr>
          <w:rFonts w:hint="eastAsia" w:ascii="宋体" w:hAnsi="宋体" w:eastAsia="宋体" w:cs="宋体"/>
          <w:color w:val="auto"/>
          <w:sz w:val="21"/>
          <w:szCs w:val="21"/>
          <w:lang w:val="zh-CN" w:eastAsia="zh-CN"/>
        </w:rPr>
        <w:t>：贵州钟山野马寨热电有限责任公司</w:t>
      </w:r>
    </w:p>
    <w:p w14:paraId="566E1038">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en-US" w:eastAsia="zh-CN"/>
        </w:rPr>
        <w:t>乙    方</w:t>
      </w:r>
      <w:r>
        <w:rPr>
          <w:rFonts w:hint="eastAsia" w:ascii="宋体" w:hAnsi="宋体" w:eastAsia="宋体" w:cs="宋体"/>
          <w:color w:val="auto"/>
          <w:sz w:val="21"/>
          <w:szCs w:val="21"/>
          <w:lang w:val="zh-CN" w:eastAsia="zh-CN"/>
        </w:rPr>
        <w:t>：</w:t>
      </w:r>
      <w:r>
        <w:rPr>
          <w:rFonts w:hint="eastAsia" w:ascii="宋体" w:hAnsi="宋体" w:eastAsia="宋体" w:cs="宋体"/>
          <w:color w:val="auto"/>
          <w:sz w:val="21"/>
          <w:szCs w:val="21"/>
          <w:lang w:val="en-US" w:eastAsia="zh-CN"/>
        </w:rPr>
        <w:t>XXXXXX公司</w:t>
      </w:r>
    </w:p>
    <w:p w14:paraId="66725CF6">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p>
    <w:p w14:paraId="69D562A9">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en-US" w:eastAsia="zh-CN"/>
        </w:rPr>
        <w:t xml:space="preserve">第一章  </w:t>
      </w:r>
      <w:r>
        <w:rPr>
          <w:rFonts w:hint="eastAsia" w:ascii="宋体" w:hAnsi="宋体" w:eastAsia="宋体" w:cs="宋体"/>
          <w:color w:val="auto"/>
          <w:sz w:val="21"/>
          <w:szCs w:val="21"/>
          <w:lang w:val="zh-CN" w:eastAsia="zh-CN"/>
        </w:rPr>
        <w:t>总 则</w:t>
      </w:r>
    </w:p>
    <w:p w14:paraId="7BB4EFE0">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en-US" w:eastAsia="zh-CN"/>
        </w:rPr>
        <w:t xml:space="preserve">第一条 </w:t>
      </w:r>
      <w:r>
        <w:rPr>
          <w:rFonts w:hint="eastAsia" w:ascii="宋体" w:hAnsi="宋体" w:eastAsia="宋体" w:cs="宋体"/>
          <w:color w:val="auto"/>
          <w:sz w:val="21"/>
          <w:szCs w:val="21"/>
          <w:lang w:val="zh-CN" w:eastAsia="zh-CN"/>
        </w:rPr>
        <w:t>为</w:t>
      </w:r>
      <w:r>
        <w:rPr>
          <w:rFonts w:hint="eastAsia" w:ascii="宋体" w:hAnsi="宋体" w:eastAsia="宋体" w:cs="宋体"/>
          <w:color w:val="auto"/>
          <w:sz w:val="21"/>
          <w:szCs w:val="21"/>
          <w:lang w:val="en-US" w:eastAsia="zh-CN"/>
        </w:rPr>
        <w:t>规范</w:t>
      </w:r>
      <w:r>
        <w:rPr>
          <w:rFonts w:hint="eastAsia" w:ascii="宋体" w:hAnsi="宋体" w:eastAsia="宋体" w:cs="宋体"/>
          <w:color w:val="auto"/>
          <w:sz w:val="21"/>
          <w:szCs w:val="21"/>
          <w:lang w:val="zh-CN" w:eastAsia="zh-CN"/>
        </w:rPr>
        <w:t>入厂煤现场验收过程中煤质异常</w:t>
      </w:r>
      <w:r>
        <w:rPr>
          <w:rFonts w:hint="eastAsia" w:ascii="宋体" w:hAnsi="宋体" w:eastAsia="宋体" w:cs="宋体"/>
          <w:color w:val="auto"/>
          <w:sz w:val="21"/>
          <w:szCs w:val="21"/>
          <w:lang w:val="en-US" w:eastAsia="zh-CN"/>
        </w:rPr>
        <w:t>及纠纷</w:t>
      </w:r>
      <w:r>
        <w:rPr>
          <w:rFonts w:hint="eastAsia" w:ascii="宋体" w:hAnsi="宋体" w:eastAsia="宋体" w:cs="宋体"/>
          <w:color w:val="auto"/>
          <w:sz w:val="21"/>
          <w:szCs w:val="21"/>
          <w:lang w:val="zh-CN" w:eastAsia="zh-CN"/>
        </w:rPr>
        <w:t>处理流程，本着公平、公正、公开原则，杜绝入厂煤掺假使假、煤质不均等现象，有效维护公司利益。结合</w:t>
      </w:r>
      <w:r>
        <w:rPr>
          <w:rFonts w:hint="eastAsia" w:ascii="宋体" w:hAnsi="宋体" w:eastAsia="宋体" w:cs="宋体"/>
          <w:color w:val="auto"/>
          <w:sz w:val="21"/>
          <w:szCs w:val="21"/>
          <w:lang w:val="en-US" w:eastAsia="zh-CN"/>
        </w:rPr>
        <w:t>入厂煤质量验收</w:t>
      </w:r>
      <w:r>
        <w:rPr>
          <w:rFonts w:hint="eastAsia" w:ascii="宋体" w:hAnsi="宋体" w:eastAsia="宋体" w:cs="宋体"/>
          <w:color w:val="auto"/>
          <w:sz w:val="21"/>
          <w:szCs w:val="21"/>
          <w:lang w:val="zh-CN" w:eastAsia="zh-CN"/>
        </w:rPr>
        <w:t>实际情况，特制定本</w:t>
      </w:r>
      <w:r>
        <w:rPr>
          <w:rFonts w:hint="eastAsia" w:ascii="宋体" w:hAnsi="宋体" w:eastAsia="宋体" w:cs="宋体"/>
          <w:color w:val="auto"/>
          <w:sz w:val="21"/>
          <w:szCs w:val="21"/>
          <w:lang w:val="en-US" w:eastAsia="zh-CN"/>
        </w:rPr>
        <w:t>办法</w:t>
      </w:r>
      <w:r>
        <w:rPr>
          <w:rFonts w:hint="eastAsia" w:ascii="宋体" w:hAnsi="宋体" w:eastAsia="宋体" w:cs="宋体"/>
          <w:color w:val="auto"/>
          <w:sz w:val="21"/>
          <w:szCs w:val="21"/>
          <w:lang w:val="zh-CN" w:eastAsia="zh-CN"/>
        </w:rPr>
        <w:t>。</w:t>
      </w:r>
    </w:p>
    <w:p w14:paraId="22C13C56">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en-US" w:eastAsia="zh-CN"/>
        </w:rPr>
        <w:t xml:space="preserve">第二条 </w:t>
      </w:r>
      <w:r>
        <w:rPr>
          <w:rFonts w:hint="eastAsia" w:ascii="宋体" w:hAnsi="宋体" w:eastAsia="宋体" w:cs="宋体"/>
          <w:color w:val="auto"/>
          <w:sz w:val="21"/>
          <w:szCs w:val="21"/>
          <w:lang w:val="zh-CN" w:eastAsia="zh-CN"/>
        </w:rPr>
        <w:t>本办法适用于</w:t>
      </w:r>
      <w:r>
        <w:rPr>
          <w:rFonts w:hint="eastAsia" w:ascii="宋体" w:hAnsi="宋体" w:eastAsia="宋体" w:cs="宋体"/>
          <w:color w:val="auto"/>
          <w:sz w:val="21"/>
          <w:szCs w:val="21"/>
          <w:lang w:val="en-US" w:eastAsia="zh-CN"/>
        </w:rPr>
        <w:t>入厂煤</w:t>
      </w:r>
      <w:r>
        <w:rPr>
          <w:rFonts w:hint="eastAsia" w:ascii="宋体" w:hAnsi="宋体" w:eastAsia="宋体" w:cs="宋体"/>
          <w:color w:val="auto"/>
          <w:sz w:val="21"/>
          <w:szCs w:val="21"/>
          <w:lang w:val="zh-CN" w:eastAsia="zh-CN"/>
        </w:rPr>
        <w:t>现场质量验收，煤质异常</w:t>
      </w:r>
      <w:r>
        <w:rPr>
          <w:rFonts w:hint="eastAsia" w:ascii="宋体" w:hAnsi="宋体" w:eastAsia="宋体" w:cs="宋体"/>
          <w:color w:val="auto"/>
          <w:sz w:val="21"/>
          <w:szCs w:val="21"/>
          <w:lang w:val="en-US" w:eastAsia="zh-CN"/>
        </w:rPr>
        <w:t>及纠纷</w:t>
      </w:r>
      <w:r>
        <w:rPr>
          <w:rFonts w:hint="eastAsia" w:ascii="宋体" w:hAnsi="宋体" w:eastAsia="宋体" w:cs="宋体"/>
          <w:color w:val="auto"/>
          <w:sz w:val="21"/>
          <w:szCs w:val="21"/>
          <w:lang w:val="zh-CN" w:eastAsia="zh-CN"/>
        </w:rPr>
        <w:t>处理。</w:t>
      </w:r>
    </w:p>
    <w:p w14:paraId="69120B90">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第二章</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val="zh-CN" w:eastAsia="zh-CN"/>
        </w:rPr>
        <w:t>异常认定</w:t>
      </w:r>
    </w:p>
    <w:p w14:paraId="556BD07E">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第三条 入厂煤发生下列情形之一者可认定为异常</w:t>
      </w:r>
    </w:p>
    <w:p w14:paraId="7BEB6D83">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（一）在卸车过程中，验收人员应认真观察煤质，如果出现分层、分段、上下混装、夹心、前后装不同煤种等情况（包括下层水分含量明显高于上层）,目测热值相差500大卡的视为异常。</w:t>
      </w:r>
    </w:p>
    <w:p w14:paraId="1078B884">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（二）来煤中未均匀分布的石头、矸石（直径大于50mm），泥团、油土、石灰石、碎石、泥土、矿粉、炉渣、石膏、油泥以及其他杂物等。</w:t>
      </w:r>
    </w:p>
    <w:p w14:paraId="428534A4">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（三）同批次不同车辆装不同煤种（包括同批次的大、小车；若发现小车装质量好的煤，而大车装质量差的煤），热值超过500kcal/kg的。</w:t>
      </w:r>
    </w:p>
    <w:p w14:paraId="1D4CBD47">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（四）来煤为无烟煤和来煤中掺配无烟煤的（以公司化验收到基挥发分Var小于10.00%为基准）。</w:t>
      </w:r>
    </w:p>
    <w:p w14:paraId="661399EB">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（五）车辆过重磅后在煤场内放水的。</w:t>
      </w:r>
    </w:p>
    <w:p w14:paraId="10C55267">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（六）其他疑似异常或特殊情况时，由燃料部、监察审计部、供应商三方见证，达成一致意见后，认定为煤质异常。</w:t>
      </w:r>
    </w:p>
    <w:p w14:paraId="0EBDB42E">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zh-CN" w:eastAsia="zh-CN"/>
        </w:rPr>
        <w:t>第三章</w:t>
      </w:r>
      <w:r>
        <w:rPr>
          <w:rFonts w:hint="eastAsia" w:ascii="宋体" w:hAnsi="宋体" w:eastAsia="宋体" w:cs="宋体"/>
          <w:color w:val="auto"/>
          <w:sz w:val="21"/>
          <w:szCs w:val="21"/>
          <w:lang w:val="en-US" w:eastAsia="zh-CN"/>
        </w:rPr>
        <w:t xml:space="preserve"> 处理标准</w:t>
      </w:r>
    </w:p>
    <w:p w14:paraId="7C0C6468">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en-US" w:eastAsia="zh-CN"/>
        </w:rPr>
        <w:t>第四条 入厂煤出现第三条内所列的煤质异常时，现场验收人员</w:t>
      </w:r>
      <w:r>
        <w:rPr>
          <w:rFonts w:hint="eastAsia" w:ascii="宋体" w:hAnsi="宋体" w:eastAsia="宋体" w:cs="宋体"/>
          <w:color w:val="auto"/>
          <w:sz w:val="21"/>
          <w:szCs w:val="21"/>
          <w:lang w:val="zh-CN" w:eastAsia="zh-CN"/>
        </w:rPr>
        <w:t>应通知班组长到现场进行辨别。</w:t>
      </w:r>
      <w:r>
        <w:rPr>
          <w:rFonts w:hint="eastAsia" w:ascii="宋体" w:hAnsi="宋体" w:eastAsia="宋体" w:cs="宋体"/>
          <w:color w:val="auto"/>
          <w:sz w:val="21"/>
          <w:szCs w:val="21"/>
          <w:lang w:val="en-US" w:eastAsia="zh-CN"/>
        </w:rPr>
        <w:t>按照相关规定进行处理</w:t>
      </w:r>
      <w:r>
        <w:rPr>
          <w:rFonts w:hint="eastAsia" w:ascii="宋体" w:hAnsi="宋体" w:eastAsia="宋体" w:cs="宋体"/>
          <w:color w:val="auto"/>
          <w:sz w:val="21"/>
          <w:szCs w:val="21"/>
          <w:lang w:val="zh-CN" w:eastAsia="zh-CN"/>
        </w:rPr>
        <w:t>，</w:t>
      </w:r>
      <w:r>
        <w:rPr>
          <w:rFonts w:hint="eastAsia" w:ascii="宋体" w:hAnsi="宋体" w:eastAsia="宋体" w:cs="宋体"/>
          <w:color w:val="auto"/>
          <w:sz w:val="21"/>
          <w:szCs w:val="21"/>
          <w:lang w:val="en-US" w:eastAsia="zh-CN"/>
        </w:rPr>
        <w:t>同时通知监察审计部人员、</w:t>
      </w:r>
      <w:r>
        <w:rPr>
          <w:rFonts w:hint="eastAsia" w:ascii="宋体" w:hAnsi="宋体" w:eastAsia="宋体" w:cs="宋体"/>
          <w:color w:val="auto"/>
          <w:sz w:val="21"/>
          <w:szCs w:val="21"/>
          <w:lang w:val="zh-CN" w:eastAsia="zh-CN"/>
        </w:rPr>
        <w:t>燃料部</w:t>
      </w:r>
      <w:r>
        <w:rPr>
          <w:rFonts w:hint="eastAsia" w:ascii="宋体" w:hAnsi="宋体" w:eastAsia="宋体" w:cs="宋体"/>
          <w:color w:val="auto"/>
          <w:sz w:val="21"/>
          <w:szCs w:val="21"/>
          <w:lang w:val="en-US" w:eastAsia="zh-CN"/>
        </w:rPr>
        <w:t>值班管理人员、供方人员到现场确认，并</w:t>
      </w:r>
      <w:r>
        <w:rPr>
          <w:rFonts w:hint="eastAsia" w:ascii="宋体" w:hAnsi="宋体" w:eastAsia="宋体" w:cs="宋体"/>
          <w:color w:val="auto"/>
          <w:sz w:val="21"/>
          <w:szCs w:val="21"/>
          <w:lang w:val="zh-CN" w:eastAsia="zh-CN"/>
        </w:rPr>
        <w:t>采取对比煤样，以免误判。</w:t>
      </w:r>
    </w:p>
    <w:p w14:paraId="0CF103A4">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第五条 对于出现上述第三条第（一）项异常时:</w:t>
      </w:r>
    </w:p>
    <w:p w14:paraId="7ACCAF2C">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（一）长协煤来煤按采差样处理；</w:t>
      </w:r>
    </w:p>
    <w:p w14:paraId="1A67761E">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二）长协代供煤（市场煤）按该车质量比重进行扣吨处理（若与合同异常处理条款冲突按最高标准执行）。目测该车差煤小于1吨的，选择性采差样处理；差煤大于1吨小于10吨，按3倍扣除，选择性采差样处理；差煤大于10吨的扣除整车重量，该车不采样。（如处理过程中存在争议的，该车来煤必须留存作质量备查，未接到通知不得推用）。</w:t>
      </w:r>
    </w:p>
    <w:p w14:paraId="6993210C">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第六条 对于出现上述第三条第（二）项异常时:</w:t>
      </w:r>
    </w:p>
    <w:p w14:paraId="334F322C">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长协代供煤（市场煤）按该车质量比重进行扣吨处理（若与合同异常处理条款冲突按最高标准执行）。目测该车含矸（含杂）量小于10吨的，按5倍重量扣除，该车正常采样；超过10吨的扣除整车重量，该车不采样。</w:t>
      </w:r>
    </w:p>
    <w:p w14:paraId="673C6C8C">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第七条 对于出现上述第三条第（三）项异常时:现场人员应立即制止其行为，在采样时，按增（减）子样点采取子样。热值在500kcal/kg内按重量比例采取子样量；热值在500kcal/kg至800kcal/kg按增（减）1个子样点采取子样；热值大于800kcal/kg按增（减）2个子样点采取子样。</w:t>
      </w:r>
    </w:p>
    <w:p w14:paraId="59F467D1">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第八条 对于出现上述第三条第（四）项异常时:公司不采购无烟煤，若来煤中掺配有无烟煤的，按照掺配比例进行扣吨处理，无烟煤占比整车煤10%以下，扣5吨/车，无烟煤占比10%-20%，扣10吨/车；无烟煤占比20%-30%，扣除该车煤净重的一半；无烟煤占比超过30%的，扣除整车重量。</w:t>
      </w:r>
    </w:p>
    <w:p w14:paraId="3F618F1E">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第九条 对于出现上述第三条第（五）项异常时:煤车过完重磅后在煤场内放水的，视情况进行扣吨处罚，如车坏放水的按放水量进行扣除，如人为故意放水以减轻皮重的扣10吨/次。</w:t>
      </w:r>
    </w:p>
    <w:p w14:paraId="71D2539D">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第十条 对于出现上述第三条第（六）项异常时:由燃料部、监察审计部、供应商三方见证，达成一致意见后，按协商意见进行处理。</w:t>
      </w:r>
    </w:p>
    <w:p w14:paraId="26FC1A10">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第十一条 </w:t>
      </w:r>
      <w:r>
        <w:rPr>
          <w:rFonts w:hint="eastAsia" w:ascii="宋体" w:hAnsi="宋体" w:eastAsia="宋体" w:cs="宋体"/>
          <w:color w:val="auto"/>
          <w:sz w:val="21"/>
          <w:szCs w:val="21"/>
          <w:lang w:val="zh-CN" w:eastAsia="zh-CN"/>
        </w:rPr>
        <w:t>验收人员在煤质检查中发现煤质异常时，要本着实事求是的原则按</w:t>
      </w:r>
      <w:r>
        <w:rPr>
          <w:rFonts w:hint="eastAsia" w:ascii="宋体" w:hAnsi="宋体" w:eastAsia="宋体" w:cs="宋体"/>
          <w:color w:val="auto"/>
          <w:sz w:val="21"/>
          <w:szCs w:val="21"/>
          <w:lang w:val="en-US" w:eastAsia="zh-CN"/>
        </w:rPr>
        <w:t>本</w:t>
      </w:r>
      <w:r>
        <w:rPr>
          <w:rFonts w:hint="eastAsia" w:ascii="宋体" w:hAnsi="宋体" w:eastAsia="宋体" w:cs="宋体"/>
          <w:color w:val="auto"/>
          <w:sz w:val="21"/>
          <w:szCs w:val="21"/>
          <w:lang w:val="zh-CN" w:eastAsia="zh-CN"/>
        </w:rPr>
        <w:t>办法进行处理，严禁私自处理。与供应商发生煤质纠纷时，双方应在监察审计部</w:t>
      </w:r>
      <w:r>
        <w:rPr>
          <w:rFonts w:hint="eastAsia" w:ascii="宋体" w:hAnsi="宋体" w:eastAsia="宋体" w:cs="宋体"/>
          <w:color w:val="auto"/>
          <w:sz w:val="21"/>
          <w:szCs w:val="21"/>
          <w:lang w:val="en-US" w:eastAsia="zh-CN"/>
        </w:rPr>
        <w:t>人员</w:t>
      </w:r>
      <w:r>
        <w:rPr>
          <w:rFonts w:hint="eastAsia" w:ascii="宋体" w:hAnsi="宋体" w:eastAsia="宋体" w:cs="宋体"/>
          <w:color w:val="auto"/>
          <w:sz w:val="21"/>
          <w:szCs w:val="21"/>
          <w:lang w:val="zh-CN" w:eastAsia="zh-CN"/>
        </w:rPr>
        <w:t>的监督下</w:t>
      </w:r>
      <w:r>
        <w:rPr>
          <w:rFonts w:hint="eastAsia" w:ascii="宋体" w:hAnsi="宋体" w:eastAsia="宋体" w:cs="宋体"/>
          <w:color w:val="auto"/>
          <w:sz w:val="21"/>
          <w:szCs w:val="21"/>
          <w:lang w:val="en-US" w:eastAsia="zh-CN"/>
        </w:rPr>
        <w:t>按标准</w:t>
      </w:r>
      <w:r>
        <w:rPr>
          <w:rFonts w:hint="eastAsia" w:ascii="宋体" w:hAnsi="宋体" w:eastAsia="宋体" w:cs="宋体"/>
          <w:color w:val="auto"/>
          <w:sz w:val="21"/>
          <w:szCs w:val="21"/>
          <w:lang w:val="zh-CN" w:eastAsia="zh-CN"/>
        </w:rPr>
        <w:t>处理，如供需双方意见</w:t>
      </w:r>
      <w:r>
        <w:rPr>
          <w:rFonts w:hint="eastAsia" w:ascii="宋体" w:hAnsi="宋体" w:eastAsia="宋体" w:cs="宋体"/>
          <w:color w:val="auto"/>
          <w:sz w:val="21"/>
          <w:szCs w:val="21"/>
          <w:lang w:val="en-US" w:eastAsia="zh-CN"/>
        </w:rPr>
        <w:t>不一致</w:t>
      </w:r>
      <w:r>
        <w:rPr>
          <w:rFonts w:hint="eastAsia" w:ascii="宋体" w:hAnsi="宋体" w:eastAsia="宋体" w:cs="宋体"/>
          <w:color w:val="auto"/>
          <w:sz w:val="21"/>
          <w:szCs w:val="21"/>
          <w:lang w:val="zh-CN" w:eastAsia="zh-CN"/>
        </w:rPr>
        <w:t>，双方应在监察审计部人员的监督下按照</w:t>
      </w:r>
      <w:r>
        <w:rPr>
          <w:rFonts w:hint="eastAsia" w:ascii="宋体" w:hAnsi="宋体" w:eastAsia="宋体" w:cs="宋体"/>
          <w:color w:val="auto"/>
          <w:sz w:val="21"/>
          <w:szCs w:val="21"/>
          <w:lang w:val="en-US" w:eastAsia="zh-CN"/>
        </w:rPr>
        <w:t>本办法和</w:t>
      </w:r>
      <w:r>
        <w:rPr>
          <w:rFonts w:hint="eastAsia" w:ascii="宋体" w:hAnsi="宋体" w:eastAsia="宋体" w:cs="宋体"/>
          <w:color w:val="auto"/>
          <w:sz w:val="21"/>
          <w:szCs w:val="21"/>
          <w:lang w:val="zh-CN" w:eastAsia="zh-CN"/>
        </w:rPr>
        <w:t>签订合同的相关规定</w:t>
      </w:r>
      <w:r>
        <w:rPr>
          <w:rFonts w:hint="eastAsia" w:ascii="宋体" w:hAnsi="宋体" w:eastAsia="宋体" w:cs="宋体"/>
          <w:color w:val="auto"/>
          <w:sz w:val="21"/>
          <w:szCs w:val="21"/>
          <w:lang w:val="en-US" w:eastAsia="zh-CN"/>
        </w:rPr>
        <w:t>进行</w:t>
      </w:r>
      <w:r>
        <w:rPr>
          <w:rFonts w:hint="eastAsia" w:ascii="宋体" w:hAnsi="宋体" w:eastAsia="宋体" w:cs="宋体"/>
          <w:color w:val="auto"/>
          <w:sz w:val="21"/>
          <w:szCs w:val="21"/>
          <w:lang w:val="zh-CN" w:eastAsia="zh-CN"/>
        </w:rPr>
        <w:t>处理。</w:t>
      </w:r>
    </w:p>
    <w:p w14:paraId="4DAAFE99">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en-US" w:eastAsia="zh-CN"/>
        </w:rPr>
        <w:t>第十二条 验收人员在现场发现煤质问题需要扣矸（扣吨）时，</w:t>
      </w:r>
      <w:r>
        <w:rPr>
          <w:rFonts w:hint="eastAsia" w:ascii="宋体" w:hAnsi="宋体" w:eastAsia="宋体" w:cs="宋体"/>
          <w:color w:val="auto"/>
          <w:sz w:val="21"/>
          <w:szCs w:val="21"/>
          <w:lang w:val="zh-CN" w:eastAsia="zh-CN"/>
        </w:rPr>
        <w:t>汇报班</w:t>
      </w:r>
      <w:r>
        <w:rPr>
          <w:rFonts w:hint="eastAsia" w:ascii="宋体" w:hAnsi="宋体" w:eastAsia="宋体" w:cs="宋体"/>
          <w:color w:val="auto"/>
          <w:sz w:val="21"/>
          <w:szCs w:val="21"/>
          <w:lang w:val="en-US" w:eastAsia="zh-CN"/>
        </w:rPr>
        <w:t>组</w:t>
      </w:r>
      <w:r>
        <w:rPr>
          <w:rFonts w:hint="eastAsia" w:ascii="宋体" w:hAnsi="宋体" w:eastAsia="宋体" w:cs="宋体"/>
          <w:color w:val="auto"/>
          <w:sz w:val="21"/>
          <w:szCs w:val="21"/>
          <w:lang w:val="zh-CN" w:eastAsia="zh-CN"/>
        </w:rPr>
        <w:t>长，班</w:t>
      </w:r>
      <w:r>
        <w:rPr>
          <w:rFonts w:hint="eastAsia" w:ascii="宋体" w:hAnsi="宋体" w:eastAsia="宋体" w:cs="宋体"/>
          <w:color w:val="auto"/>
          <w:sz w:val="21"/>
          <w:szCs w:val="21"/>
          <w:lang w:val="en-US" w:eastAsia="zh-CN"/>
        </w:rPr>
        <w:t>组</w:t>
      </w:r>
      <w:r>
        <w:rPr>
          <w:rFonts w:hint="eastAsia" w:ascii="宋体" w:hAnsi="宋体" w:eastAsia="宋体" w:cs="宋体"/>
          <w:color w:val="auto"/>
          <w:sz w:val="21"/>
          <w:szCs w:val="21"/>
          <w:lang w:val="zh-CN" w:eastAsia="zh-CN"/>
        </w:rPr>
        <w:t>长通知采购组人员，</w:t>
      </w:r>
      <w:r>
        <w:rPr>
          <w:rFonts w:hint="eastAsia" w:ascii="宋体" w:hAnsi="宋体" w:eastAsia="宋体" w:cs="宋体"/>
          <w:color w:val="auto"/>
          <w:sz w:val="21"/>
          <w:szCs w:val="21"/>
          <w:lang w:val="en-US" w:eastAsia="zh-CN"/>
        </w:rPr>
        <w:t>采购组人员通知供应商到场</w:t>
      </w:r>
      <w:r>
        <w:rPr>
          <w:rFonts w:hint="eastAsia" w:ascii="宋体" w:hAnsi="宋体" w:eastAsia="宋体" w:cs="宋体"/>
          <w:color w:val="auto"/>
          <w:sz w:val="21"/>
          <w:szCs w:val="21"/>
          <w:lang w:val="zh-CN" w:eastAsia="zh-CN"/>
        </w:rPr>
        <w:t>、</w:t>
      </w:r>
      <w:r>
        <w:rPr>
          <w:rFonts w:hint="eastAsia" w:ascii="宋体" w:hAnsi="宋体" w:eastAsia="宋体" w:cs="宋体"/>
          <w:color w:val="auto"/>
          <w:sz w:val="21"/>
          <w:szCs w:val="21"/>
          <w:lang w:val="en-US" w:eastAsia="zh-CN"/>
        </w:rPr>
        <w:t>在</w:t>
      </w:r>
      <w:r>
        <w:rPr>
          <w:rFonts w:hint="eastAsia" w:ascii="宋体" w:hAnsi="宋体" w:eastAsia="宋体" w:cs="宋体"/>
          <w:color w:val="auto"/>
          <w:sz w:val="21"/>
          <w:szCs w:val="21"/>
          <w:lang w:val="zh-CN" w:eastAsia="zh-CN"/>
        </w:rPr>
        <w:t>监察审计部</w:t>
      </w:r>
      <w:r>
        <w:rPr>
          <w:rFonts w:hint="eastAsia" w:ascii="宋体" w:hAnsi="宋体" w:eastAsia="宋体" w:cs="宋体"/>
          <w:color w:val="auto"/>
          <w:sz w:val="21"/>
          <w:szCs w:val="21"/>
          <w:lang w:val="en-US" w:eastAsia="zh-CN"/>
        </w:rPr>
        <w:t>监督下，</w:t>
      </w:r>
      <w:r>
        <w:rPr>
          <w:rFonts w:hint="eastAsia" w:ascii="宋体" w:hAnsi="宋体" w:eastAsia="宋体" w:cs="宋体"/>
          <w:color w:val="auto"/>
          <w:sz w:val="21"/>
          <w:szCs w:val="21"/>
          <w:lang w:val="zh-CN" w:eastAsia="zh-CN"/>
        </w:rPr>
        <w:t>共同处理并</w:t>
      </w:r>
      <w:r>
        <w:rPr>
          <w:rFonts w:hint="eastAsia" w:ascii="宋体" w:hAnsi="宋体" w:eastAsia="宋体" w:cs="宋体"/>
          <w:color w:val="auto"/>
          <w:sz w:val="21"/>
          <w:szCs w:val="21"/>
          <w:lang w:val="en-US" w:eastAsia="zh-CN"/>
        </w:rPr>
        <w:t>三方</w:t>
      </w:r>
      <w:r>
        <w:rPr>
          <w:rFonts w:hint="eastAsia" w:ascii="宋体" w:hAnsi="宋体" w:eastAsia="宋体" w:cs="宋体"/>
          <w:color w:val="auto"/>
          <w:sz w:val="21"/>
          <w:szCs w:val="21"/>
          <w:lang w:val="zh-CN" w:eastAsia="zh-CN"/>
        </w:rPr>
        <w:t>签字确认，同时汇报部门值班管理人员；扣吨超过</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lang w:val="zh-CN" w:eastAsia="zh-CN"/>
        </w:rPr>
        <w:t>吨的,部门值班管理人员必须到现场确认。</w:t>
      </w:r>
    </w:p>
    <w:p w14:paraId="67F99E32">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第十三条 供应商对现场验收人员的处理意见不同意的应立即提出，并向燃料部值班人员、</w:t>
      </w:r>
      <w:r>
        <w:rPr>
          <w:rFonts w:hint="eastAsia" w:ascii="宋体" w:hAnsi="宋体" w:eastAsia="宋体" w:cs="宋体"/>
          <w:color w:val="auto"/>
          <w:sz w:val="21"/>
          <w:szCs w:val="21"/>
          <w:lang w:val="zh-CN" w:eastAsia="zh-CN"/>
        </w:rPr>
        <w:t>监察审计部</w:t>
      </w:r>
      <w:r>
        <w:rPr>
          <w:rFonts w:hint="eastAsia" w:ascii="宋体" w:hAnsi="宋体" w:eastAsia="宋体" w:cs="宋体"/>
          <w:color w:val="auto"/>
          <w:sz w:val="21"/>
          <w:szCs w:val="21"/>
          <w:lang w:val="en-US" w:eastAsia="zh-CN"/>
        </w:rPr>
        <w:t>或现场验收人员提出申诉，验收人员遇到供应商不同意处理的，应采取措施维持煤堆摆放至现场处理结束，但超过2小时内未到现场处理视为供应商自动弃权。</w:t>
      </w:r>
    </w:p>
    <w:p w14:paraId="3BB427AB">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第十四条 供应商对验收人员的处理意见无争议者，应在验收回转票上签字确认。</w:t>
      </w:r>
    </w:p>
    <w:p w14:paraId="19C86287">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第十五条 现场争议较大需要进行仲裁检验时，必须经公司分管领导批准，由燃料部值班管理人员及监察审计部人员的监督下进行现场采样或分样。三方共同将煤样封存送至具有资质的煤炭质量监督检验机构进行检验。</w:t>
      </w:r>
    </w:p>
    <w:p w14:paraId="41E97179">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第十六条 新户头来煤，根据情况在煤场留存一定的煤量备查（不少于3车，来煤量少于3车的，全部留存）。发现老供应商的煤质近段期间差异较大时，应留存不少于2车的煤量作质量备查，并逐级汇报。</w:t>
      </w:r>
    </w:p>
    <w:p w14:paraId="745EE2C2">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en-US" w:eastAsia="zh-CN"/>
        </w:rPr>
        <w:t xml:space="preserve">第十七条 </w:t>
      </w:r>
      <w:r>
        <w:rPr>
          <w:rFonts w:hint="eastAsia" w:ascii="宋体" w:hAnsi="宋体" w:eastAsia="宋体" w:cs="宋体"/>
          <w:color w:val="auto"/>
          <w:sz w:val="21"/>
          <w:szCs w:val="21"/>
          <w:lang w:val="zh-CN" w:eastAsia="zh-CN"/>
        </w:rPr>
        <w:t>人工采样时,正常情况下应在煤车采样点处挖深400—500mm处进行采样；采样后长协煤每5车推开检查一次，市场</w:t>
      </w:r>
      <w:r>
        <w:rPr>
          <w:rFonts w:hint="eastAsia" w:ascii="宋体" w:hAnsi="宋体" w:eastAsia="宋体" w:cs="宋体"/>
          <w:color w:val="auto"/>
          <w:sz w:val="21"/>
          <w:szCs w:val="21"/>
          <w:lang w:val="en-US" w:eastAsia="zh-CN"/>
        </w:rPr>
        <w:t>煤</w:t>
      </w:r>
      <w:r>
        <w:rPr>
          <w:rFonts w:hint="eastAsia" w:ascii="宋体" w:hAnsi="宋体" w:eastAsia="宋体" w:cs="宋体"/>
          <w:color w:val="auto"/>
          <w:sz w:val="21"/>
          <w:szCs w:val="21"/>
          <w:lang w:val="zh-CN" w:eastAsia="zh-CN"/>
        </w:rPr>
        <w:t>每车</w:t>
      </w:r>
      <w:r>
        <w:rPr>
          <w:rFonts w:hint="eastAsia" w:ascii="宋体" w:hAnsi="宋体" w:eastAsia="宋体" w:cs="宋体"/>
          <w:color w:val="auto"/>
          <w:sz w:val="21"/>
          <w:szCs w:val="21"/>
          <w:lang w:val="en-US" w:eastAsia="zh-CN"/>
        </w:rPr>
        <w:t>必须</w:t>
      </w:r>
      <w:r>
        <w:rPr>
          <w:rFonts w:hint="eastAsia" w:ascii="宋体" w:hAnsi="宋体" w:eastAsia="宋体" w:cs="宋体"/>
          <w:color w:val="auto"/>
          <w:sz w:val="21"/>
          <w:szCs w:val="21"/>
          <w:lang w:val="zh-CN" w:eastAsia="zh-CN"/>
        </w:rPr>
        <w:t>推开检查。特殊情况下(如卸煤时发现</w:t>
      </w:r>
      <w:r>
        <w:rPr>
          <w:rFonts w:hint="eastAsia" w:ascii="宋体" w:hAnsi="宋体" w:eastAsia="宋体" w:cs="宋体"/>
          <w:color w:val="auto"/>
          <w:sz w:val="21"/>
          <w:szCs w:val="21"/>
          <w:lang w:val="en-US" w:eastAsia="zh-CN"/>
        </w:rPr>
        <w:t>分层、分段、上下混装、夹心、前后装不同种煤</w:t>
      </w:r>
      <w:r>
        <w:rPr>
          <w:rFonts w:hint="eastAsia" w:ascii="宋体" w:hAnsi="宋体" w:eastAsia="宋体" w:cs="宋体"/>
          <w:color w:val="auto"/>
          <w:sz w:val="21"/>
          <w:szCs w:val="21"/>
          <w:lang w:val="zh-CN" w:eastAsia="zh-CN"/>
        </w:rPr>
        <w:t>等</w:t>
      </w:r>
      <w:r>
        <w:rPr>
          <w:rFonts w:hint="eastAsia" w:ascii="宋体" w:hAnsi="宋体" w:eastAsia="宋体" w:cs="宋体"/>
          <w:color w:val="auto"/>
          <w:sz w:val="21"/>
          <w:szCs w:val="21"/>
          <w:lang w:val="en-US" w:eastAsia="zh-CN"/>
        </w:rPr>
        <w:t>情况</w:t>
      </w:r>
      <w:r>
        <w:rPr>
          <w:rFonts w:hint="eastAsia" w:ascii="宋体" w:hAnsi="宋体" w:eastAsia="宋体" w:cs="宋体"/>
          <w:color w:val="auto"/>
          <w:sz w:val="21"/>
          <w:szCs w:val="21"/>
          <w:lang w:val="zh-CN" w:eastAsia="zh-CN"/>
        </w:rPr>
        <w:t>)，可根据掺假部位的深度来挖采样点或用推土机推开来进行采样。</w:t>
      </w:r>
    </w:p>
    <w:p w14:paraId="3D2194D7">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第十八条 对以上异常处理或扣吨时，监察审计部人员应对现场煤质异常情况进行拍照、录像，并对影像资料进行归档、备案，资料存放时间不得少于3年。收煤班班长要在工作日志上做好相应记录。</w:t>
      </w:r>
    </w:p>
    <w:p w14:paraId="30CBD861">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en-US" w:eastAsia="zh-CN"/>
        </w:rPr>
        <w:t>第十九 条</w:t>
      </w:r>
      <w:r>
        <w:rPr>
          <w:rFonts w:hint="eastAsia" w:ascii="宋体" w:hAnsi="宋体" w:eastAsia="宋体" w:cs="宋体"/>
          <w:color w:val="auto"/>
          <w:sz w:val="21"/>
          <w:szCs w:val="21"/>
          <w:lang w:val="zh-CN" w:eastAsia="zh-CN"/>
        </w:rPr>
        <w:t>协议的生效</w:t>
      </w:r>
    </w:p>
    <w:p w14:paraId="184B59CB">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（一）本协议自合同双方法定代表人签字或加盖法人章（授权委托人签字）并加盖公章或合同章后生效。</w:t>
      </w:r>
    </w:p>
    <w:p w14:paraId="3CB8C3E0">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（二）</w:t>
      </w:r>
      <w:r>
        <w:rPr>
          <w:rFonts w:hint="eastAsia" w:ascii="宋体" w:hAnsi="宋体" w:eastAsia="宋体" w:cs="宋体"/>
          <w:color w:val="auto"/>
          <w:sz w:val="21"/>
          <w:szCs w:val="21"/>
          <w:lang w:val="en-US" w:eastAsia="zh-CN"/>
        </w:rPr>
        <w:t>本协议一式贰份，甲乙双方各执壹份，</w:t>
      </w:r>
      <w:r>
        <w:rPr>
          <w:rFonts w:hint="eastAsia" w:ascii="宋体" w:hAnsi="宋体" w:eastAsia="宋体" w:cs="宋体"/>
          <w:color w:val="auto"/>
          <w:sz w:val="21"/>
          <w:szCs w:val="21"/>
          <w:lang w:val="zh-CN" w:eastAsia="zh-CN"/>
        </w:rPr>
        <w:t>在合同授予、履行的全过程有效，并作为合同的附件。</w:t>
      </w:r>
    </w:p>
    <w:p w14:paraId="0A3C2EED">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p>
    <w:p w14:paraId="30D2F67E">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p>
    <w:p w14:paraId="6B72F120">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p>
    <w:p w14:paraId="0D5C8DDD">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p>
    <w:p w14:paraId="409DFFE7">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p>
    <w:p w14:paraId="4E5567AE">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甲    方：贵州钟山野马寨热电有限责任公司 （</w:t>
      </w:r>
      <w:r>
        <w:rPr>
          <w:rFonts w:hint="eastAsia" w:ascii="宋体" w:hAnsi="宋体" w:eastAsia="宋体" w:cs="宋体"/>
          <w:color w:val="auto"/>
          <w:sz w:val="21"/>
          <w:szCs w:val="21"/>
          <w:lang w:val="en-US" w:eastAsia="zh-CN"/>
        </w:rPr>
        <w:t>章</w:t>
      </w:r>
      <w:r>
        <w:rPr>
          <w:rFonts w:hint="eastAsia" w:ascii="宋体" w:hAnsi="宋体" w:eastAsia="宋体" w:cs="宋体"/>
          <w:color w:val="auto"/>
          <w:sz w:val="21"/>
          <w:szCs w:val="21"/>
          <w:lang w:val="zh-CN" w:eastAsia="zh-CN"/>
        </w:rPr>
        <w:t xml:space="preserve">）                </w:t>
      </w:r>
    </w:p>
    <w:p w14:paraId="315074A5">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p>
    <w:p w14:paraId="21035063">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hAnsi="宋体" w:cs="宋体"/>
          <w:color w:val="auto"/>
          <w:sz w:val="21"/>
          <w:szCs w:val="21"/>
          <w:lang w:val="en-US" w:eastAsia="zh-CN"/>
        </w:rPr>
        <w:t>法定代表</w:t>
      </w:r>
      <w:r>
        <w:rPr>
          <w:rFonts w:hint="eastAsia" w:ascii="宋体" w:hAnsi="宋体" w:eastAsia="宋体" w:cs="宋体"/>
          <w:color w:val="auto"/>
          <w:sz w:val="21"/>
          <w:szCs w:val="21"/>
          <w:lang w:val="zh-CN" w:eastAsia="zh-CN"/>
        </w:rPr>
        <w:t>人（或被授权人）</w:t>
      </w:r>
      <w:r>
        <w:rPr>
          <w:rFonts w:hint="eastAsia" w:hAnsi="宋体" w:cs="宋体"/>
          <w:color w:val="auto"/>
          <w:sz w:val="21"/>
          <w:szCs w:val="21"/>
          <w:lang w:val="en-US" w:eastAsia="zh-CN"/>
        </w:rPr>
        <w:t>（</w:t>
      </w:r>
      <w:r>
        <w:rPr>
          <w:rFonts w:hint="eastAsia" w:ascii="宋体" w:hAnsi="宋体" w:eastAsia="宋体" w:cs="宋体"/>
          <w:color w:val="auto"/>
          <w:sz w:val="21"/>
          <w:szCs w:val="21"/>
          <w:lang w:val="en-US" w:eastAsia="zh-CN"/>
        </w:rPr>
        <w:t>签字</w:t>
      </w:r>
      <w:r>
        <w:rPr>
          <w:rFonts w:hint="eastAsia" w:hAnsi="宋体" w:cs="宋体"/>
          <w:color w:val="auto"/>
          <w:sz w:val="21"/>
          <w:szCs w:val="21"/>
          <w:lang w:val="en-US" w:eastAsia="zh-CN"/>
        </w:rPr>
        <w:t>或盖法人章）</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val="zh-CN" w:eastAsia="zh-CN"/>
        </w:rPr>
        <w:t>：</w:t>
      </w:r>
      <w:r>
        <w:rPr>
          <w:rFonts w:hint="eastAsia" w:ascii="宋体" w:hAnsi="宋体" w:eastAsia="宋体" w:cs="宋体"/>
          <w:color w:val="auto"/>
          <w:sz w:val="21"/>
          <w:szCs w:val="21"/>
          <w:lang w:val="en-US" w:eastAsia="zh-CN"/>
        </w:rPr>
        <w:t xml:space="preserve">                </w:t>
      </w:r>
    </w:p>
    <w:p w14:paraId="6C129146">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p>
    <w:p w14:paraId="48F29642">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zh-CN" w:eastAsia="zh-CN"/>
        </w:rPr>
        <w:t>签字日期：</w:t>
      </w:r>
      <w:r>
        <w:rPr>
          <w:rFonts w:hint="eastAsia" w:ascii="宋体" w:hAnsi="宋体" w:eastAsia="宋体" w:cs="宋体"/>
          <w:color w:val="auto"/>
          <w:sz w:val="21"/>
          <w:szCs w:val="21"/>
          <w:lang w:val="en-US" w:eastAsia="zh-CN"/>
        </w:rPr>
        <w:t>2025年XX月XXX日</w:t>
      </w:r>
    </w:p>
    <w:p w14:paraId="15A293EE">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p>
    <w:p w14:paraId="6F48E102">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p>
    <w:p w14:paraId="04ED03E9">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zh-CN" w:eastAsia="zh-CN"/>
        </w:rPr>
        <w:t>乙    方：</w:t>
      </w:r>
      <w:r>
        <w:rPr>
          <w:rFonts w:hint="eastAsia" w:ascii="宋体" w:hAnsi="宋体" w:eastAsia="宋体" w:cs="宋体"/>
          <w:color w:val="auto"/>
          <w:sz w:val="21"/>
          <w:szCs w:val="21"/>
          <w:lang w:val="en-US" w:eastAsia="zh-CN"/>
        </w:rPr>
        <w:t>XXXXXXXXX</w:t>
      </w:r>
      <w:r>
        <w:rPr>
          <w:rFonts w:hint="eastAsia" w:ascii="宋体" w:hAnsi="宋体" w:eastAsia="宋体" w:cs="宋体"/>
          <w:color w:val="auto"/>
          <w:sz w:val="21"/>
          <w:szCs w:val="21"/>
          <w:lang w:val="zh-CN" w:eastAsia="zh-CN"/>
        </w:rPr>
        <w:t>公司（</w:t>
      </w:r>
      <w:r>
        <w:rPr>
          <w:rFonts w:hint="eastAsia" w:ascii="宋体" w:hAnsi="宋体" w:eastAsia="宋体" w:cs="宋体"/>
          <w:color w:val="auto"/>
          <w:sz w:val="21"/>
          <w:szCs w:val="21"/>
          <w:lang w:val="en-US" w:eastAsia="zh-CN"/>
        </w:rPr>
        <w:t>章</w:t>
      </w:r>
      <w:r>
        <w:rPr>
          <w:rFonts w:hint="eastAsia" w:ascii="宋体" w:hAnsi="宋体" w:eastAsia="宋体" w:cs="宋体"/>
          <w:color w:val="auto"/>
          <w:sz w:val="21"/>
          <w:szCs w:val="21"/>
          <w:lang w:val="zh-CN" w:eastAsia="zh-CN"/>
        </w:rPr>
        <w:t xml:space="preserve">） </w:t>
      </w:r>
    </w:p>
    <w:p w14:paraId="4824BF74">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p>
    <w:p w14:paraId="72A0A45A">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hAnsi="宋体" w:cs="宋体"/>
          <w:color w:val="auto"/>
          <w:sz w:val="21"/>
          <w:szCs w:val="21"/>
          <w:lang w:val="en-US" w:eastAsia="zh-CN"/>
        </w:rPr>
        <w:t>法定代表</w:t>
      </w:r>
      <w:r>
        <w:rPr>
          <w:rFonts w:hint="eastAsia" w:ascii="宋体" w:hAnsi="宋体" w:eastAsia="宋体" w:cs="宋体"/>
          <w:color w:val="auto"/>
          <w:sz w:val="21"/>
          <w:szCs w:val="21"/>
          <w:lang w:val="zh-CN" w:eastAsia="zh-CN"/>
        </w:rPr>
        <w:t>人（或被授权人）</w:t>
      </w:r>
      <w:r>
        <w:rPr>
          <w:rFonts w:hint="eastAsia" w:hAnsi="宋体" w:cs="宋体"/>
          <w:color w:val="auto"/>
          <w:sz w:val="21"/>
          <w:szCs w:val="21"/>
          <w:lang w:val="en-US" w:eastAsia="zh-CN"/>
        </w:rPr>
        <w:t>（</w:t>
      </w:r>
      <w:r>
        <w:rPr>
          <w:rFonts w:hint="eastAsia" w:ascii="宋体" w:hAnsi="宋体" w:eastAsia="宋体" w:cs="宋体"/>
          <w:color w:val="auto"/>
          <w:sz w:val="21"/>
          <w:szCs w:val="21"/>
          <w:lang w:val="en-US" w:eastAsia="zh-CN"/>
        </w:rPr>
        <w:t>签字</w:t>
      </w:r>
      <w:r>
        <w:rPr>
          <w:rFonts w:hint="eastAsia" w:hAnsi="宋体" w:cs="宋体"/>
          <w:color w:val="auto"/>
          <w:sz w:val="21"/>
          <w:szCs w:val="21"/>
          <w:lang w:val="en-US" w:eastAsia="zh-CN"/>
        </w:rPr>
        <w:t>或盖法人章）</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val="zh-CN" w:eastAsia="zh-CN"/>
        </w:rPr>
        <w:t>：</w:t>
      </w:r>
      <w:r>
        <w:rPr>
          <w:rFonts w:hint="eastAsia" w:ascii="宋体" w:hAnsi="宋体" w:eastAsia="宋体" w:cs="宋体"/>
          <w:color w:val="auto"/>
          <w:sz w:val="21"/>
          <w:szCs w:val="21"/>
          <w:lang w:val="en-US" w:eastAsia="zh-CN"/>
        </w:rPr>
        <w:t xml:space="preserve">               </w:t>
      </w:r>
    </w:p>
    <w:p w14:paraId="6FB85DF5">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p>
    <w:p w14:paraId="1767C499">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zh-CN" w:eastAsia="zh-CN"/>
        </w:rPr>
        <w:t>签字日期：</w:t>
      </w:r>
      <w:r>
        <w:rPr>
          <w:rFonts w:hint="eastAsia" w:ascii="宋体" w:hAnsi="宋体" w:eastAsia="宋体" w:cs="宋体"/>
          <w:color w:val="auto"/>
          <w:sz w:val="21"/>
          <w:szCs w:val="21"/>
          <w:lang w:val="en-US" w:eastAsia="zh-CN"/>
        </w:rPr>
        <w:t>2025年XX月XX日</w:t>
      </w:r>
    </w:p>
    <w:p w14:paraId="053C43C8">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sectPr>
          <w:footerReference r:id="rId8"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6E726CA4">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1"/>
          <w:szCs w:val="21"/>
          <w:lang w:val="en-US" w:eastAsia="zh-CN"/>
        </w:rPr>
      </w:pPr>
    </w:p>
    <w:p w14:paraId="315792DB">
      <w:pPr>
        <w:pStyle w:val="2"/>
        <w:bidi w:val="0"/>
        <w:jc w:val="center"/>
        <w:rPr>
          <w:rFonts w:hint="eastAsia" w:ascii="宋体" w:hAnsi="宋体" w:eastAsia="宋体" w:cs="宋体"/>
        </w:rPr>
      </w:pPr>
      <w:r>
        <w:rPr>
          <w:rFonts w:hint="eastAsia" w:ascii="宋体" w:hAnsi="宋体" w:eastAsia="宋体" w:cs="宋体"/>
        </w:rPr>
        <w:t>第</w:t>
      </w:r>
      <w:r>
        <w:rPr>
          <w:rFonts w:hint="eastAsia" w:ascii="宋体" w:hAnsi="宋体" w:cs="宋体"/>
          <w:lang w:val="en-US" w:eastAsia="zh-CN"/>
        </w:rPr>
        <w:t>六</w:t>
      </w:r>
      <w:r>
        <w:rPr>
          <w:rFonts w:hint="eastAsia" w:ascii="宋体" w:hAnsi="宋体" w:eastAsia="宋体" w:cs="宋体"/>
        </w:rPr>
        <w:t xml:space="preserve">章  </w:t>
      </w:r>
      <w:r>
        <w:rPr>
          <w:rFonts w:hint="eastAsia" w:ascii="宋体" w:hAnsi="宋体" w:cs="宋体"/>
          <w:lang w:eastAsia="zh-CN"/>
        </w:rPr>
        <w:t>谈判</w:t>
      </w:r>
      <w:r>
        <w:rPr>
          <w:rFonts w:hint="eastAsia" w:ascii="宋体" w:hAnsi="宋体" w:eastAsia="宋体" w:cs="宋体"/>
        </w:rPr>
        <w:t>程序、评定成交标准、</w:t>
      </w:r>
      <w:r>
        <w:rPr>
          <w:rFonts w:hint="eastAsia" w:ascii="宋体" w:hAnsi="宋体" w:cs="宋体"/>
          <w:lang w:eastAsia="zh-CN"/>
        </w:rPr>
        <w:t>谈判</w:t>
      </w:r>
      <w:r>
        <w:rPr>
          <w:rFonts w:hint="eastAsia" w:ascii="宋体" w:hAnsi="宋体" w:eastAsia="宋体" w:cs="宋体"/>
        </w:rPr>
        <w:t>原则及</w:t>
      </w:r>
      <w:r>
        <w:rPr>
          <w:rFonts w:hint="eastAsia" w:ascii="宋体" w:hAnsi="宋体" w:cs="宋体"/>
          <w:lang w:eastAsia="zh-CN"/>
        </w:rPr>
        <w:t>谈判</w:t>
      </w:r>
      <w:r>
        <w:rPr>
          <w:rFonts w:hint="eastAsia" w:ascii="宋体" w:hAnsi="宋体" w:eastAsia="宋体" w:cs="宋体"/>
        </w:rPr>
        <w:t>纪律</w:t>
      </w:r>
      <w:bookmarkEnd w:id="28"/>
    </w:p>
    <w:p w14:paraId="53A3C5D4">
      <w:pPr>
        <w:spacing w:line="360" w:lineRule="auto"/>
        <w:rPr>
          <w:rFonts w:hint="eastAsia" w:ascii="宋体" w:hAnsi="宋体" w:eastAsia="宋体" w:cs="宋体"/>
          <w:color w:val="auto"/>
          <w:szCs w:val="21"/>
        </w:rPr>
      </w:pPr>
      <w:r>
        <w:rPr>
          <w:rFonts w:hint="eastAsia" w:ascii="宋体" w:hAnsi="宋体" w:eastAsia="宋体" w:cs="宋体"/>
          <w:color w:val="auto"/>
          <w:szCs w:val="21"/>
        </w:rPr>
        <w:t>一、</w:t>
      </w:r>
      <w:r>
        <w:rPr>
          <w:rFonts w:hint="eastAsia" w:ascii="宋体" w:hAnsi="宋体" w:cs="宋体"/>
          <w:color w:val="auto"/>
          <w:szCs w:val="21"/>
          <w:lang w:eastAsia="zh-CN"/>
        </w:rPr>
        <w:t>谈判</w:t>
      </w:r>
      <w:r>
        <w:rPr>
          <w:rFonts w:hint="eastAsia" w:ascii="宋体" w:hAnsi="宋体" w:eastAsia="宋体" w:cs="宋体"/>
          <w:color w:val="auto"/>
          <w:szCs w:val="21"/>
          <w:lang w:val="en-US" w:eastAsia="zh-CN"/>
        </w:rPr>
        <w:t>定标</w:t>
      </w:r>
      <w:r>
        <w:rPr>
          <w:rFonts w:hint="eastAsia" w:ascii="宋体" w:hAnsi="宋体" w:eastAsia="宋体" w:cs="宋体"/>
          <w:color w:val="auto"/>
          <w:szCs w:val="21"/>
        </w:rPr>
        <w:t>原则</w:t>
      </w:r>
    </w:p>
    <w:p w14:paraId="64881434">
      <w:pPr>
        <w:spacing w:line="360" w:lineRule="auto"/>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1</w:t>
      </w:r>
      <w:r>
        <w:rPr>
          <w:rFonts w:hint="eastAsia" w:ascii="宋体" w:hAnsi="宋体" w:cs="宋体"/>
          <w:color w:val="auto"/>
          <w:szCs w:val="21"/>
          <w:lang w:val="en-US" w:eastAsia="zh-CN"/>
        </w:rPr>
        <w:t>.</w:t>
      </w:r>
      <w:r>
        <w:rPr>
          <w:rFonts w:hint="eastAsia" w:ascii="宋体" w:hAnsi="宋体" w:eastAsia="宋体" w:cs="宋体"/>
          <w:color w:val="auto"/>
          <w:szCs w:val="21"/>
          <w:lang w:eastAsia="zh-CN"/>
        </w:rPr>
        <w:t>本项目</w:t>
      </w:r>
      <w:r>
        <w:rPr>
          <w:rFonts w:hint="eastAsia" w:ascii="宋体" w:hAnsi="宋体" w:cs="宋体"/>
          <w:color w:val="auto"/>
          <w:szCs w:val="21"/>
          <w:lang w:val="en-US" w:eastAsia="zh-CN"/>
        </w:rPr>
        <w:t>原则上</w:t>
      </w:r>
      <w:r>
        <w:rPr>
          <w:rFonts w:hint="eastAsia" w:ascii="宋体" w:hAnsi="宋体" w:eastAsia="宋体" w:cs="宋体"/>
          <w:color w:val="auto"/>
          <w:szCs w:val="21"/>
          <w:lang w:eastAsia="zh-CN"/>
        </w:rPr>
        <w:t>为两次报价，第一次报价为书面报价（即响应文件报价）；第二次报价为最后报价（即供应商</w:t>
      </w:r>
      <w:r>
        <w:rPr>
          <w:rFonts w:hint="eastAsia" w:ascii="宋体" w:hAnsi="宋体" w:eastAsia="宋体" w:cs="宋体"/>
          <w:color w:val="auto"/>
          <w:szCs w:val="21"/>
          <w:lang w:val="en-US" w:eastAsia="zh-CN"/>
        </w:rPr>
        <w:t>法定代表人或授权代理人填写的最后报价单</w:t>
      </w:r>
      <w:r>
        <w:rPr>
          <w:rFonts w:hint="eastAsia" w:ascii="宋体" w:hAnsi="宋体" w:eastAsia="宋体" w:cs="宋体"/>
          <w:color w:val="auto"/>
          <w:szCs w:val="21"/>
          <w:lang w:eastAsia="zh-CN"/>
        </w:rPr>
        <w:t>）</w:t>
      </w:r>
      <w:r>
        <w:rPr>
          <w:rFonts w:hint="eastAsia" w:ascii="宋体" w:hAnsi="宋体" w:cs="宋体"/>
          <w:color w:val="auto"/>
          <w:szCs w:val="21"/>
          <w:lang w:eastAsia="zh-CN"/>
        </w:rPr>
        <w:t>。</w:t>
      </w:r>
      <w:r>
        <w:rPr>
          <w:rFonts w:hint="eastAsia" w:ascii="宋体" w:hAnsi="宋体" w:cs="宋体"/>
          <w:color w:val="auto"/>
          <w:szCs w:val="21"/>
          <w:lang w:val="en-US" w:eastAsia="zh-CN"/>
        </w:rPr>
        <w:t>特殊情况如有需要，</w:t>
      </w:r>
      <w:r>
        <w:rPr>
          <w:rFonts w:hint="eastAsia" w:ascii="宋体" w:hAnsi="宋体" w:eastAsia="宋体" w:cs="宋体"/>
          <w:color w:val="auto"/>
          <w:szCs w:val="21"/>
          <w:lang w:eastAsia="zh-CN"/>
        </w:rPr>
        <w:t>谈判小组</w:t>
      </w:r>
      <w:r>
        <w:rPr>
          <w:rFonts w:hint="eastAsia" w:ascii="宋体" w:hAnsi="宋体" w:cs="宋体"/>
          <w:color w:val="auto"/>
          <w:szCs w:val="21"/>
          <w:lang w:val="en-US" w:eastAsia="zh-CN"/>
        </w:rPr>
        <w:t>共同研判同意后可进行第三次报价。</w:t>
      </w:r>
    </w:p>
    <w:p w14:paraId="6C1444A9">
      <w:pPr>
        <w:spacing w:line="360" w:lineRule="auto"/>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2</w:t>
      </w:r>
      <w:r>
        <w:rPr>
          <w:rFonts w:hint="eastAsia" w:ascii="宋体" w:hAnsi="宋体" w:cs="宋体"/>
          <w:color w:val="auto"/>
          <w:szCs w:val="21"/>
          <w:lang w:val="en-US" w:eastAsia="zh-CN"/>
        </w:rPr>
        <w:t>.</w:t>
      </w:r>
      <w:r>
        <w:rPr>
          <w:rFonts w:hint="eastAsia" w:ascii="宋体" w:hAnsi="宋体" w:eastAsia="宋体" w:cs="宋体"/>
          <w:color w:val="auto"/>
          <w:szCs w:val="21"/>
          <w:lang w:eastAsia="zh-CN"/>
        </w:rPr>
        <w:t>经谈判确定最终采购需求和提交最后报价的供应商后，由谈判小组采用最低评标价法对提交最后报价的供应商的响应文件和最后报价进行排名。最低评标价法，是指响应⽂件满⾜谈判⽂件全部实质性要求且最后报价最低的供应商成交。</w:t>
      </w:r>
    </w:p>
    <w:p w14:paraId="6A2F401D">
      <w:pPr>
        <w:spacing w:line="360" w:lineRule="auto"/>
        <w:rPr>
          <w:rFonts w:hint="eastAsia" w:ascii="宋体" w:hAnsi="宋体" w:eastAsia="宋体" w:cs="宋体"/>
          <w:color w:val="auto"/>
          <w:szCs w:val="21"/>
        </w:rPr>
      </w:pPr>
      <w:r>
        <w:rPr>
          <w:rFonts w:hint="eastAsia" w:ascii="宋体" w:hAnsi="宋体" w:eastAsia="宋体" w:cs="宋体"/>
          <w:color w:val="auto"/>
          <w:szCs w:val="21"/>
        </w:rPr>
        <w:t>二、</w:t>
      </w:r>
      <w:r>
        <w:rPr>
          <w:rFonts w:hint="eastAsia" w:ascii="宋体" w:hAnsi="宋体" w:cs="宋体"/>
          <w:color w:val="auto"/>
          <w:szCs w:val="21"/>
          <w:lang w:eastAsia="zh-CN"/>
        </w:rPr>
        <w:t>谈判</w:t>
      </w:r>
      <w:r>
        <w:rPr>
          <w:rFonts w:hint="eastAsia" w:ascii="宋体" w:hAnsi="宋体" w:eastAsia="宋体" w:cs="宋体"/>
          <w:color w:val="auto"/>
          <w:szCs w:val="21"/>
        </w:rPr>
        <w:t>程序：</w:t>
      </w:r>
    </w:p>
    <w:p w14:paraId="6D5665D9">
      <w:pPr>
        <w:spacing w:line="360" w:lineRule="auto"/>
        <w:rPr>
          <w:rFonts w:hint="eastAsia" w:ascii="宋体" w:hAnsi="宋体" w:eastAsia="宋体" w:cs="宋体"/>
          <w:color w:val="auto"/>
          <w:szCs w:val="21"/>
        </w:rPr>
      </w:pPr>
      <w:r>
        <w:rPr>
          <w:rFonts w:hint="eastAsia" w:ascii="宋体" w:hAnsi="宋体" w:eastAsia="宋体" w:cs="宋体"/>
          <w:color w:val="auto"/>
          <w:szCs w:val="21"/>
        </w:rPr>
        <w:t>1</w:t>
      </w:r>
      <w:r>
        <w:rPr>
          <w:rFonts w:hint="eastAsia" w:ascii="宋体" w:hAnsi="宋体" w:cs="宋体"/>
          <w:color w:val="auto"/>
          <w:szCs w:val="21"/>
          <w:lang w:eastAsia="zh-CN"/>
        </w:rPr>
        <w:t>.谈判</w:t>
      </w:r>
      <w:r>
        <w:rPr>
          <w:rFonts w:hint="eastAsia" w:ascii="宋体" w:hAnsi="宋体" w:eastAsia="宋体" w:cs="宋体"/>
          <w:color w:val="auto"/>
          <w:szCs w:val="21"/>
        </w:rPr>
        <w:t>主持人宣布</w:t>
      </w:r>
      <w:r>
        <w:rPr>
          <w:rFonts w:hint="eastAsia" w:ascii="宋体" w:hAnsi="宋体" w:cs="宋体"/>
          <w:color w:val="auto"/>
          <w:szCs w:val="21"/>
          <w:lang w:eastAsia="zh-CN"/>
        </w:rPr>
        <w:t>谈判</w:t>
      </w:r>
      <w:r>
        <w:rPr>
          <w:rFonts w:hint="eastAsia" w:ascii="宋体" w:hAnsi="宋体" w:eastAsia="宋体" w:cs="宋体"/>
          <w:color w:val="auto"/>
          <w:szCs w:val="21"/>
        </w:rPr>
        <w:t>会议开始，介绍出席</w:t>
      </w:r>
      <w:r>
        <w:rPr>
          <w:rFonts w:hint="eastAsia" w:ascii="宋体" w:hAnsi="宋体" w:cs="宋体"/>
          <w:color w:val="auto"/>
          <w:szCs w:val="21"/>
          <w:lang w:eastAsia="zh-CN"/>
        </w:rPr>
        <w:t>谈判</w:t>
      </w:r>
      <w:r>
        <w:rPr>
          <w:rFonts w:hint="eastAsia" w:ascii="宋体" w:hAnsi="宋体" w:eastAsia="宋体" w:cs="宋体"/>
          <w:color w:val="auto"/>
          <w:szCs w:val="21"/>
        </w:rPr>
        <w:t>会议的有关人员；</w:t>
      </w:r>
    </w:p>
    <w:p w14:paraId="251E2D01">
      <w:pPr>
        <w:spacing w:line="360" w:lineRule="auto"/>
        <w:rPr>
          <w:rFonts w:hint="eastAsia" w:ascii="宋体" w:hAnsi="宋体" w:eastAsia="宋体" w:cs="宋体"/>
          <w:color w:val="auto"/>
          <w:szCs w:val="21"/>
        </w:rPr>
      </w:pPr>
      <w:r>
        <w:rPr>
          <w:rFonts w:hint="eastAsia" w:ascii="宋体" w:hAnsi="宋体" w:eastAsia="宋体" w:cs="宋体"/>
          <w:color w:val="auto"/>
          <w:szCs w:val="21"/>
        </w:rPr>
        <w:t>2</w:t>
      </w:r>
      <w:r>
        <w:rPr>
          <w:rFonts w:hint="eastAsia" w:ascii="宋体" w:hAnsi="宋体" w:cs="宋体"/>
          <w:color w:val="auto"/>
          <w:szCs w:val="21"/>
          <w:lang w:eastAsia="zh-CN"/>
        </w:rPr>
        <w:t>.</w:t>
      </w:r>
      <w:r>
        <w:rPr>
          <w:rFonts w:hint="eastAsia" w:ascii="宋体" w:hAnsi="宋体" w:eastAsia="宋体" w:cs="宋体"/>
          <w:color w:val="auto"/>
          <w:szCs w:val="21"/>
        </w:rPr>
        <w:t>宣布响应文件递交截止时间止，实际参加</w:t>
      </w:r>
      <w:r>
        <w:rPr>
          <w:rFonts w:hint="eastAsia" w:ascii="宋体" w:hAnsi="宋体" w:cs="宋体"/>
          <w:color w:val="auto"/>
          <w:szCs w:val="21"/>
          <w:lang w:eastAsia="zh-CN"/>
        </w:rPr>
        <w:t>谈判</w:t>
      </w:r>
      <w:r>
        <w:rPr>
          <w:rFonts w:hint="eastAsia" w:ascii="宋体" w:hAnsi="宋体" w:eastAsia="宋体" w:cs="宋体"/>
          <w:color w:val="auto"/>
          <w:szCs w:val="21"/>
        </w:rPr>
        <w:t>的供应商数量；</w:t>
      </w:r>
    </w:p>
    <w:p w14:paraId="13334F6C">
      <w:pPr>
        <w:spacing w:line="360" w:lineRule="auto"/>
        <w:rPr>
          <w:rFonts w:hint="eastAsia" w:ascii="宋体" w:hAnsi="宋体" w:eastAsia="宋体" w:cs="宋体"/>
          <w:color w:val="auto"/>
        </w:rPr>
      </w:pPr>
      <w:r>
        <w:rPr>
          <w:rFonts w:hint="eastAsia" w:ascii="宋体" w:hAnsi="宋体" w:eastAsia="宋体" w:cs="宋体"/>
          <w:color w:val="auto"/>
          <w:szCs w:val="21"/>
        </w:rPr>
        <w:t>3</w:t>
      </w:r>
      <w:r>
        <w:rPr>
          <w:rFonts w:hint="eastAsia" w:ascii="宋体" w:hAnsi="宋体" w:cs="宋体"/>
          <w:color w:val="auto"/>
          <w:szCs w:val="21"/>
          <w:lang w:eastAsia="zh-CN"/>
        </w:rPr>
        <w:t>.</w:t>
      </w:r>
      <w:r>
        <w:rPr>
          <w:rFonts w:hint="eastAsia" w:ascii="宋体" w:hAnsi="宋体" w:eastAsia="宋体" w:cs="宋体"/>
          <w:color w:val="auto"/>
          <w:szCs w:val="21"/>
        </w:rPr>
        <w:t>供应商推荐代表检查响应文件的密封情况，并签字确认；</w:t>
      </w:r>
    </w:p>
    <w:p w14:paraId="23B075ED">
      <w:pPr>
        <w:spacing w:line="360" w:lineRule="auto"/>
        <w:rPr>
          <w:rFonts w:hint="eastAsia" w:ascii="宋体" w:hAnsi="宋体" w:eastAsia="宋体" w:cs="宋体"/>
          <w:color w:val="auto"/>
          <w:szCs w:val="21"/>
        </w:rPr>
      </w:pPr>
      <w:r>
        <w:rPr>
          <w:rFonts w:hint="eastAsia" w:ascii="宋体" w:hAnsi="宋体" w:eastAsia="宋体" w:cs="宋体"/>
          <w:color w:val="auto"/>
          <w:szCs w:val="21"/>
        </w:rPr>
        <w:t>4</w:t>
      </w:r>
      <w:r>
        <w:rPr>
          <w:rFonts w:hint="eastAsia" w:ascii="宋体" w:hAnsi="宋体" w:cs="宋体"/>
          <w:color w:val="auto"/>
          <w:szCs w:val="21"/>
          <w:lang w:eastAsia="zh-CN"/>
        </w:rPr>
        <w:t>.谈判</w:t>
      </w:r>
      <w:r>
        <w:rPr>
          <w:rFonts w:hint="eastAsia" w:ascii="宋体" w:hAnsi="宋体" w:eastAsia="宋体" w:cs="宋体"/>
          <w:color w:val="auto"/>
          <w:szCs w:val="21"/>
        </w:rPr>
        <w:t>主持人公布检查响应文件密封检查结果，密封检查不合格响应文件供应商的不进入资格审查，响应文件原封退回给密封检查不合格供应商；</w:t>
      </w:r>
    </w:p>
    <w:p w14:paraId="0046A25E">
      <w:pPr>
        <w:spacing w:line="360" w:lineRule="auto"/>
        <w:rPr>
          <w:rFonts w:hint="eastAsia" w:ascii="宋体" w:hAnsi="宋体" w:eastAsia="宋体" w:cs="宋体"/>
          <w:color w:val="auto"/>
          <w:szCs w:val="21"/>
        </w:rPr>
      </w:pPr>
      <w:r>
        <w:rPr>
          <w:rFonts w:hint="eastAsia" w:ascii="宋体" w:hAnsi="宋体" w:eastAsia="宋体" w:cs="宋体"/>
          <w:color w:val="auto"/>
          <w:szCs w:val="21"/>
        </w:rPr>
        <w:t>5</w:t>
      </w:r>
      <w:r>
        <w:rPr>
          <w:rFonts w:hint="eastAsia" w:ascii="宋体" w:hAnsi="宋体" w:cs="宋体"/>
          <w:color w:val="auto"/>
          <w:szCs w:val="21"/>
          <w:lang w:eastAsia="zh-CN"/>
        </w:rPr>
        <w:t>.</w:t>
      </w:r>
      <w:r>
        <w:rPr>
          <w:rFonts w:hint="eastAsia" w:ascii="宋体" w:hAnsi="宋体" w:eastAsia="宋体" w:cs="宋体"/>
          <w:color w:val="auto"/>
          <w:szCs w:val="21"/>
        </w:rPr>
        <w:t>将符合的响应文件递交</w:t>
      </w:r>
      <w:r>
        <w:rPr>
          <w:rFonts w:hint="eastAsia" w:ascii="宋体" w:hAnsi="宋体" w:cs="宋体"/>
          <w:color w:val="auto"/>
          <w:szCs w:val="21"/>
          <w:lang w:eastAsia="zh-CN"/>
        </w:rPr>
        <w:t>谈判</w:t>
      </w:r>
      <w:r>
        <w:rPr>
          <w:rFonts w:hint="eastAsia" w:ascii="宋体" w:hAnsi="宋体" w:eastAsia="宋体" w:cs="宋体"/>
          <w:color w:val="auto"/>
          <w:szCs w:val="21"/>
        </w:rPr>
        <w:t>小组，</w:t>
      </w:r>
      <w:r>
        <w:rPr>
          <w:rFonts w:hint="eastAsia" w:ascii="宋体" w:hAnsi="宋体" w:cs="宋体"/>
          <w:color w:val="auto"/>
          <w:szCs w:val="21"/>
          <w:lang w:eastAsia="zh-CN"/>
        </w:rPr>
        <w:t>谈判</w:t>
      </w:r>
      <w:r>
        <w:rPr>
          <w:rFonts w:hint="eastAsia" w:ascii="宋体" w:hAnsi="宋体" w:eastAsia="宋体" w:cs="宋体"/>
          <w:color w:val="auto"/>
          <w:szCs w:val="21"/>
        </w:rPr>
        <w:t>小组全体成员集体审查各供应商资格。</w:t>
      </w:r>
    </w:p>
    <w:p w14:paraId="623076E5">
      <w:pPr>
        <w:spacing w:line="360" w:lineRule="auto"/>
        <w:rPr>
          <w:rFonts w:hint="eastAsia" w:ascii="宋体" w:hAnsi="宋体" w:eastAsia="宋体" w:cs="宋体"/>
          <w:b/>
          <w:bCs/>
          <w:color w:val="auto"/>
          <w:szCs w:val="21"/>
          <w:lang w:val="en-US"/>
        </w:rPr>
      </w:pPr>
      <w:r>
        <w:rPr>
          <w:rFonts w:hint="eastAsia" w:ascii="宋体" w:hAnsi="宋体" w:eastAsia="宋体" w:cs="宋体"/>
          <w:b/>
          <w:bCs/>
          <w:color w:val="auto"/>
          <w:szCs w:val="21"/>
        </w:rPr>
        <w:t>6</w:t>
      </w:r>
      <w:r>
        <w:rPr>
          <w:rFonts w:hint="eastAsia" w:ascii="宋体" w:hAnsi="宋体" w:cs="宋体"/>
          <w:b/>
          <w:bCs/>
          <w:color w:val="auto"/>
          <w:szCs w:val="21"/>
          <w:lang w:eastAsia="zh-CN"/>
        </w:rPr>
        <w:t>.竞争性谈判</w:t>
      </w:r>
      <w:r>
        <w:rPr>
          <w:rFonts w:hint="eastAsia" w:ascii="宋体" w:hAnsi="宋体" w:eastAsia="宋体" w:cs="宋体"/>
          <w:b/>
          <w:bCs/>
          <w:color w:val="auto"/>
          <w:szCs w:val="21"/>
        </w:rPr>
        <w:t>小组审查各供应商资格，资格审查内容</w:t>
      </w:r>
      <w:r>
        <w:rPr>
          <w:rFonts w:hint="eastAsia" w:ascii="宋体" w:hAnsi="宋体" w:eastAsia="宋体" w:cs="宋体"/>
          <w:b/>
          <w:bCs/>
          <w:color w:val="auto"/>
          <w:szCs w:val="21"/>
          <w:lang w:val="en-US" w:eastAsia="zh-CN"/>
        </w:rPr>
        <w:t>详见采购文件第三章。</w:t>
      </w:r>
    </w:p>
    <w:p w14:paraId="0A43FD19">
      <w:pPr>
        <w:pStyle w:val="12"/>
        <w:spacing w:line="360" w:lineRule="auto"/>
        <w:rPr>
          <w:rFonts w:hint="eastAsia" w:ascii="宋体" w:hAnsi="宋体" w:eastAsia="宋体" w:cs="宋体"/>
          <w:color w:val="auto"/>
          <w:szCs w:val="21"/>
          <w:lang w:val="zh-CN"/>
        </w:rPr>
      </w:pPr>
      <w:r>
        <w:rPr>
          <w:rFonts w:hint="eastAsia" w:ascii="宋体" w:hAnsi="宋体" w:eastAsia="宋体" w:cs="宋体"/>
          <w:color w:val="auto"/>
          <w:szCs w:val="21"/>
          <w:lang w:val="zh-CN"/>
        </w:rPr>
        <w:t>注：（1）复印件或扫描件不清楚或有疑问，</w:t>
      </w:r>
      <w:r>
        <w:rPr>
          <w:rFonts w:hint="eastAsia" w:ascii="宋体" w:hAnsi="宋体" w:cs="宋体"/>
          <w:color w:val="auto"/>
          <w:szCs w:val="21"/>
          <w:lang w:val="zh-CN"/>
        </w:rPr>
        <w:t>竞争性谈判</w:t>
      </w:r>
      <w:r>
        <w:rPr>
          <w:rFonts w:hint="eastAsia" w:ascii="宋体" w:hAnsi="宋体" w:eastAsia="宋体" w:cs="宋体"/>
          <w:color w:val="auto"/>
          <w:szCs w:val="21"/>
          <w:lang w:val="zh-CN"/>
        </w:rPr>
        <w:t>小组有权要求供应商提供清楚复印件或扫描件备查，如供应商不能提供的，视为不合格。</w:t>
      </w:r>
    </w:p>
    <w:p w14:paraId="34FCF413">
      <w:pPr>
        <w:pStyle w:val="12"/>
        <w:spacing w:line="360" w:lineRule="auto"/>
        <w:rPr>
          <w:rFonts w:hint="eastAsia" w:ascii="宋体" w:hAnsi="宋体" w:eastAsia="宋体" w:cs="宋体"/>
          <w:color w:val="auto"/>
          <w:szCs w:val="21"/>
        </w:rPr>
      </w:pPr>
      <w:r>
        <w:rPr>
          <w:rFonts w:hint="eastAsia" w:ascii="宋体" w:hAnsi="宋体" w:eastAsia="宋体" w:cs="宋体"/>
          <w:color w:val="auto"/>
          <w:szCs w:val="21"/>
        </w:rPr>
        <w:t>（2）有一项因素不符合审查标准的，不通过资格审查。未通过资格审查供应商响应文件按无效响应文件处理。</w:t>
      </w:r>
    </w:p>
    <w:p w14:paraId="61BCA1B6">
      <w:pPr>
        <w:spacing w:line="360" w:lineRule="auto"/>
        <w:rPr>
          <w:rFonts w:hint="eastAsia" w:ascii="宋体" w:hAnsi="宋体" w:eastAsia="宋体" w:cs="宋体"/>
          <w:color w:val="auto"/>
          <w:szCs w:val="21"/>
        </w:rPr>
      </w:pPr>
      <w:r>
        <w:rPr>
          <w:rFonts w:hint="eastAsia" w:ascii="宋体" w:hAnsi="宋体" w:eastAsia="宋体" w:cs="宋体"/>
          <w:color w:val="auto"/>
          <w:szCs w:val="21"/>
        </w:rPr>
        <w:t>7</w:t>
      </w:r>
      <w:r>
        <w:rPr>
          <w:rFonts w:hint="eastAsia" w:ascii="宋体" w:hAnsi="宋体" w:cs="宋体"/>
          <w:color w:val="auto"/>
          <w:szCs w:val="21"/>
          <w:lang w:eastAsia="zh-CN"/>
        </w:rPr>
        <w:t>.谈判</w:t>
      </w:r>
      <w:r>
        <w:rPr>
          <w:rFonts w:hint="eastAsia" w:ascii="宋体" w:hAnsi="宋体" w:eastAsia="宋体" w:cs="宋体"/>
          <w:color w:val="auto"/>
          <w:szCs w:val="21"/>
        </w:rPr>
        <w:t>小组对资格审查合格的供应商的响应文件的</w:t>
      </w:r>
      <w:r>
        <w:rPr>
          <w:rFonts w:hint="eastAsia" w:ascii="宋体" w:hAnsi="宋体" w:eastAsia="宋体" w:cs="宋体"/>
          <w:color w:val="auto"/>
          <w:szCs w:val="21"/>
          <w:lang w:val="en-US" w:eastAsia="zh-CN"/>
        </w:rPr>
        <w:t>符合性</w:t>
      </w:r>
      <w:r>
        <w:rPr>
          <w:rFonts w:hint="eastAsia" w:ascii="宋体" w:hAnsi="宋体" w:eastAsia="宋体" w:cs="宋体"/>
          <w:color w:val="auto"/>
          <w:szCs w:val="21"/>
        </w:rPr>
        <w:t>程度进行审查，以确定是否对</w:t>
      </w:r>
      <w:r>
        <w:rPr>
          <w:rFonts w:hint="eastAsia" w:ascii="宋体" w:hAnsi="宋体" w:cs="宋体"/>
          <w:color w:val="auto"/>
          <w:szCs w:val="21"/>
          <w:lang w:eastAsia="zh-CN"/>
        </w:rPr>
        <w:t>竞争性谈判</w:t>
      </w:r>
      <w:r>
        <w:rPr>
          <w:rFonts w:hint="eastAsia" w:ascii="宋体" w:hAnsi="宋体" w:eastAsia="宋体" w:cs="宋体"/>
          <w:color w:val="auto"/>
          <w:szCs w:val="21"/>
        </w:rPr>
        <w:t>文件的实质性要求作出响应。未实质性响应</w:t>
      </w:r>
      <w:r>
        <w:rPr>
          <w:rFonts w:hint="eastAsia" w:ascii="宋体" w:hAnsi="宋体" w:cs="宋体"/>
          <w:color w:val="auto"/>
          <w:szCs w:val="21"/>
          <w:lang w:eastAsia="zh-CN"/>
        </w:rPr>
        <w:t>竞争性谈判</w:t>
      </w:r>
      <w:r>
        <w:rPr>
          <w:rFonts w:hint="eastAsia" w:ascii="宋体" w:hAnsi="宋体" w:eastAsia="宋体" w:cs="宋体"/>
          <w:color w:val="auto"/>
          <w:szCs w:val="21"/>
        </w:rPr>
        <w:t>文件的响应文件按无效响应文件处理，对响应文件无效，无资格进入</w:t>
      </w:r>
      <w:r>
        <w:rPr>
          <w:rFonts w:hint="eastAsia" w:ascii="宋体" w:hAnsi="宋体" w:cs="宋体"/>
          <w:color w:val="auto"/>
          <w:szCs w:val="21"/>
          <w:lang w:eastAsia="zh-CN"/>
        </w:rPr>
        <w:t>谈判</w:t>
      </w:r>
      <w:r>
        <w:rPr>
          <w:rFonts w:hint="eastAsia" w:ascii="宋体" w:hAnsi="宋体" w:eastAsia="宋体" w:cs="宋体"/>
          <w:color w:val="auto"/>
          <w:szCs w:val="21"/>
        </w:rPr>
        <w:t>阶段的供应商以书面形式出具无效原因说明；符合性程度进行审查内容见下表：</w:t>
      </w:r>
    </w:p>
    <w:p w14:paraId="3DCC73DF">
      <w:pPr>
        <w:rPr>
          <w:rFonts w:hint="eastAsia"/>
          <w:b/>
          <w:bCs/>
          <w:sz w:val="21"/>
          <w:szCs w:val="21"/>
          <w:lang w:val="en-US" w:eastAsia="zh-CN"/>
        </w:rPr>
      </w:pPr>
      <w:r>
        <w:rPr>
          <w:rFonts w:hint="eastAsia"/>
          <w:b/>
          <w:bCs/>
          <w:sz w:val="21"/>
          <w:szCs w:val="21"/>
          <w:lang w:val="en-US" w:eastAsia="zh-CN"/>
        </w:rPr>
        <w:br w:type="page"/>
      </w:r>
    </w:p>
    <w:p w14:paraId="2CE0F0DE">
      <w:pPr>
        <w:pStyle w:val="9"/>
        <w:jc w:val="center"/>
        <w:rPr>
          <w:rFonts w:hint="default" w:eastAsia="宋体"/>
          <w:b/>
          <w:bCs/>
          <w:sz w:val="21"/>
          <w:szCs w:val="21"/>
          <w:lang w:val="en-US" w:eastAsia="zh-CN"/>
        </w:rPr>
      </w:pPr>
      <w:r>
        <w:rPr>
          <w:rFonts w:hint="eastAsia"/>
          <w:b/>
          <w:bCs/>
          <w:sz w:val="21"/>
          <w:szCs w:val="21"/>
          <w:lang w:val="en-US" w:eastAsia="zh-CN"/>
        </w:rPr>
        <w:t>符合性审查评审标准</w:t>
      </w:r>
    </w:p>
    <w:tbl>
      <w:tblPr>
        <w:tblStyle w:val="35"/>
        <w:tblW w:w="98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
        <w:gridCol w:w="1795"/>
        <w:gridCol w:w="780"/>
        <w:gridCol w:w="170"/>
        <w:gridCol w:w="825"/>
        <w:gridCol w:w="540"/>
        <w:gridCol w:w="1221"/>
        <w:gridCol w:w="1463"/>
        <w:gridCol w:w="481"/>
        <w:gridCol w:w="1134"/>
        <w:gridCol w:w="879"/>
      </w:tblGrid>
      <w:tr w14:paraId="6C5FC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586" w:type="dxa"/>
            <w:tcBorders>
              <w:top w:val="single" w:color="auto" w:sz="4" w:space="0"/>
              <w:left w:val="single" w:color="auto" w:sz="4" w:space="0"/>
              <w:bottom w:val="single" w:color="auto" w:sz="4" w:space="0"/>
              <w:right w:val="single" w:color="auto" w:sz="4" w:space="0"/>
            </w:tcBorders>
            <w:vAlign w:val="center"/>
          </w:tcPr>
          <w:p w14:paraId="39ACC3A2">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auto"/>
                <w:sz w:val="18"/>
                <w:szCs w:val="18"/>
              </w:rPr>
              <w:br w:type="page"/>
            </w:r>
            <w:r>
              <w:rPr>
                <w:rFonts w:hint="eastAsia" w:ascii="宋体" w:hAnsi="宋体" w:eastAsia="宋体" w:cs="宋体"/>
                <w:color w:val="000000" w:themeColor="text1"/>
                <w:sz w:val="18"/>
                <w:szCs w:val="18"/>
                <w14:textFill>
                  <w14:solidFill>
                    <w14:schemeClr w14:val="tx1"/>
                  </w14:solidFill>
                </w14:textFill>
              </w:rPr>
              <w:t>序号</w:t>
            </w:r>
          </w:p>
        </w:tc>
        <w:tc>
          <w:tcPr>
            <w:tcW w:w="1795" w:type="dxa"/>
            <w:tcBorders>
              <w:top w:val="single" w:color="auto" w:sz="4" w:space="0"/>
              <w:left w:val="single" w:color="auto" w:sz="4" w:space="0"/>
              <w:bottom w:val="single" w:color="auto" w:sz="4" w:space="0"/>
              <w:right w:val="single" w:color="auto" w:sz="4" w:space="0"/>
            </w:tcBorders>
            <w:vAlign w:val="center"/>
          </w:tcPr>
          <w:p w14:paraId="3B00C5CF">
            <w:pPr>
              <w:spacing w:line="360" w:lineRule="auto"/>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评审因素</w:t>
            </w:r>
          </w:p>
        </w:tc>
        <w:tc>
          <w:tcPr>
            <w:tcW w:w="7493" w:type="dxa"/>
            <w:gridSpan w:val="9"/>
            <w:tcBorders>
              <w:top w:val="single" w:color="auto" w:sz="4" w:space="0"/>
              <w:left w:val="single" w:color="auto" w:sz="4" w:space="0"/>
              <w:bottom w:val="single" w:color="auto" w:sz="4" w:space="0"/>
              <w:right w:val="single" w:color="auto" w:sz="4" w:space="0"/>
            </w:tcBorders>
            <w:vAlign w:val="center"/>
          </w:tcPr>
          <w:p w14:paraId="6A72AB02">
            <w:pPr>
              <w:spacing w:line="360" w:lineRule="auto"/>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评审标准</w:t>
            </w:r>
          </w:p>
        </w:tc>
      </w:tr>
      <w:tr w14:paraId="23D63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586" w:type="dxa"/>
            <w:vMerge w:val="restart"/>
            <w:tcBorders>
              <w:top w:val="single" w:color="auto" w:sz="4" w:space="0"/>
              <w:left w:val="single" w:color="auto" w:sz="4" w:space="0"/>
              <w:right w:val="single" w:color="auto" w:sz="4" w:space="0"/>
            </w:tcBorders>
            <w:vAlign w:val="center"/>
          </w:tcPr>
          <w:p w14:paraId="18F70417">
            <w:pPr>
              <w:spacing w:line="360" w:lineRule="auto"/>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c>
          <w:tcPr>
            <w:tcW w:w="1795" w:type="dxa"/>
            <w:vMerge w:val="restart"/>
            <w:tcBorders>
              <w:top w:val="single" w:color="auto" w:sz="4" w:space="0"/>
              <w:left w:val="single" w:color="auto" w:sz="4" w:space="0"/>
              <w:right w:val="single" w:color="auto" w:sz="4" w:space="0"/>
            </w:tcBorders>
            <w:vAlign w:val="center"/>
          </w:tcPr>
          <w:p w14:paraId="167DEFB4">
            <w:pPr>
              <w:spacing w:line="360" w:lineRule="auto"/>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供应商的响应</w:t>
            </w:r>
            <w:r>
              <w:rPr>
                <w:rFonts w:hint="eastAsia" w:ascii="宋体" w:hAnsi="宋体" w:eastAsia="宋体" w:cs="宋体"/>
                <w:color w:val="000000" w:themeColor="text1"/>
                <w:sz w:val="18"/>
                <w:szCs w:val="18"/>
                <w14:textFill>
                  <w14:solidFill>
                    <w14:schemeClr w14:val="tx1"/>
                  </w14:solidFill>
                </w14:textFill>
              </w:rPr>
              <w:t>报价</w:t>
            </w:r>
          </w:p>
        </w:tc>
        <w:tc>
          <w:tcPr>
            <w:tcW w:w="7493" w:type="dxa"/>
            <w:gridSpan w:val="9"/>
            <w:tcBorders>
              <w:top w:val="single" w:color="auto" w:sz="4" w:space="0"/>
              <w:left w:val="single" w:color="auto" w:sz="4" w:space="0"/>
              <w:bottom w:val="single" w:color="auto" w:sz="4" w:space="0"/>
              <w:right w:val="single" w:color="auto" w:sz="4" w:space="0"/>
            </w:tcBorders>
            <w:vAlign w:val="center"/>
          </w:tcPr>
          <w:p w14:paraId="6EA87CE7">
            <w:pPr>
              <w:jc w:val="center"/>
              <w:rPr>
                <w:rFonts w:hint="eastAsia" w:ascii="宋体" w:hAnsi="宋体" w:eastAsia="宋体" w:cs="宋体"/>
                <w:color w:val="000000" w:themeColor="text1"/>
                <w:sz w:val="18"/>
                <w:szCs w:val="18"/>
                <w:lang w:eastAsia="zh-CN"/>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供应商响应文件中报价≤</w:t>
            </w:r>
            <w:r>
              <w:rPr>
                <w:rFonts w:hint="eastAsia" w:ascii="宋体" w:hAnsi="宋体" w:eastAsia="宋体" w:cs="宋体"/>
                <w:color w:val="000000" w:themeColor="text1"/>
                <w:sz w:val="18"/>
                <w:szCs w:val="18"/>
                <w:lang w:val="en-US" w:eastAsia="zh-CN"/>
                <w14:textFill>
                  <w14:solidFill>
                    <w14:schemeClr w14:val="tx1"/>
                  </w14:solidFill>
                </w14:textFill>
              </w:rPr>
              <w:t>以下</w:t>
            </w:r>
            <w:r>
              <w:rPr>
                <w:rFonts w:hint="eastAsia" w:ascii="宋体" w:hAnsi="宋体" w:eastAsia="宋体" w:cs="宋体"/>
                <w:color w:val="000000" w:themeColor="text1"/>
                <w:sz w:val="18"/>
                <w:szCs w:val="18"/>
                <w14:textFill>
                  <w14:solidFill>
                    <w14:schemeClr w14:val="tx1"/>
                  </w14:solidFill>
                </w14:textFill>
              </w:rPr>
              <w:t>最高限价</w:t>
            </w:r>
            <w:r>
              <w:rPr>
                <w:rFonts w:hint="eastAsia" w:ascii="宋体" w:hAnsi="宋体" w:eastAsia="宋体" w:cs="宋体"/>
                <w:color w:val="000000" w:themeColor="text1"/>
                <w:sz w:val="18"/>
                <w:szCs w:val="18"/>
                <w:lang w:eastAsia="zh-CN"/>
                <w14:textFill>
                  <w14:solidFill>
                    <w14:schemeClr w14:val="tx1"/>
                  </w14:solidFill>
                </w14:textFill>
              </w:rPr>
              <w:t>：</w:t>
            </w:r>
          </w:p>
        </w:tc>
      </w:tr>
      <w:tr w14:paraId="4D124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exact"/>
        </w:trPr>
        <w:tc>
          <w:tcPr>
            <w:tcW w:w="586" w:type="dxa"/>
            <w:vMerge w:val="continue"/>
            <w:tcBorders>
              <w:left w:val="single" w:color="auto" w:sz="4" w:space="0"/>
              <w:right w:val="single" w:color="auto" w:sz="4" w:space="0"/>
            </w:tcBorders>
            <w:vAlign w:val="center"/>
          </w:tcPr>
          <w:p w14:paraId="31D46505">
            <w:pPr>
              <w:spacing w:line="360" w:lineRule="auto"/>
              <w:jc w:val="center"/>
              <w:rPr>
                <w:rFonts w:hint="eastAsia" w:ascii="宋体" w:hAnsi="宋体" w:eastAsia="宋体" w:cs="宋体"/>
                <w:color w:val="000000" w:themeColor="text1"/>
                <w:sz w:val="18"/>
                <w:szCs w:val="18"/>
                <w14:textFill>
                  <w14:solidFill>
                    <w14:schemeClr w14:val="tx1"/>
                  </w14:solidFill>
                </w14:textFill>
              </w:rPr>
            </w:pPr>
          </w:p>
        </w:tc>
        <w:tc>
          <w:tcPr>
            <w:tcW w:w="1795" w:type="dxa"/>
            <w:vMerge w:val="continue"/>
            <w:tcBorders>
              <w:left w:val="single" w:color="auto" w:sz="4" w:space="0"/>
              <w:right w:val="single" w:color="auto" w:sz="4" w:space="0"/>
            </w:tcBorders>
            <w:vAlign w:val="center"/>
          </w:tcPr>
          <w:p w14:paraId="48EA1A62">
            <w:pPr>
              <w:spacing w:line="360" w:lineRule="auto"/>
              <w:jc w:val="center"/>
              <w:rPr>
                <w:rFonts w:hint="eastAsia" w:ascii="宋体" w:hAnsi="宋体" w:eastAsia="宋体" w:cs="宋体"/>
                <w:color w:val="000000" w:themeColor="text1"/>
                <w:sz w:val="18"/>
                <w:szCs w:val="18"/>
                <w:lang w:val="en-US" w:eastAsia="zh-CN"/>
                <w14:textFill>
                  <w14:solidFill>
                    <w14:schemeClr w14:val="tx1"/>
                  </w14:solidFill>
                </w14:textFill>
              </w:rPr>
            </w:pPr>
          </w:p>
        </w:tc>
        <w:tc>
          <w:tcPr>
            <w:tcW w:w="950" w:type="dxa"/>
            <w:gridSpan w:val="2"/>
            <w:tcBorders>
              <w:top w:val="single" w:color="auto" w:sz="4" w:space="0"/>
              <w:left w:val="single" w:color="auto" w:sz="4" w:space="0"/>
              <w:bottom w:val="single" w:color="auto" w:sz="4" w:space="0"/>
              <w:right w:val="single" w:color="auto" w:sz="4" w:space="0"/>
            </w:tcBorders>
            <w:vAlign w:val="center"/>
          </w:tcPr>
          <w:p w14:paraId="79BC37A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cs="宋体"/>
                <w:color w:val="000000" w:themeColor="text1"/>
                <w:kern w:val="2"/>
                <w:sz w:val="18"/>
                <w:szCs w:val="18"/>
                <w:lang w:val="en-US" w:eastAsia="zh-CN" w:bidi="ar-SA"/>
                <w14:textFill>
                  <w14:solidFill>
                    <w14:schemeClr w14:val="tx1"/>
                  </w14:solidFill>
                </w14:textFill>
              </w:rPr>
              <w:t>标段</w:t>
            </w:r>
          </w:p>
        </w:tc>
        <w:tc>
          <w:tcPr>
            <w:tcW w:w="1365" w:type="dxa"/>
            <w:gridSpan w:val="2"/>
            <w:tcBorders>
              <w:top w:val="single" w:color="auto" w:sz="4" w:space="0"/>
              <w:left w:val="single" w:color="auto" w:sz="4" w:space="0"/>
              <w:bottom w:val="single" w:color="auto" w:sz="4" w:space="0"/>
              <w:right w:val="single" w:color="auto" w:sz="4" w:space="0"/>
            </w:tcBorders>
            <w:vAlign w:val="center"/>
          </w:tcPr>
          <w:p w14:paraId="3B2FFD2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cs="宋体"/>
                <w:color w:val="000000" w:themeColor="text1"/>
                <w:kern w:val="2"/>
                <w:sz w:val="18"/>
                <w:szCs w:val="18"/>
                <w:lang w:val="en-US" w:eastAsia="zh-CN" w:bidi="ar-SA"/>
                <w14:textFill>
                  <w14:solidFill>
                    <w14:schemeClr w14:val="tx1"/>
                  </w14:solidFill>
                </w14:textFill>
              </w:rPr>
              <w:t>数量（吨）</w:t>
            </w:r>
          </w:p>
        </w:tc>
        <w:tc>
          <w:tcPr>
            <w:tcW w:w="1221" w:type="dxa"/>
            <w:tcBorders>
              <w:top w:val="single" w:color="auto" w:sz="4" w:space="0"/>
              <w:left w:val="single" w:color="auto" w:sz="4" w:space="0"/>
              <w:bottom w:val="single" w:color="auto" w:sz="4" w:space="0"/>
              <w:right w:val="single" w:color="auto" w:sz="4" w:space="0"/>
            </w:tcBorders>
            <w:vAlign w:val="center"/>
          </w:tcPr>
          <w:p w14:paraId="6E9B7DB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货物总价</w:t>
            </w:r>
          </w:p>
          <w:p w14:paraId="1494EAFF">
            <w:pPr>
              <w:keepNext w:val="0"/>
              <w:keepLines w:val="0"/>
              <w:pageBreakBefore w:val="0"/>
              <w:widowControl/>
              <w:kinsoku/>
              <w:wordWrap/>
              <w:overflowPunct/>
              <w:topLinePunct w:val="0"/>
              <w:autoSpaceDE/>
              <w:autoSpaceDN/>
              <w:bidi w:val="0"/>
              <w:adjustRightInd/>
              <w:snapToGrid/>
              <w:spacing w:line="240" w:lineRule="auto"/>
              <w:jc w:val="center"/>
              <w:textAlignment w:val="auto"/>
            </w:pPr>
            <w:r>
              <w:rPr>
                <w:rFonts w:hint="eastAsia" w:ascii="宋体" w:hAnsi="宋体" w:eastAsia="宋体" w:cs="宋体"/>
                <w:kern w:val="0"/>
                <w:sz w:val="18"/>
                <w:szCs w:val="18"/>
                <w:lang w:val="en-US" w:eastAsia="zh-CN" w:bidi="ar-SA"/>
              </w:rPr>
              <w:t>（</w:t>
            </w:r>
            <w:r>
              <w:rPr>
                <w:rFonts w:hint="eastAsia" w:ascii="宋体" w:hAnsi="宋体" w:cs="宋体"/>
                <w:kern w:val="0"/>
                <w:sz w:val="18"/>
                <w:szCs w:val="18"/>
                <w:lang w:val="en-US" w:eastAsia="zh-CN" w:bidi="ar-SA"/>
              </w:rPr>
              <w:t>万</w:t>
            </w:r>
            <w:r>
              <w:rPr>
                <w:rFonts w:hint="eastAsia" w:ascii="宋体" w:hAnsi="宋体" w:eastAsia="宋体" w:cs="宋体"/>
                <w:kern w:val="0"/>
                <w:sz w:val="18"/>
                <w:szCs w:val="18"/>
                <w:lang w:val="en-US" w:eastAsia="zh-CN" w:bidi="ar-SA"/>
              </w:rPr>
              <w:t>元）</w:t>
            </w:r>
          </w:p>
        </w:tc>
        <w:tc>
          <w:tcPr>
            <w:tcW w:w="1944" w:type="dxa"/>
            <w:gridSpan w:val="2"/>
            <w:tcBorders>
              <w:top w:val="single" w:color="auto" w:sz="4" w:space="0"/>
              <w:left w:val="single" w:color="auto" w:sz="4" w:space="0"/>
              <w:bottom w:val="single" w:color="auto" w:sz="4" w:space="0"/>
              <w:right w:val="single" w:color="auto" w:sz="4" w:space="0"/>
            </w:tcBorders>
            <w:vAlign w:val="center"/>
          </w:tcPr>
          <w:p w14:paraId="52EE072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18"/>
                <w:szCs w:val="18"/>
                <w:lang w:eastAsia="zh-CN"/>
                <w14:textFill>
                  <w14:solidFill>
                    <w14:schemeClr w14:val="tx1"/>
                  </w14:solidFill>
                </w14:textFill>
              </w:rPr>
            </w:pPr>
            <w:r>
              <w:rPr>
                <w:rFonts w:hint="eastAsia" w:ascii="宋体" w:hAnsi="宋体" w:eastAsia="宋体" w:cs="宋体"/>
                <w:kern w:val="0"/>
                <w:sz w:val="18"/>
                <w:szCs w:val="18"/>
              </w:rPr>
              <w:t>货物单价（元</w:t>
            </w:r>
            <w:r>
              <w:rPr>
                <w:rFonts w:hint="eastAsia" w:ascii="宋体" w:hAnsi="宋体" w:eastAsia="宋体" w:cs="宋体"/>
                <w:kern w:val="0"/>
                <w:sz w:val="18"/>
                <w:szCs w:val="18"/>
                <w:lang w:val="en-US" w:eastAsia="zh-CN"/>
              </w:rPr>
              <w:t>/吨</w:t>
            </w:r>
            <w:r>
              <w:rPr>
                <w:rFonts w:hint="eastAsia" w:ascii="宋体" w:hAnsi="宋体" w:eastAsia="宋体" w:cs="宋体"/>
                <w:kern w:val="0"/>
                <w:sz w:val="18"/>
                <w:szCs w:val="18"/>
              </w:rPr>
              <w:t>）</w:t>
            </w:r>
          </w:p>
        </w:tc>
        <w:tc>
          <w:tcPr>
            <w:tcW w:w="2013" w:type="dxa"/>
            <w:gridSpan w:val="2"/>
            <w:tcBorders>
              <w:top w:val="single" w:color="auto" w:sz="4" w:space="0"/>
              <w:left w:val="single" w:color="auto" w:sz="4" w:space="0"/>
              <w:bottom w:val="single" w:color="auto" w:sz="4" w:space="0"/>
              <w:right w:val="single" w:color="auto" w:sz="4" w:space="0"/>
            </w:tcBorders>
            <w:vAlign w:val="center"/>
          </w:tcPr>
          <w:p w14:paraId="5FA9187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18"/>
                <w:szCs w:val="18"/>
                <w:lang w:eastAsia="zh-CN"/>
                <w14:textFill>
                  <w14:solidFill>
                    <w14:schemeClr w14:val="tx1"/>
                  </w14:solidFill>
                </w14:textFill>
              </w:rPr>
            </w:pPr>
            <w:r>
              <w:rPr>
                <w:rFonts w:hint="eastAsia" w:ascii="宋体" w:hAnsi="宋体" w:cs="宋体"/>
                <w:kern w:val="0"/>
                <w:sz w:val="18"/>
                <w:szCs w:val="18"/>
                <w:lang w:val="en-US" w:eastAsia="zh-CN"/>
              </w:rPr>
              <w:t>热值基准单价</w:t>
            </w:r>
            <w:r>
              <w:rPr>
                <w:rFonts w:hint="eastAsia" w:ascii="宋体" w:hAnsi="宋体" w:eastAsia="宋体" w:cs="宋体"/>
                <w:i w:val="0"/>
                <w:iCs w:val="0"/>
                <w:color w:val="auto"/>
                <w:kern w:val="0"/>
                <w:sz w:val="18"/>
                <w:szCs w:val="18"/>
                <w:highlight w:val="none"/>
                <w:u w:val="none"/>
                <w:lang w:val="en-US" w:eastAsia="zh-CN" w:bidi="ar"/>
              </w:rPr>
              <w:t>（元 /[(kcal/kg)</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吨]</w:t>
            </w:r>
            <w:r>
              <w:rPr>
                <w:rFonts w:hint="eastAsia" w:ascii="宋体" w:hAnsi="宋体" w:eastAsia="宋体" w:cs="宋体"/>
                <w:color w:val="auto"/>
                <w:kern w:val="0"/>
                <w:sz w:val="18"/>
                <w:szCs w:val="18"/>
                <w:highlight w:val="none"/>
              </w:rPr>
              <w:t>）</w:t>
            </w:r>
          </w:p>
        </w:tc>
      </w:tr>
      <w:tr w14:paraId="6E372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exact"/>
        </w:trPr>
        <w:tc>
          <w:tcPr>
            <w:tcW w:w="586" w:type="dxa"/>
            <w:vMerge w:val="continue"/>
            <w:tcBorders>
              <w:left w:val="single" w:color="auto" w:sz="4" w:space="0"/>
              <w:right w:val="single" w:color="auto" w:sz="4" w:space="0"/>
            </w:tcBorders>
            <w:vAlign w:val="center"/>
          </w:tcPr>
          <w:p w14:paraId="12849F60">
            <w:pPr>
              <w:spacing w:line="360" w:lineRule="auto"/>
              <w:jc w:val="center"/>
              <w:rPr>
                <w:rFonts w:hint="eastAsia" w:ascii="宋体" w:hAnsi="宋体" w:eastAsia="宋体" w:cs="宋体"/>
                <w:color w:val="FF0000"/>
                <w:sz w:val="18"/>
                <w:szCs w:val="18"/>
              </w:rPr>
            </w:pPr>
          </w:p>
        </w:tc>
        <w:tc>
          <w:tcPr>
            <w:tcW w:w="1795" w:type="dxa"/>
            <w:vMerge w:val="continue"/>
            <w:tcBorders>
              <w:left w:val="single" w:color="auto" w:sz="4" w:space="0"/>
              <w:right w:val="single" w:color="auto" w:sz="4" w:space="0"/>
            </w:tcBorders>
            <w:vAlign w:val="center"/>
          </w:tcPr>
          <w:p w14:paraId="2F12FD66">
            <w:pPr>
              <w:spacing w:line="360" w:lineRule="auto"/>
              <w:jc w:val="center"/>
              <w:rPr>
                <w:rFonts w:hint="eastAsia" w:ascii="宋体" w:hAnsi="宋体" w:eastAsia="宋体" w:cs="宋体"/>
                <w:color w:val="FF0000"/>
                <w:sz w:val="18"/>
                <w:szCs w:val="18"/>
                <w:lang w:val="en-US" w:eastAsia="zh-CN"/>
              </w:rPr>
            </w:pPr>
          </w:p>
        </w:tc>
        <w:tc>
          <w:tcPr>
            <w:tcW w:w="9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C0BBFD0">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w:t>
            </w:r>
          </w:p>
        </w:tc>
        <w:tc>
          <w:tcPr>
            <w:tcW w:w="136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644371C">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w:t>
            </w:r>
            <w:r>
              <w:rPr>
                <w:rFonts w:hint="eastAsia" w:ascii="宋体" w:hAnsi="宋体" w:cs="宋体"/>
                <w:color w:val="auto"/>
                <w:kern w:val="2"/>
                <w:sz w:val="18"/>
                <w:szCs w:val="18"/>
                <w:lang w:val="en-US" w:eastAsia="zh-CN" w:bidi="ar-SA"/>
              </w:rPr>
              <w:t>1</w:t>
            </w:r>
            <w:r>
              <w:rPr>
                <w:rFonts w:hint="eastAsia" w:ascii="宋体" w:hAnsi="宋体" w:eastAsia="宋体" w:cs="宋体"/>
                <w:color w:val="auto"/>
                <w:kern w:val="2"/>
                <w:sz w:val="18"/>
                <w:szCs w:val="18"/>
                <w:lang w:val="en-US" w:eastAsia="zh-CN" w:bidi="ar-SA"/>
              </w:rPr>
              <w:t>0000</w:t>
            </w:r>
          </w:p>
        </w:tc>
        <w:tc>
          <w:tcPr>
            <w:tcW w:w="1221" w:type="dxa"/>
            <w:tcBorders>
              <w:top w:val="single" w:color="auto" w:sz="4" w:space="0"/>
              <w:left w:val="single" w:color="auto" w:sz="4" w:space="0"/>
              <w:bottom w:val="single" w:color="auto" w:sz="4" w:space="0"/>
              <w:right w:val="single" w:color="auto" w:sz="4" w:space="0"/>
            </w:tcBorders>
            <w:shd w:val="clear" w:color="auto" w:fill="auto"/>
            <w:vAlign w:val="center"/>
          </w:tcPr>
          <w:p w14:paraId="4CAD86DF">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cs="宋体"/>
                <w:sz w:val="18"/>
                <w:szCs w:val="18"/>
                <w:vertAlign w:val="baseline"/>
                <w:lang w:val="en-US" w:eastAsia="zh-CN"/>
              </w:rPr>
            </w:pPr>
            <w:r>
              <w:rPr>
                <w:rFonts w:hint="eastAsia" w:ascii="宋体" w:hAnsi="宋体" w:cs="宋体"/>
                <w:sz w:val="18"/>
                <w:szCs w:val="18"/>
                <w:vertAlign w:val="baseline"/>
                <w:lang w:val="en-US" w:eastAsia="zh-CN"/>
              </w:rPr>
              <w:t>321</w:t>
            </w:r>
          </w:p>
        </w:tc>
        <w:tc>
          <w:tcPr>
            <w:tcW w:w="194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44310BB">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cs="宋体"/>
                <w:sz w:val="18"/>
                <w:szCs w:val="18"/>
                <w:vertAlign w:val="baseline"/>
                <w:lang w:val="en-US" w:eastAsia="zh-CN"/>
              </w:rPr>
            </w:pPr>
            <w:r>
              <w:rPr>
                <w:rFonts w:hint="eastAsia" w:ascii="宋体" w:hAnsi="宋体" w:cs="宋体"/>
                <w:sz w:val="18"/>
                <w:szCs w:val="18"/>
                <w:vertAlign w:val="baseline"/>
                <w:lang w:val="en-US" w:eastAsia="zh-CN"/>
              </w:rPr>
              <w:t>321</w:t>
            </w:r>
          </w:p>
        </w:tc>
        <w:tc>
          <w:tcPr>
            <w:tcW w:w="20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15718BC">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cs="宋体"/>
                <w:sz w:val="18"/>
                <w:szCs w:val="18"/>
                <w:vertAlign w:val="baseline"/>
                <w:lang w:val="en-US" w:eastAsia="zh-CN"/>
              </w:rPr>
            </w:pPr>
            <w:r>
              <w:rPr>
                <w:rFonts w:hint="eastAsia" w:ascii="宋体" w:hAnsi="宋体" w:cs="宋体"/>
                <w:sz w:val="18"/>
                <w:szCs w:val="18"/>
                <w:vertAlign w:val="baseline"/>
                <w:lang w:val="en-US" w:eastAsia="zh-CN"/>
              </w:rPr>
              <w:t>0.107</w:t>
            </w:r>
          </w:p>
        </w:tc>
      </w:tr>
      <w:tr w14:paraId="09D69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exact"/>
        </w:trPr>
        <w:tc>
          <w:tcPr>
            <w:tcW w:w="586" w:type="dxa"/>
            <w:vMerge w:val="restart"/>
            <w:tcBorders>
              <w:left w:val="single" w:color="auto" w:sz="4" w:space="0"/>
              <w:right w:val="single" w:color="auto" w:sz="4" w:space="0"/>
            </w:tcBorders>
            <w:vAlign w:val="center"/>
          </w:tcPr>
          <w:p w14:paraId="22B214CF">
            <w:pPr>
              <w:spacing w:line="360" w:lineRule="auto"/>
              <w:jc w:val="center"/>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2</w:t>
            </w:r>
          </w:p>
        </w:tc>
        <w:tc>
          <w:tcPr>
            <w:tcW w:w="1795" w:type="dxa"/>
            <w:vMerge w:val="restart"/>
            <w:tcBorders>
              <w:left w:val="single" w:color="auto" w:sz="4" w:space="0"/>
              <w:right w:val="single" w:color="auto" w:sz="4" w:space="0"/>
            </w:tcBorders>
            <w:vAlign w:val="center"/>
          </w:tcPr>
          <w:p w14:paraId="3406BE56">
            <w:pPr>
              <w:spacing w:line="360" w:lineRule="auto"/>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响应文件技术</w:t>
            </w:r>
            <w:r>
              <w:rPr>
                <w:rFonts w:hint="eastAsia" w:ascii="宋体" w:hAnsi="宋体" w:eastAsia="宋体" w:cs="宋体"/>
                <w:color w:val="000000" w:themeColor="text1"/>
                <w:sz w:val="18"/>
                <w:szCs w:val="18"/>
                <w14:textFill>
                  <w14:solidFill>
                    <w14:schemeClr w14:val="tx1"/>
                  </w14:solidFill>
                </w14:textFill>
              </w:rPr>
              <w:t>条款响应</w:t>
            </w:r>
          </w:p>
        </w:tc>
        <w:tc>
          <w:tcPr>
            <w:tcW w:w="7493" w:type="dxa"/>
            <w:gridSpan w:val="9"/>
            <w:tcBorders>
              <w:top w:val="single" w:color="auto" w:sz="4" w:space="0"/>
              <w:left w:val="single" w:color="auto" w:sz="4" w:space="0"/>
              <w:bottom w:val="single" w:color="auto" w:sz="4" w:space="0"/>
              <w:right w:val="single" w:color="auto" w:sz="4" w:space="0"/>
            </w:tcBorders>
            <w:vAlign w:val="center"/>
          </w:tcPr>
          <w:p w14:paraId="05E8CF9B">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供应商响应文件技术偏离表完全响应以下技术条款，即不得有负偏离</w:t>
            </w:r>
          </w:p>
        </w:tc>
      </w:tr>
      <w:tr w14:paraId="0B5F8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exact"/>
        </w:trPr>
        <w:tc>
          <w:tcPr>
            <w:tcW w:w="586" w:type="dxa"/>
            <w:vMerge w:val="continue"/>
            <w:tcBorders>
              <w:left w:val="single" w:color="auto" w:sz="4" w:space="0"/>
              <w:right w:val="single" w:color="auto" w:sz="4" w:space="0"/>
            </w:tcBorders>
            <w:vAlign w:val="center"/>
          </w:tcPr>
          <w:p w14:paraId="107960CD">
            <w:pPr>
              <w:spacing w:line="360" w:lineRule="auto"/>
              <w:jc w:val="center"/>
              <w:rPr>
                <w:rFonts w:hint="eastAsia" w:ascii="宋体" w:hAnsi="宋体" w:eastAsia="宋体" w:cs="宋体"/>
                <w:color w:val="000000" w:themeColor="text1"/>
                <w:sz w:val="18"/>
                <w:szCs w:val="18"/>
                <w14:textFill>
                  <w14:solidFill>
                    <w14:schemeClr w14:val="tx1"/>
                  </w14:solidFill>
                </w14:textFill>
              </w:rPr>
            </w:pPr>
          </w:p>
        </w:tc>
        <w:tc>
          <w:tcPr>
            <w:tcW w:w="1795" w:type="dxa"/>
            <w:vMerge w:val="continue"/>
            <w:tcBorders>
              <w:left w:val="single" w:color="auto" w:sz="4" w:space="0"/>
              <w:right w:val="single" w:color="auto" w:sz="4" w:space="0"/>
            </w:tcBorders>
            <w:vAlign w:val="center"/>
          </w:tcPr>
          <w:p w14:paraId="60856B68">
            <w:pPr>
              <w:spacing w:line="360" w:lineRule="auto"/>
              <w:jc w:val="center"/>
              <w:rPr>
                <w:rFonts w:hint="eastAsia" w:ascii="宋体" w:hAnsi="宋体" w:eastAsia="宋体" w:cs="宋体"/>
                <w:color w:val="000000" w:themeColor="text1"/>
                <w:sz w:val="18"/>
                <w:szCs w:val="18"/>
                <w:lang w:val="en-US" w:eastAsia="zh-CN"/>
                <w14:textFill>
                  <w14:solidFill>
                    <w14:schemeClr w14:val="tx1"/>
                  </w14:solidFill>
                </w14:textFill>
              </w:rPr>
            </w:pPr>
          </w:p>
        </w:tc>
        <w:tc>
          <w:tcPr>
            <w:tcW w:w="780" w:type="dxa"/>
            <w:tcBorders>
              <w:top w:val="single" w:color="auto" w:sz="4" w:space="0"/>
              <w:left w:val="single" w:color="auto" w:sz="4" w:space="0"/>
              <w:bottom w:val="single" w:color="auto" w:sz="4" w:space="0"/>
              <w:right w:val="single" w:color="auto" w:sz="4" w:space="0"/>
            </w:tcBorders>
            <w:vAlign w:val="center"/>
          </w:tcPr>
          <w:p w14:paraId="4D43871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18"/>
                <w:szCs w:val="18"/>
              </w:rPr>
            </w:pPr>
            <w:r>
              <w:rPr>
                <w:rFonts w:hint="eastAsia" w:ascii="宋体" w:hAnsi="宋体" w:cs="宋体"/>
                <w:color w:val="000000" w:themeColor="text1"/>
                <w:kern w:val="2"/>
                <w:sz w:val="18"/>
                <w:szCs w:val="18"/>
                <w:lang w:val="en-US" w:eastAsia="zh-CN" w:bidi="ar-SA"/>
                <w14:textFill>
                  <w14:solidFill>
                    <w14:schemeClr w14:val="tx1"/>
                  </w14:solidFill>
                </w14:textFill>
              </w:rPr>
              <w:t>标段</w:t>
            </w:r>
          </w:p>
        </w:tc>
        <w:tc>
          <w:tcPr>
            <w:tcW w:w="995" w:type="dxa"/>
            <w:gridSpan w:val="2"/>
            <w:tcBorders>
              <w:top w:val="single" w:color="auto" w:sz="4" w:space="0"/>
              <w:left w:val="single" w:color="auto" w:sz="4" w:space="0"/>
              <w:bottom w:val="single" w:color="auto" w:sz="4" w:space="0"/>
              <w:right w:val="single" w:color="auto" w:sz="4" w:space="0"/>
            </w:tcBorders>
            <w:vAlign w:val="center"/>
          </w:tcPr>
          <w:p w14:paraId="7C23FBB1">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lang w:val="en-US" w:eastAsia="zh-CN"/>
              </w:rPr>
            </w:pPr>
            <w:r>
              <w:rPr>
                <w:rFonts w:hint="eastAsia" w:ascii="宋体" w:hAnsi="宋体" w:eastAsia="宋体" w:cs="宋体"/>
                <w:kern w:val="0"/>
                <w:sz w:val="18"/>
                <w:szCs w:val="18"/>
              </w:rPr>
              <w:t>煤</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种</w:t>
            </w:r>
          </w:p>
        </w:tc>
        <w:tc>
          <w:tcPr>
            <w:tcW w:w="1761" w:type="dxa"/>
            <w:gridSpan w:val="2"/>
            <w:tcBorders>
              <w:top w:val="single" w:color="auto" w:sz="4" w:space="0"/>
              <w:left w:val="single" w:color="auto" w:sz="4" w:space="0"/>
              <w:bottom w:val="single" w:color="auto" w:sz="4" w:space="0"/>
              <w:right w:val="single" w:color="auto" w:sz="4" w:space="0"/>
            </w:tcBorders>
            <w:vAlign w:val="center"/>
          </w:tcPr>
          <w:p w14:paraId="4D173B2E">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Qnet,ar(kcal/kg)</w:t>
            </w:r>
          </w:p>
        </w:tc>
        <w:tc>
          <w:tcPr>
            <w:tcW w:w="1463" w:type="dxa"/>
            <w:tcBorders>
              <w:top w:val="single" w:color="auto" w:sz="4" w:space="0"/>
              <w:left w:val="single" w:color="auto" w:sz="4" w:space="0"/>
              <w:bottom w:val="single" w:color="auto" w:sz="4" w:space="0"/>
              <w:right w:val="single" w:color="auto" w:sz="4" w:space="0"/>
            </w:tcBorders>
            <w:vAlign w:val="center"/>
          </w:tcPr>
          <w:p w14:paraId="4C12846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Mt(%)</w:t>
            </w:r>
          </w:p>
        </w:tc>
        <w:tc>
          <w:tcPr>
            <w:tcW w:w="1615" w:type="dxa"/>
            <w:gridSpan w:val="2"/>
            <w:tcBorders>
              <w:top w:val="single" w:color="auto" w:sz="4" w:space="0"/>
              <w:left w:val="single" w:color="auto" w:sz="4" w:space="0"/>
              <w:bottom w:val="single" w:color="auto" w:sz="4" w:space="0"/>
              <w:right w:val="single" w:color="auto" w:sz="4" w:space="0"/>
            </w:tcBorders>
            <w:vAlign w:val="center"/>
          </w:tcPr>
          <w:p w14:paraId="292B465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Var(%)</w:t>
            </w:r>
          </w:p>
        </w:tc>
        <w:tc>
          <w:tcPr>
            <w:tcW w:w="879" w:type="dxa"/>
            <w:tcBorders>
              <w:top w:val="single" w:color="auto" w:sz="4" w:space="0"/>
              <w:left w:val="single" w:color="auto" w:sz="4" w:space="0"/>
              <w:bottom w:val="single" w:color="auto" w:sz="4" w:space="0"/>
              <w:right w:val="single" w:color="auto" w:sz="4" w:space="0"/>
            </w:tcBorders>
            <w:vAlign w:val="center"/>
          </w:tcPr>
          <w:p w14:paraId="0EC86B5A">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cs="宋体"/>
                <w:sz w:val="18"/>
                <w:szCs w:val="18"/>
                <w:lang w:val="en-US" w:eastAsia="zh-CN"/>
              </w:rPr>
            </w:pPr>
            <w:r>
              <w:rPr>
                <w:rFonts w:hint="eastAsia" w:ascii="宋体" w:hAnsi="宋体" w:eastAsia="宋体" w:cs="宋体"/>
                <w:sz w:val="18"/>
                <w:szCs w:val="18"/>
                <w:lang w:val="en-US" w:eastAsia="zh-CN"/>
              </w:rPr>
              <w:t>St,d(%)</w:t>
            </w:r>
          </w:p>
        </w:tc>
      </w:tr>
      <w:tr w14:paraId="3CD80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exact"/>
        </w:trPr>
        <w:tc>
          <w:tcPr>
            <w:tcW w:w="586" w:type="dxa"/>
            <w:vMerge w:val="continue"/>
            <w:tcBorders>
              <w:left w:val="single" w:color="auto" w:sz="4" w:space="0"/>
              <w:right w:val="single" w:color="auto" w:sz="4" w:space="0"/>
            </w:tcBorders>
            <w:vAlign w:val="center"/>
          </w:tcPr>
          <w:p w14:paraId="6E020DE9">
            <w:pPr>
              <w:spacing w:line="360" w:lineRule="auto"/>
              <w:jc w:val="center"/>
              <w:rPr>
                <w:rFonts w:hint="eastAsia" w:ascii="宋体" w:hAnsi="宋体" w:eastAsia="宋体" w:cs="宋体"/>
                <w:color w:val="000000" w:themeColor="text1"/>
                <w:sz w:val="18"/>
                <w:szCs w:val="18"/>
                <w14:textFill>
                  <w14:solidFill>
                    <w14:schemeClr w14:val="tx1"/>
                  </w14:solidFill>
                </w14:textFill>
              </w:rPr>
            </w:pPr>
          </w:p>
        </w:tc>
        <w:tc>
          <w:tcPr>
            <w:tcW w:w="1795" w:type="dxa"/>
            <w:vMerge w:val="continue"/>
            <w:tcBorders>
              <w:left w:val="single" w:color="auto" w:sz="4" w:space="0"/>
              <w:right w:val="single" w:color="auto" w:sz="4" w:space="0"/>
            </w:tcBorders>
            <w:vAlign w:val="center"/>
          </w:tcPr>
          <w:p w14:paraId="6B43A31D">
            <w:pPr>
              <w:spacing w:line="360" w:lineRule="auto"/>
              <w:jc w:val="center"/>
              <w:rPr>
                <w:rFonts w:hint="eastAsia" w:ascii="宋体" w:hAnsi="宋体" w:eastAsia="宋体" w:cs="宋体"/>
                <w:color w:val="000000" w:themeColor="text1"/>
                <w:sz w:val="18"/>
                <w:szCs w:val="18"/>
                <w:lang w:val="en-US" w:eastAsia="zh-CN"/>
                <w14:textFill>
                  <w14:solidFill>
                    <w14:schemeClr w14:val="tx1"/>
                  </w14:solidFill>
                </w14:textFill>
              </w:rPr>
            </w:pPr>
          </w:p>
        </w:tc>
        <w:tc>
          <w:tcPr>
            <w:tcW w:w="780" w:type="dxa"/>
            <w:tcBorders>
              <w:top w:val="single" w:color="auto" w:sz="4" w:space="0"/>
              <w:left w:val="single" w:color="auto" w:sz="4" w:space="0"/>
              <w:bottom w:val="single" w:color="auto" w:sz="4" w:space="0"/>
              <w:right w:val="single" w:color="auto" w:sz="4" w:space="0"/>
            </w:tcBorders>
            <w:vAlign w:val="center"/>
          </w:tcPr>
          <w:p w14:paraId="748CD268">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color w:val="000000" w:themeColor="text1"/>
                <w:kern w:val="2"/>
                <w:sz w:val="18"/>
                <w:szCs w:val="18"/>
                <w:lang w:val="en-US" w:eastAsia="zh-CN" w:bidi="ar-SA"/>
                <w14:textFill>
                  <w14:solidFill>
                    <w14:schemeClr w14:val="tx1"/>
                  </w14:solidFill>
                </w14:textFill>
              </w:rPr>
            </w:pPr>
            <w:r>
              <w:rPr>
                <w:rFonts w:hint="eastAsia" w:ascii="宋体" w:hAnsi="宋体" w:cs="宋体"/>
                <w:color w:val="auto"/>
                <w:kern w:val="2"/>
                <w:sz w:val="18"/>
                <w:szCs w:val="18"/>
                <w:lang w:val="en-US" w:eastAsia="zh-CN" w:bidi="ar-SA"/>
              </w:rPr>
              <w:t>/</w:t>
            </w:r>
          </w:p>
        </w:tc>
        <w:tc>
          <w:tcPr>
            <w:tcW w:w="99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2BE0427">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sz w:val="18"/>
                <w:szCs w:val="18"/>
                <w:vertAlign w:val="baseline"/>
                <w:lang w:val="en-US" w:eastAsia="zh-CN"/>
              </w:rPr>
              <w:t>烟煤</w:t>
            </w:r>
          </w:p>
        </w:tc>
        <w:tc>
          <w:tcPr>
            <w:tcW w:w="176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B3359A7">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cs="宋体"/>
                <w:sz w:val="18"/>
                <w:szCs w:val="18"/>
                <w:vertAlign w:val="baseline"/>
                <w:lang w:val="en-US" w:eastAsia="zh-CN"/>
              </w:rPr>
              <w:t>≥3000</w:t>
            </w:r>
          </w:p>
        </w:tc>
        <w:tc>
          <w:tcPr>
            <w:tcW w:w="1463" w:type="dxa"/>
            <w:tcBorders>
              <w:top w:val="single" w:color="auto" w:sz="4" w:space="0"/>
              <w:left w:val="single" w:color="auto" w:sz="4" w:space="0"/>
              <w:bottom w:val="single" w:color="auto" w:sz="4" w:space="0"/>
              <w:right w:val="single" w:color="auto" w:sz="4" w:space="0"/>
            </w:tcBorders>
            <w:shd w:val="clear" w:color="auto" w:fill="auto"/>
            <w:vAlign w:val="center"/>
          </w:tcPr>
          <w:p w14:paraId="56110686">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cs="宋体"/>
                <w:sz w:val="18"/>
                <w:szCs w:val="18"/>
                <w:vertAlign w:val="baseline"/>
                <w:lang w:val="en-US" w:eastAsia="zh-CN"/>
              </w:rPr>
              <w:t>≤15.0</w:t>
            </w:r>
          </w:p>
        </w:tc>
        <w:tc>
          <w:tcPr>
            <w:tcW w:w="16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192F5CC">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cs="宋体"/>
                <w:sz w:val="18"/>
                <w:szCs w:val="18"/>
                <w:vertAlign w:val="baseline"/>
                <w:lang w:val="en-US" w:eastAsia="zh-CN"/>
              </w:rPr>
              <w:t>13.00≤Var(%)≤25.00</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55B01E4B">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cs="宋体"/>
                <w:sz w:val="18"/>
                <w:szCs w:val="18"/>
                <w:vertAlign w:val="baseline"/>
                <w:lang w:val="en-US" w:eastAsia="zh-CN"/>
              </w:rPr>
              <w:t>≤3.00</w:t>
            </w:r>
          </w:p>
        </w:tc>
      </w:tr>
      <w:tr w14:paraId="59531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exact"/>
        </w:trPr>
        <w:tc>
          <w:tcPr>
            <w:tcW w:w="586" w:type="dxa"/>
            <w:vMerge w:val="restart"/>
            <w:tcBorders>
              <w:left w:val="single" w:color="auto" w:sz="4" w:space="0"/>
              <w:right w:val="single" w:color="auto" w:sz="4" w:space="0"/>
            </w:tcBorders>
            <w:vAlign w:val="center"/>
          </w:tcPr>
          <w:p w14:paraId="4661788C">
            <w:pPr>
              <w:spacing w:line="360" w:lineRule="auto"/>
              <w:jc w:val="center"/>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3</w:t>
            </w:r>
          </w:p>
        </w:tc>
        <w:tc>
          <w:tcPr>
            <w:tcW w:w="1795" w:type="dxa"/>
            <w:vMerge w:val="restart"/>
            <w:tcBorders>
              <w:left w:val="single" w:color="auto" w:sz="4" w:space="0"/>
              <w:right w:val="single" w:color="auto" w:sz="4" w:space="0"/>
            </w:tcBorders>
            <w:vAlign w:val="center"/>
          </w:tcPr>
          <w:p w14:paraId="15AE0EFD">
            <w:pPr>
              <w:spacing w:line="360" w:lineRule="auto"/>
              <w:jc w:val="center"/>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响应文件</w:t>
            </w:r>
            <w:r>
              <w:rPr>
                <w:rFonts w:hint="eastAsia" w:ascii="宋体" w:hAnsi="宋体" w:eastAsia="宋体" w:cs="宋体"/>
                <w:color w:val="000000" w:themeColor="text1"/>
                <w:sz w:val="18"/>
                <w:szCs w:val="18"/>
                <w14:textFill>
                  <w14:solidFill>
                    <w14:schemeClr w14:val="tx1"/>
                  </w14:solidFill>
                </w14:textFill>
              </w:rPr>
              <w:t>商务条款响应</w:t>
            </w:r>
          </w:p>
        </w:tc>
        <w:tc>
          <w:tcPr>
            <w:tcW w:w="7493" w:type="dxa"/>
            <w:gridSpan w:val="9"/>
            <w:tcBorders>
              <w:top w:val="single" w:color="auto" w:sz="4" w:space="0"/>
              <w:left w:val="single" w:color="auto" w:sz="4" w:space="0"/>
              <w:bottom w:val="single" w:color="auto" w:sz="4" w:space="0"/>
              <w:right w:val="single" w:color="auto" w:sz="4" w:space="0"/>
            </w:tcBorders>
            <w:vAlign w:val="center"/>
          </w:tcPr>
          <w:p w14:paraId="1BEBD7BC">
            <w:pPr>
              <w:jc w:val="center"/>
              <w:rPr>
                <w:rFonts w:hint="default" w:ascii="宋体" w:hAnsi="宋体" w:eastAsia="宋体" w:cs="宋体"/>
                <w:sz w:val="18"/>
                <w:szCs w:val="18"/>
                <w:vertAlign w:val="baseline"/>
                <w:lang w:val="en-US"/>
              </w:rPr>
            </w:pPr>
            <w:r>
              <w:rPr>
                <w:rFonts w:hint="eastAsia" w:ascii="宋体" w:hAnsi="宋体" w:eastAsia="宋体" w:cs="宋体"/>
                <w:color w:val="000000" w:themeColor="text1"/>
                <w:sz w:val="18"/>
                <w:szCs w:val="18"/>
                <w:lang w:val="en-US" w:eastAsia="zh-CN"/>
                <w14:textFill>
                  <w14:solidFill>
                    <w14:schemeClr w14:val="tx1"/>
                  </w14:solidFill>
                </w14:textFill>
              </w:rPr>
              <w:t>供应商响应文件完全响应以下商务条款，即不得有负偏离</w:t>
            </w:r>
            <w:r>
              <w:rPr>
                <w:rFonts w:hint="eastAsia" w:ascii="宋体" w:hAnsi="宋体" w:cs="宋体"/>
                <w:color w:val="000000" w:themeColor="text1"/>
                <w:sz w:val="18"/>
                <w:szCs w:val="18"/>
                <w:lang w:val="en-US" w:eastAsia="zh-CN"/>
                <w14:textFill>
                  <w14:solidFill>
                    <w14:schemeClr w14:val="tx1"/>
                  </w14:solidFill>
                </w14:textFill>
              </w:rPr>
              <w:t>。</w:t>
            </w:r>
          </w:p>
        </w:tc>
      </w:tr>
      <w:tr w14:paraId="257AE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exact"/>
        </w:trPr>
        <w:tc>
          <w:tcPr>
            <w:tcW w:w="586" w:type="dxa"/>
            <w:vMerge w:val="continue"/>
            <w:tcBorders>
              <w:left w:val="single" w:color="auto" w:sz="4" w:space="0"/>
              <w:right w:val="single" w:color="auto" w:sz="4" w:space="0"/>
            </w:tcBorders>
            <w:vAlign w:val="center"/>
          </w:tcPr>
          <w:p w14:paraId="56AA60D8">
            <w:pPr>
              <w:jc w:val="center"/>
              <w:rPr>
                <w:rFonts w:hint="eastAsia" w:ascii="宋体" w:hAnsi="宋体" w:eastAsia="宋体" w:cs="宋体"/>
                <w:color w:val="000000" w:themeColor="text1"/>
                <w:sz w:val="18"/>
                <w:szCs w:val="18"/>
                <w:lang w:val="en-US" w:eastAsia="zh-CN"/>
                <w14:textFill>
                  <w14:solidFill>
                    <w14:schemeClr w14:val="tx1"/>
                  </w14:solidFill>
                </w14:textFill>
              </w:rPr>
            </w:pPr>
          </w:p>
        </w:tc>
        <w:tc>
          <w:tcPr>
            <w:tcW w:w="1795" w:type="dxa"/>
            <w:vMerge w:val="continue"/>
            <w:tcBorders>
              <w:left w:val="single" w:color="auto" w:sz="4" w:space="0"/>
              <w:right w:val="single" w:color="auto" w:sz="4" w:space="0"/>
            </w:tcBorders>
            <w:vAlign w:val="center"/>
          </w:tcPr>
          <w:p w14:paraId="3A8D7F71">
            <w:pPr>
              <w:jc w:val="center"/>
              <w:rPr>
                <w:rFonts w:hint="eastAsia" w:ascii="宋体" w:hAnsi="宋体" w:eastAsia="宋体" w:cs="宋体"/>
                <w:color w:val="000000" w:themeColor="text1"/>
                <w:sz w:val="18"/>
                <w:szCs w:val="18"/>
                <w:lang w:val="en-US" w:eastAsia="zh-CN"/>
                <w14:textFill>
                  <w14:solidFill>
                    <w14:schemeClr w14:val="tx1"/>
                  </w14:solidFill>
                </w14:textFill>
              </w:rPr>
            </w:pPr>
          </w:p>
        </w:tc>
        <w:tc>
          <w:tcPr>
            <w:tcW w:w="7493" w:type="dxa"/>
            <w:gridSpan w:val="9"/>
            <w:tcBorders>
              <w:top w:val="single" w:color="auto" w:sz="4" w:space="0"/>
              <w:left w:val="single" w:color="auto" w:sz="4" w:space="0"/>
              <w:bottom w:val="single" w:color="auto" w:sz="4" w:space="0"/>
              <w:right w:val="single" w:color="auto" w:sz="4" w:space="0"/>
            </w:tcBorders>
            <w:vAlign w:val="center"/>
          </w:tcPr>
          <w:p w14:paraId="4083771F">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1.交货要求：合同期为30个日历天。中标供应商在合同期30个日历天内供应燃煤为</w:t>
            </w:r>
            <w:r>
              <w:rPr>
                <w:rFonts w:hint="eastAsia" w:ascii="宋体" w:hAnsi="宋体" w:eastAsia="宋体" w:cs="宋体"/>
                <w:color w:val="auto"/>
                <w:kern w:val="2"/>
                <w:sz w:val="18"/>
                <w:szCs w:val="18"/>
                <w:lang w:val="en-US" w:eastAsia="zh-CN" w:bidi="ar-SA"/>
              </w:rPr>
              <w:t>≥</w:t>
            </w:r>
            <w:r>
              <w:rPr>
                <w:rFonts w:hint="eastAsia" w:ascii="宋体" w:hAnsi="宋体" w:cs="宋体"/>
                <w:color w:val="auto"/>
                <w:kern w:val="2"/>
                <w:sz w:val="18"/>
                <w:szCs w:val="18"/>
                <w:lang w:val="en-US" w:eastAsia="zh-CN" w:bidi="ar-SA"/>
              </w:rPr>
              <w:t>1</w:t>
            </w:r>
            <w:r>
              <w:rPr>
                <w:rFonts w:hint="eastAsia" w:ascii="宋体" w:hAnsi="宋体" w:eastAsia="宋体" w:cs="宋体"/>
                <w:color w:val="auto"/>
                <w:kern w:val="2"/>
                <w:sz w:val="18"/>
                <w:szCs w:val="18"/>
                <w:lang w:val="en-US" w:eastAsia="zh-CN" w:bidi="ar-SA"/>
              </w:rPr>
              <w:t>0000</w:t>
            </w:r>
            <w:r>
              <w:rPr>
                <w:rFonts w:hint="eastAsia" w:ascii="宋体" w:hAnsi="宋体" w:cs="宋体"/>
                <w:color w:val="auto"/>
                <w:sz w:val="18"/>
                <w:szCs w:val="18"/>
                <w:lang w:val="en-US" w:eastAsia="zh-CN"/>
              </w:rPr>
              <w:t>吨，供应上限由采购人根据实际情况决定。供应商在收到采购人发出的《中标通知书》7个工作日内在采购人指定地点签订合同。</w:t>
            </w:r>
          </w:p>
          <w:p w14:paraId="56CA5E8B">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eastAsia" w:ascii="宋体" w:hAnsi="宋体" w:eastAsia="宋体" w:cs="宋体"/>
                <w:color w:val="auto"/>
                <w:kern w:val="2"/>
                <w:sz w:val="18"/>
                <w:szCs w:val="18"/>
                <w:lang w:val="en-US" w:eastAsia="zh-CN"/>
              </w:rPr>
            </w:pPr>
          </w:p>
          <w:p w14:paraId="2BE6B970">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cs="宋体"/>
                <w:color w:val="auto"/>
                <w:sz w:val="18"/>
                <w:szCs w:val="18"/>
                <w:lang w:val="en-US" w:eastAsia="zh-CN"/>
              </w:rPr>
            </w:pPr>
          </w:p>
        </w:tc>
      </w:tr>
      <w:tr w14:paraId="6BD14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exact"/>
        </w:trPr>
        <w:tc>
          <w:tcPr>
            <w:tcW w:w="586" w:type="dxa"/>
            <w:vMerge w:val="continue"/>
            <w:tcBorders>
              <w:left w:val="single" w:color="auto" w:sz="4" w:space="0"/>
              <w:right w:val="single" w:color="auto" w:sz="4" w:space="0"/>
            </w:tcBorders>
            <w:vAlign w:val="center"/>
          </w:tcPr>
          <w:p w14:paraId="4DA09889">
            <w:pPr>
              <w:jc w:val="center"/>
              <w:rPr>
                <w:rFonts w:hint="eastAsia" w:ascii="宋体" w:hAnsi="宋体" w:eastAsia="宋体" w:cs="宋体"/>
                <w:color w:val="000000" w:themeColor="text1"/>
                <w:sz w:val="18"/>
                <w:szCs w:val="18"/>
                <w:lang w:val="en-US" w:eastAsia="zh-CN"/>
                <w14:textFill>
                  <w14:solidFill>
                    <w14:schemeClr w14:val="tx1"/>
                  </w14:solidFill>
                </w14:textFill>
              </w:rPr>
            </w:pPr>
          </w:p>
        </w:tc>
        <w:tc>
          <w:tcPr>
            <w:tcW w:w="1795" w:type="dxa"/>
            <w:vMerge w:val="continue"/>
            <w:tcBorders>
              <w:left w:val="single" w:color="auto" w:sz="4" w:space="0"/>
              <w:right w:val="single" w:color="auto" w:sz="4" w:space="0"/>
            </w:tcBorders>
            <w:vAlign w:val="center"/>
          </w:tcPr>
          <w:p w14:paraId="7ECC266D">
            <w:pPr>
              <w:jc w:val="center"/>
              <w:rPr>
                <w:rFonts w:hint="eastAsia" w:ascii="宋体" w:hAnsi="宋体" w:eastAsia="宋体" w:cs="宋体"/>
                <w:color w:val="000000" w:themeColor="text1"/>
                <w:sz w:val="18"/>
                <w:szCs w:val="18"/>
                <w:lang w:val="en-US" w:eastAsia="zh-CN"/>
                <w14:textFill>
                  <w14:solidFill>
                    <w14:schemeClr w14:val="tx1"/>
                  </w14:solidFill>
                </w14:textFill>
              </w:rPr>
            </w:pPr>
          </w:p>
        </w:tc>
        <w:tc>
          <w:tcPr>
            <w:tcW w:w="7493" w:type="dxa"/>
            <w:gridSpan w:val="9"/>
            <w:tcBorders>
              <w:top w:val="single" w:color="auto" w:sz="4" w:space="0"/>
              <w:left w:val="single" w:color="auto" w:sz="4" w:space="0"/>
              <w:bottom w:val="single" w:color="auto" w:sz="4" w:space="0"/>
              <w:right w:val="single" w:color="auto" w:sz="4" w:space="0"/>
            </w:tcBorders>
            <w:vAlign w:val="center"/>
          </w:tcPr>
          <w:p w14:paraId="10544BC3">
            <w:pPr>
              <w:jc w:val="both"/>
              <w:rPr>
                <w:rFonts w:hint="default" w:ascii="宋体" w:hAnsi="宋体" w:cs="宋体"/>
                <w:color w:val="auto"/>
                <w:sz w:val="18"/>
                <w:szCs w:val="18"/>
                <w:lang w:val="en-US" w:eastAsia="zh-CN"/>
              </w:rPr>
            </w:pPr>
            <w:r>
              <w:rPr>
                <w:rFonts w:hint="eastAsia" w:ascii="宋体" w:hAnsi="宋体" w:cs="宋体"/>
                <w:color w:val="auto"/>
                <w:sz w:val="18"/>
                <w:szCs w:val="18"/>
                <w:lang w:val="en-US" w:eastAsia="zh-CN"/>
              </w:rPr>
              <w:t>2.采购区域：省内（来煤若掺配新疆煤、无烟煤采购人有权拒付）。</w:t>
            </w:r>
          </w:p>
          <w:p w14:paraId="13179901">
            <w:pPr>
              <w:ind w:firstLine="180" w:firstLineChars="100"/>
              <w:jc w:val="both"/>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交货地点：贵州钟山野马寨热电有限责任公司煤场。</w:t>
            </w:r>
          </w:p>
        </w:tc>
      </w:tr>
      <w:tr w14:paraId="0B4DB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9" w:hRule="exact"/>
        </w:trPr>
        <w:tc>
          <w:tcPr>
            <w:tcW w:w="586" w:type="dxa"/>
            <w:vMerge w:val="continue"/>
            <w:tcBorders>
              <w:left w:val="single" w:color="auto" w:sz="4" w:space="0"/>
              <w:right w:val="single" w:color="auto" w:sz="4" w:space="0"/>
            </w:tcBorders>
            <w:vAlign w:val="center"/>
          </w:tcPr>
          <w:p w14:paraId="04FE2341">
            <w:pPr>
              <w:jc w:val="center"/>
              <w:rPr>
                <w:rFonts w:hint="eastAsia" w:ascii="宋体" w:hAnsi="宋体" w:eastAsia="宋体" w:cs="宋体"/>
                <w:color w:val="000000" w:themeColor="text1"/>
                <w:sz w:val="18"/>
                <w:szCs w:val="18"/>
                <w:lang w:val="en-US" w:eastAsia="zh-CN"/>
                <w14:textFill>
                  <w14:solidFill>
                    <w14:schemeClr w14:val="tx1"/>
                  </w14:solidFill>
                </w14:textFill>
              </w:rPr>
            </w:pPr>
          </w:p>
        </w:tc>
        <w:tc>
          <w:tcPr>
            <w:tcW w:w="1795" w:type="dxa"/>
            <w:vMerge w:val="continue"/>
            <w:tcBorders>
              <w:left w:val="single" w:color="auto" w:sz="4" w:space="0"/>
              <w:right w:val="single" w:color="auto" w:sz="4" w:space="0"/>
            </w:tcBorders>
            <w:vAlign w:val="center"/>
          </w:tcPr>
          <w:p w14:paraId="674C45FF">
            <w:pPr>
              <w:jc w:val="center"/>
              <w:rPr>
                <w:rFonts w:hint="eastAsia" w:ascii="宋体" w:hAnsi="宋体" w:eastAsia="宋体" w:cs="宋体"/>
                <w:color w:val="000000" w:themeColor="text1"/>
                <w:sz w:val="18"/>
                <w:szCs w:val="18"/>
                <w:lang w:val="en-US" w:eastAsia="zh-CN"/>
                <w14:textFill>
                  <w14:solidFill>
                    <w14:schemeClr w14:val="tx1"/>
                  </w14:solidFill>
                </w14:textFill>
              </w:rPr>
            </w:pPr>
          </w:p>
        </w:tc>
        <w:tc>
          <w:tcPr>
            <w:tcW w:w="7493" w:type="dxa"/>
            <w:gridSpan w:val="9"/>
            <w:tcBorders>
              <w:top w:val="single" w:color="auto" w:sz="4" w:space="0"/>
              <w:left w:val="single" w:color="auto" w:sz="4" w:space="0"/>
              <w:bottom w:val="single" w:color="auto" w:sz="4" w:space="0"/>
              <w:right w:val="single" w:color="auto" w:sz="4" w:space="0"/>
            </w:tcBorders>
            <w:vAlign w:val="center"/>
          </w:tcPr>
          <w:p w14:paraId="53DF3FC6">
            <w:pPr>
              <w:jc w:val="both"/>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3.合同价格及结算</w:t>
            </w:r>
          </w:p>
          <w:p w14:paraId="5930D917">
            <w:pPr>
              <w:jc w:val="both"/>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3.1</w:t>
            </w:r>
            <w:r>
              <w:rPr>
                <w:rFonts w:hint="eastAsia" w:ascii="宋体" w:hAnsi="宋体" w:cs="宋体"/>
                <w:color w:val="000000" w:themeColor="text1"/>
                <w:sz w:val="18"/>
                <w:szCs w:val="18"/>
                <w:lang w:val="en-US" w:eastAsia="zh-CN"/>
                <w14:textFill>
                  <w14:solidFill>
                    <w14:schemeClr w14:val="tx1"/>
                  </w14:solidFill>
                </w14:textFill>
              </w:rPr>
              <w:t>各标段</w:t>
            </w:r>
            <w:r>
              <w:rPr>
                <w:rFonts w:hint="eastAsia" w:ascii="宋体" w:hAnsi="宋体" w:eastAsia="宋体" w:cs="宋体"/>
                <w:color w:val="000000" w:themeColor="text1"/>
                <w:sz w:val="18"/>
                <w:szCs w:val="18"/>
                <w:lang w:val="en-US" w:eastAsia="zh-CN"/>
                <w14:textFill>
                  <w14:solidFill>
                    <w14:schemeClr w14:val="tx1"/>
                  </w14:solidFill>
                </w14:textFill>
              </w:rPr>
              <w:t>合同为单价合同，成交价为合同热值基准价格（基准热值</w:t>
            </w:r>
            <w:r>
              <w:rPr>
                <w:rFonts w:hint="eastAsia" w:ascii="宋体" w:hAnsi="宋体" w:cs="宋体"/>
                <w:color w:val="000000" w:themeColor="text1"/>
                <w:sz w:val="18"/>
                <w:szCs w:val="18"/>
                <w:lang w:val="en-US" w:eastAsia="zh-CN"/>
                <w14:textFill>
                  <w14:solidFill>
                    <w14:schemeClr w14:val="tx1"/>
                  </w14:solidFill>
                </w14:textFill>
              </w:rPr>
              <w:t>为</w:t>
            </w:r>
            <w:r>
              <w:rPr>
                <w:rFonts w:hint="eastAsia" w:ascii="宋体" w:hAnsi="宋体" w:eastAsia="宋体" w:cs="宋体"/>
                <w:color w:val="000000" w:themeColor="text1"/>
                <w:sz w:val="18"/>
                <w:szCs w:val="18"/>
                <w:lang w:val="en-US" w:eastAsia="zh-CN"/>
                <w14:textFill>
                  <w14:solidFill>
                    <w14:schemeClr w14:val="tx1"/>
                  </w14:solidFill>
                </w14:textFill>
              </w:rPr>
              <w:t>Qnet,ar≥</w:t>
            </w:r>
            <w:r>
              <w:rPr>
                <w:rFonts w:hint="eastAsia" w:ascii="宋体" w:hAnsi="宋体" w:cs="宋体"/>
                <w:color w:val="000000" w:themeColor="text1"/>
                <w:sz w:val="18"/>
                <w:szCs w:val="18"/>
                <w:lang w:val="en-US" w:eastAsia="zh-CN"/>
                <w14:textFill>
                  <w14:solidFill>
                    <w14:schemeClr w14:val="tx1"/>
                  </w14:solidFill>
                </w14:textFill>
              </w:rPr>
              <w:t>30</w:t>
            </w:r>
            <w:r>
              <w:rPr>
                <w:rFonts w:hint="eastAsia" w:ascii="宋体" w:hAnsi="宋体" w:eastAsia="宋体" w:cs="宋体"/>
                <w:color w:val="000000" w:themeColor="text1"/>
                <w:sz w:val="18"/>
                <w:szCs w:val="18"/>
                <w:lang w:val="en-US" w:eastAsia="zh-CN"/>
                <w14:textFill>
                  <w14:solidFill>
                    <w14:schemeClr w14:val="tx1"/>
                  </w14:solidFill>
                </w14:textFill>
              </w:rPr>
              <w:t>00kcal/kg</w:t>
            </w:r>
            <w:r>
              <w:rPr>
                <w:rFonts w:hint="eastAsia" w:ascii="宋体" w:hAnsi="宋体" w:cs="宋体"/>
                <w:color w:val="000000" w:themeColor="text1"/>
                <w:sz w:val="18"/>
                <w:szCs w:val="18"/>
                <w:lang w:val="en-US" w:eastAsia="zh-CN"/>
                <w14:textFill>
                  <w14:solidFill>
                    <w14:schemeClr w14:val="tx1"/>
                  </w14:solidFill>
                </w14:textFill>
              </w:rPr>
              <w:t>。）</w:t>
            </w:r>
          </w:p>
          <w:p w14:paraId="15D4BCE3">
            <w:pPr>
              <w:jc w:val="both"/>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燃煤</w:t>
            </w:r>
            <w:r>
              <w:rPr>
                <w:rFonts w:hint="eastAsia" w:ascii="宋体" w:hAnsi="宋体" w:eastAsia="宋体" w:cs="宋体"/>
                <w:color w:val="000000" w:themeColor="text1"/>
                <w:sz w:val="18"/>
                <w:szCs w:val="18"/>
                <w:lang w:val="en-US" w:eastAsia="zh-CN"/>
                <w14:textFill>
                  <w14:solidFill>
                    <w14:schemeClr w14:val="tx1"/>
                  </w14:solidFill>
                </w14:textFill>
              </w:rPr>
              <w:t>结算单价=发热量计价+质量调整价+数量调整价+ 其他因素调整价。</w:t>
            </w:r>
          </w:p>
          <w:p w14:paraId="057BE7E4">
            <w:pPr>
              <w:jc w:val="both"/>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燃煤</w:t>
            </w:r>
            <w:r>
              <w:rPr>
                <w:rFonts w:hint="eastAsia" w:ascii="宋体" w:hAnsi="宋体" w:eastAsia="宋体" w:cs="宋体"/>
                <w:color w:val="000000" w:themeColor="text1"/>
                <w:sz w:val="18"/>
                <w:szCs w:val="18"/>
                <w:lang w:val="en-US" w:eastAsia="zh-CN"/>
                <w14:textFill>
                  <w14:solidFill>
                    <w14:schemeClr w14:val="tx1"/>
                  </w14:solidFill>
                </w14:textFill>
              </w:rPr>
              <w:t>结算价=</w:t>
            </w:r>
            <w:r>
              <w:rPr>
                <w:rFonts w:hint="eastAsia" w:ascii="宋体" w:hAnsi="宋体" w:cs="宋体"/>
                <w:color w:val="000000" w:themeColor="text1"/>
                <w:sz w:val="18"/>
                <w:szCs w:val="18"/>
                <w:lang w:val="en-US" w:eastAsia="zh-CN"/>
                <w14:textFill>
                  <w14:solidFill>
                    <w14:schemeClr w14:val="tx1"/>
                  </w14:solidFill>
                </w14:textFill>
              </w:rPr>
              <w:t>燃煤</w:t>
            </w:r>
            <w:r>
              <w:rPr>
                <w:rFonts w:hint="eastAsia" w:ascii="宋体" w:hAnsi="宋体" w:eastAsia="宋体" w:cs="宋体"/>
                <w:color w:val="000000" w:themeColor="text1"/>
                <w:sz w:val="18"/>
                <w:szCs w:val="18"/>
                <w:lang w:val="en-US" w:eastAsia="zh-CN"/>
                <w14:textFill>
                  <w14:solidFill>
                    <w14:schemeClr w14:val="tx1"/>
                  </w14:solidFill>
                </w14:textFill>
              </w:rPr>
              <w:t>结算单价</w:t>
            </w:r>
            <w:r>
              <w:rPr>
                <w:rFonts w:hint="eastAsia" w:ascii="宋体" w:hAnsi="宋体" w:cs="宋体"/>
                <w:color w:val="000000" w:themeColor="text1"/>
                <w:sz w:val="18"/>
                <w:szCs w:val="18"/>
                <w:lang w:val="en-US" w:eastAsia="zh-CN"/>
                <w14:textFill>
                  <w14:solidFill>
                    <w14:schemeClr w14:val="tx1"/>
                  </w14:solidFill>
                </w14:textFill>
              </w:rPr>
              <w:t>×</w:t>
            </w:r>
            <w:r>
              <w:rPr>
                <w:rFonts w:hint="eastAsia" w:ascii="宋体" w:hAnsi="宋体" w:eastAsia="宋体" w:cs="宋体"/>
                <w:color w:val="000000" w:themeColor="text1"/>
                <w:sz w:val="18"/>
                <w:szCs w:val="18"/>
                <w:lang w:val="en-US" w:eastAsia="zh-CN"/>
                <w14:textFill>
                  <w14:solidFill>
                    <w14:schemeClr w14:val="tx1"/>
                  </w14:solidFill>
                </w14:textFill>
              </w:rPr>
              <w:t>合格数量+单批次结算单价</w:t>
            </w:r>
            <w:r>
              <w:rPr>
                <w:rFonts w:hint="eastAsia" w:ascii="宋体" w:hAnsi="宋体" w:cs="宋体"/>
                <w:color w:val="000000" w:themeColor="text1"/>
                <w:sz w:val="18"/>
                <w:szCs w:val="18"/>
                <w:lang w:val="en-US" w:eastAsia="zh-CN"/>
                <w14:textFill>
                  <w14:solidFill>
                    <w14:schemeClr w14:val="tx1"/>
                  </w14:solidFill>
                </w14:textFill>
              </w:rPr>
              <w:t>×</w:t>
            </w:r>
            <w:r>
              <w:rPr>
                <w:rFonts w:hint="eastAsia" w:ascii="宋体" w:hAnsi="宋体" w:eastAsia="宋体" w:cs="宋体"/>
                <w:color w:val="000000" w:themeColor="text1"/>
                <w:sz w:val="18"/>
                <w:szCs w:val="18"/>
                <w:lang w:val="en-US" w:eastAsia="zh-CN"/>
                <w14:textFill>
                  <w14:solidFill>
                    <w14:schemeClr w14:val="tx1"/>
                  </w14:solidFill>
                </w14:textFill>
              </w:rPr>
              <w:t>单批次合格数量。</w:t>
            </w:r>
          </w:p>
          <w:p w14:paraId="5FEB0166">
            <w:pPr>
              <w:jc w:val="both"/>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3.2成交人为供货时而发生的所有费用均应包含在货物价款中，采购人不再另行支付其它任何费用。</w:t>
            </w:r>
          </w:p>
          <w:p w14:paraId="1AD453F0">
            <w:pPr>
              <w:jc w:val="both"/>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3.3 最终结算单价按签订的合同相应条款内容进行调整后结算。</w:t>
            </w:r>
          </w:p>
        </w:tc>
      </w:tr>
      <w:tr w14:paraId="1AE33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8" w:hRule="exact"/>
        </w:trPr>
        <w:tc>
          <w:tcPr>
            <w:tcW w:w="586" w:type="dxa"/>
            <w:vMerge w:val="continue"/>
            <w:tcBorders>
              <w:left w:val="single" w:color="auto" w:sz="4" w:space="0"/>
              <w:right w:val="single" w:color="auto" w:sz="4" w:space="0"/>
            </w:tcBorders>
            <w:vAlign w:val="center"/>
          </w:tcPr>
          <w:p w14:paraId="60541603">
            <w:pPr>
              <w:jc w:val="center"/>
              <w:rPr>
                <w:rFonts w:hint="eastAsia" w:ascii="宋体" w:hAnsi="宋体" w:eastAsia="宋体" w:cs="宋体"/>
                <w:color w:val="000000" w:themeColor="text1"/>
                <w:sz w:val="18"/>
                <w:szCs w:val="18"/>
                <w:lang w:val="en-US" w:eastAsia="zh-CN"/>
                <w14:textFill>
                  <w14:solidFill>
                    <w14:schemeClr w14:val="tx1"/>
                  </w14:solidFill>
                </w14:textFill>
              </w:rPr>
            </w:pPr>
          </w:p>
        </w:tc>
        <w:tc>
          <w:tcPr>
            <w:tcW w:w="1795" w:type="dxa"/>
            <w:vMerge w:val="continue"/>
            <w:tcBorders>
              <w:left w:val="single" w:color="auto" w:sz="4" w:space="0"/>
              <w:right w:val="single" w:color="auto" w:sz="4" w:space="0"/>
            </w:tcBorders>
            <w:vAlign w:val="center"/>
          </w:tcPr>
          <w:p w14:paraId="390E28F5">
            <w:pPr>
              <w:jc w:val="center"/>
              <w:rPr>
                <w:rFonts w:hint="eastAsia" w:ascii="宋体" w:hAnsi="宋体" w:eastAsia="宋体" w:cs="宋体"/>
                <w:color w:val="000000" w:themeColor="text1"/>
                <w:sz w:val="18"/>
                <w:szCs w:val="18"/>
                <w:lang w:val="en-US" w:eastAsia="zh-CN"/>
                <w14:textFill>
                  <w14:solidFill>
                    <w14:schemeClr w14:val="tx1"/>
                  </w14:solidFill>
                </w14:textFill>
              </w:rPr>
            </w:pPr>
          </w:p>
        </w:tc>
        <w:tc>
          <w:tcPr>
            <w:tcW w:w="7493" w:type="dxa"/>
            <w:gridSpan w:val="9"/>
            <w:tcBorders>
              <w:top w:val="single" w:color="auto" w:sz="4" w:space="0"/>
              <w:left w:val="single" w:color="auto" w:sz="4" w:space="0"/>
              <w:bottom w:val="single" w:color="auto" w:sz="4" w:space="0"/>
              <w:right w:val="single" w:color="auto" w:sz="4" w:space="0"/>
            </w:tcBorders>
            <w:vAlign w:val="center"/>
          </w:tcPr>
          <w:p w14:paraId="618EA02C">
            <w:pPr>
              <w:jc w:val="both"/>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4.履约保证金</w:t>
            </w:r>
          </w:p>
          <w:p w14:paraId="6215E287">
            <w:pPr>
              <w:jc w:val="both"/>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4.1收取合同履约保证金200000</w:t>
            </w:r>
            <w:r>
              <w:rPr>
                <w:rFonts w:hint="eastAsia" w:ascii="宋体" w:hAnsi="宋体" w:cs="宋体"/>
                <w:color w:val="000000" w:themeColor="text1"/>
                <w:sz w:val="18"/>
                <w:szCs w:val="18"/>
                <w:lang w:val="en-US" w:eastAsia="zh-CN"/>
                <w14:textFill>
                  <w14:solidFill>
                    <w14:schemeClr w14:val="tx1"/>
                  </w14:solidFill>
                </w14:textFill>
              </w:rPr>
              <w:t>.00</w:t>
            </w:r>
            <w:r>
              <w:rPr>
                <w:rFonts w:hint="eastAsia" w:ascii="宋体" w:hAnsi="宋体" w:eastAsia="宋体" w:cs="宋体"/>
                <w:color w:val="000000" w:themeColor="text1"/>
                <w:sz w:val="18"/>
                <w:szCs w:val="18"/>
                <w:lang w:val="en-US" w:eastAsia="zh-CN"/>
                <w14:textFill>
                  <w14:solidFill>
                    <w14:schemeClr w14:val="tx1"/>
                  </w14:solidFill>
                </w14:textFill>
              </w:rPr>
              <w:t>元（大写：人民币贰拾万元整），成交人在合同签订前需通过银行电汇形式将履约保证金缴到甲方指定账户，采购人在接到成交人缴纳履约保证金相关凭证后，方可签订合同。合同期内成交人履行完合同后，成交人提出申请，采购人于10个工作日内无息返还履约保证金。</w:t>
            </w:r>
          </w:p>
          <w:p w14:paraId="1266345D">
            <w:pPr>
              <w:jc w:val="both"/>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4.2因采购人调运原因、环保原因、降价原因、极端天气或者发生不可抗力事故造成合同无法履行的，履约保证金全部无息退还。</w:t>
            </w:r>
          </w:p>
          <w:p w14:paraId="79D7E5E3">
            <w:pPr>
              <w:jc w:val="both"/>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4.3成交人供应燃煤与合同煤质严重不符的，采购人有权停止采购乙方燃煤，并扣除全部履约保证金。本次保证金只接受现汇，不接受银行保函、现金等其他形式保证金。</w:t>
            </w:r>
          </w:p>
          <w:p w14:paraId="697AB809">
            <w:pPr>
              <w:jc w:val="both"/>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4.4成交人也可按合同格式文本要求向采购人供应和保证金同等价值的</w:t>
            </w:r>
            <w:r>
              <w:rPr>
                <w:rFonts w:hint="eastAsia" w:ascii="宋体" w:hAnsi="宋体" w:cs="宋体"/>
                <w:color w:val="000000" w:themeColor="text1"/>
                <w:sz w:val="18"/>
                <w:szCs w:val="18"/>
                <w:lang w:val="en-US" w:eastAsia="zh-CN"/>
                <w14:textFill>
                  <w14:solidFill>
                    <w14:schemeClr w14:val="tx1"/>
                  </w14:solidFill>
                </w14:textFill>
              </w:rPr>
              <w:t>燃煤</w:t>
            </w:r>
            <w:r>
              <w:rPr>
                <w:rFonts w:hint="eastAsia" w:ascii="宋体" w:hAnsi="宋体" w:eastAsia="宋体" w:cs="宋体"/>
                <w:color w:val="000000" w:themeColor="text1"/>
                <w:sz w:val="18"/>
                <w:szCs w:val="18"/>
                <w:lang w:val="en-US" w:eastAsia="zh-CN"/>
                <w14:textFill>
                  <w14:solidFill>
                    <w14:schemeClr w14:val="tx1"/>
                  </w14:solidFill>
                </w14:textFill>
              </w:rPr>
              <w:t>。</w:t>
            </w:r>
          </w:p>
        </w:tc>
      </w:tr>
      <w:tr w14:paraId="6BF3A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0" w:hRule="exact"/>
        </w:trPr>
        <w:tc>
          <w:tcPr>
            <w:tcW w:w="586" w:type="dxa"/>
            <w:vMerge w:val="continue"/>
            <w:tcBorders>
              <w:left w:val="single" w:color="auto" w:sz="4" w:space="0"/>
              <w:right w:val="single" w:color="auto" w:sz="4" w:space="0"/>
            </w:tcBorders>
            <w:vAlign w:val="center"/>
          </w:tcPr>
          <w:p w14:paraId="2AC43EE8">
            <w:pPr>
              <w:jc w:val="center"/>
              <w:rPr>
                <w:rFonts w:hint="eastAsia" w:ascii="宋体" w:hAnsi="宋体" w:eastAsia="宋体" w:cs="宋体"/>
                <w:color w:val="000000" w:themeColor="text1"/>
                <w:sz w:val="18"/>
                <w:szCs w:val="18"/>
                <w:lang w:val="en-US" w:eastAsia="zh-CN"/>
                <w14:textFill>
                  <w14:solidFill>
                    <w14:schemeClr w14:val="tx1"/>
                  </w14:solidFill>
                </w14:textFill>
              </w:rPr>
            </w:pPr>
          </w:p>
        </w:tc>
        <w:tc>
          <w:tcPr>
            <w:tcW w:w="1795" w:type="dxa"/>
            <w:vMerge w:val="continue"/>
            <w:tcBorders>
              <w:left w:val="single" w:color="auto" w:sz="4" w:space="0"/>
              <w:right w:val="single" w:color="auto" w:sz="4" w:space="0"/>
            </w:tcBorders>
            <w:vAlign w:val="center"/>
          </w:tcPr>
          <w:p w14:paraId="06B646E7">
            <w:pPr>
              <w:jc w:val="center"/>
              <w:rPr>
                <w:rFonts w:hint="eastAsia" w:ascii="宋体" w:hAnsi="宋体" w:eastAsia="宋体" w:cs="宋体"/>
                <w:color w:val="000000" w:themeColor="text1"/>
                <w:sz w:val="18"/>
                <w:szCs w:val="18"/>
                <w:lang w:val="en-US" w:eastAsia="zh-CN"/>
                <w14:textFill>
                  <w14:solidFill>
                    <w14:schemeClr w14:val="tx1"/>
                  </w14:solidFill>
                </w14:textFill>
              </w:rPr>
            </w:pPr>
          </w:p>
        </w:tc>
        <w:tc>
          <w:tcPr>
            <w:tcW w:w="7493" w:type="dxa"/>
            <w:gridSpan w:val="9"/>
            <w:tcBorders>
              <w:top w:val="single" w:color="auto" w:sz="4" w:space="0"/>
              <w:left w:val="single" w:color="auto" w:sz="4" w:space="0"/>
              <w:bottom w:val="single" w:color="auto" w:sz="4" w:space="0"/>
              <w:right w:val="single" w:color="auto" w:sz="4" w:space="0"/>
            </w:tcBorders>
            <w:vAlign w:val="center"/>
          </w:tcPr>
          <w:p w14:paraId="1567F78A">
            <w:pPr>
              <w:jc w:val="both"/>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5.结算及付款方式</w:t>
            </w:r>
          </w:p>
          <w:p w14:paraId="28E9A398">
            <w:pPr>
              <w:jc w:val="both"/>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5.1 结算方式：</w:t>
            </w:r>
          </w:p>
          <w:p w14:paraId="6573FBC2">
            <w:pPr>
              <w:jc w:val="both"/>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（1）</w:t>
            </w:r>
            <w:r>
              <w:rPr>
                <w:rFonts w:hint="eastAsia" w:ascii="宋体" w:hAnsi="宋体" w:eastAsia="宋体" w:cs="宋体"/>
                <w:color w:val="000000" w:themeColor="text1"/>
                <w:sz w:val="18"/>
                <w:szCs w:val="18"/>
                <w:lang w:val="en-US" w:eastAsia="zh-CN"/>
                <w14:textFill>
                  <w14:solidFill>
                    <w14:schemeClr w14:val="tx1"/>
                  </w14:solidFill>
                </w14:textFill>
              </w:rPr>
              <w:t>合同期内以甲方实际到厂计量数量、化验结果为结算依据，合同期内所供燃煤按</w:t>
            </w:r>
            <w:r>
              <w:rPr>
                <w:rFonts w:hint="eastAsia" w:ascii="宋体" w:hAnsi="宋体" w:cs="宋体"/>
                <w:color w:val="000000" w:themeColor="text1"/>
                <w:sz w:val="18"/>
                <w:szCs w:val="18"/>
                <w:lang w:val="en-US" w:eastAsia="zh-CN"/>
                <w14:textFill>
                  <w14:solidFill>
                    <w14:schemeClr w14:val="tx1"/>
                  </w14:solidFill>
                </w14:textFill>
              </w:rPr>
              <w:t>25</w:t>
            </w:r>
            <w:r>
              <w:rPr>
                <w:rFonts w:hint="eastAsia" w:ascii="宋体" w:hAnsi="宋体" w:eastAsia="宋体" w:cs="宋体"/>
                <w:color w:val="000000" w:themeColor="text1"/>
                <w:sz w:val="18"/>
                <w:szCs w:val="18"/>
                <w:lang w:val="en-US" w:eastAsia="zh-CN"/>
                <w14:textFill>
                  <w14:solidFill>
                    <w14:schemeClr w14:val="tx1"/>
                  </w14:solidFill>
                </w14:textFill>
              </w:rPr>
              <w:t>00大卡以上热值加权（或单批次）方式计算后合计一票到厂结算（若乙方选择供应同等价值及以上燃煤作为合同履约保证金，则自《中标通知书》发出之日起至合同签订之日前，所供应同等价值及以上燃煤煤量纳入全合同量一并结算）；</w:t>
            </w:r>
          </w:p>
          <w:p w14:paraId="6CDEAFE6">
            <w:pPr>
              <w:jc w:val="both"/>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（2）</w:t>
            </w:r>
            <w:r>
              <w:rPr>
                <w:rFonts w:hint="eastAsia" w:ascii="宋体" w:hAnsi="宋体" w:eastAsia="宋体" w:cs="宋体"/>
                <w:color w:val="000000" w:themeColor="text1"/>
                <w:sz w:val="18"/>
                <w:szCs w:val="18"/>
                <w:lang w:val="en-US" w:eastAsia="zh-CN"/>
                <w14:textFill>
                  <w14:solidFill>
                    <w14:schemeClr w14:val="tx1"/>
                  </w14:solidFill>
                </w14:textFill>
              </w:rPr>
              <w:t>所有指标用扣吨后的煤量进行加权计算单价，并用扣吨后的煤量计算应结算煤款；</w:t>
            </w:r>
          </w:p>
          <w:p w14:paraId="133B30C8">
            <w:pPr>
              <w:jc w:val="both"/>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（3）</w:t>
            </w:r>
            <w:r>
              <w:rPr>
                <w:rFonts w:hint="eastAsia" w:ascii="宋体" w:hAnsi="宋体" w:eastAsia="宋体" w:cs="宋体"/>
                <w:color w:val="000000" w:themeColor="text1"/>
                <w:sz w:val="18"/>
                <w:szCs w:val="18"/>
                <w:lang w:val="en-US" w:eastAsia="zh-CN"/>
                <w14:textFill>
                  <w14:solidFill>
                    <w14:schemeClr w14:val="tx1"/>
                  </w14:solidFill>
                </w14:textFill>
              </w:rPr>
              <w:t>合同约定的供煤量完成后双方办理结算（若乙方超期天数超过30天仍未供应完合同约定煤量，则甲方通知乙方办理结算）；乙方根据双方共同签字确认的结算单，开具相应增值税专用发票（税率13%）交到甲方；</w:t>
            </w:r>
          </w:p>
          <w:p w14:paraId="3DF857EF">
            <w:pPr>
              <w:jc w:val="both"/>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（4）</w:t>
            </w:r>
            <w:r>
              <w:rPr>
                <w:rFonts w:hint="eastAsia" w:ascii="宋体" w:hAnsi="宋体" w:eastAsia="宋体" w:cs="宋体"/>
                <w:color w:val="000000" w:themeColor="text1"/>
                <w:sz w:val="18"/>
                <w:szCs w:val="18"/>
                <w:lang w:val="en-US" w:eastAsia="zh-CN"/>
                <w14:textFill>
                  <w14:solidFill>
                    <w14:schemeClr w14:val="tx1"/>
                  </w14:solidFill>
                </w14:textFill>
              </w:rPr>
              <w:t>乙方完成合同约定供煤量，甲方于次月底前向乙方支付50%煤款，第三月月底前向乙方付清剩余煤款。乙方未提供发票的，甲方有权延期付款。</w:t>
            </w:r>
          </w:p>
          <w:p w14:paraId="6ECB29BF">
            <w:pPr>
              <w:jc w:val="both"/>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5.2付款方式：现汇</w:t>
            </w:r>
            <w:r>
              <w:rPr>
                <w:rFonts w:hint="eastAsia" w:ascii="宋体" w:hAnsi="宋体" w:cs="宋体"/>
                <w:color w:val="000000" w:themeColor="text1"/>
                <w:sz w:val="18"/>
                <w:szCs w:val="18"/>
                <w:lang w:val="en-US" w:eastAsia="zh-CN"/>
                <w14:textFill>
                  <w14:solidFill>
                    <w14:schemeClr w14:val="tx1"/>
                  </w14:solidFill>
                </w14:textFill>
              </w:rPr>
              <w:t>、银行承兑汇票</w:t>
            </w:r>
            <w:r>
              <w:rPr>
                <w:rFonts w:hint="eastAsia" w:ascii="宋体" w:hAnsi="宋体" w:eastAsia="宋体" w:cs="宋体"/>
                <w:color w:val="000000" w:themeColor="text1"/>
                <w:sz w:val="18"/>
                <w:szCs w:val="18"/>
                <w:lang w:val="en-US" w:eastAsia="zh-CN"/>
                <w14:textFill>
                  <w14:solidFill>
                    <w14:schemeClr w14:val="tx1"/>
                  </w14:solidFill>
                </w14:textFill>
              </w:rPr>
              <w:t>或其他。</w:t>
            </w:r>
          </w:p>
        </w:tc>
      </w:tr>
      <w:tr w14:paraId="7EBB1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4" w:hRule="exact"/>
        </w:trPr>
        <w:tc>
          <w:tcPr>
            <w:tcW w:w="586" w:type="dxa"/>
            <w:vMerge w:val="continue"/>
            <w:tcBorders>
              <w:left w:val="single" w:color="auto" w:sz="4" w:space="0"/>
              <w:right w:val="single" w:color="auto" w:sz="4" w:space="0"/>
            </w:tcBorders>
            <w:vAlign w:val="center"/>
          </w:tcPr>
          <w:p w14:paraId="27AF7A78">
            <w:pPr>
              <w:jc w:val="center"/>
              <w:rPr>
                <w:rFonts w:hint="eastAsia" w:ascii="宋体" w:hAnsi="宋体" w:eastAsia="宋体" w:cs="宋体"/>
                <w:color w:val="000000" w:themeColor="text1"/>
                <w:sz w:val="18"/>
                <w:szCs w:val="18"/>
                <w:lang w:val="en-US" w:eastAsia="zh-CN"/>
                <w14:textFill>
                  <w14:solidFill>
                    <w14:schemeClr w14:val="tx1"/>
                  </w14:solidFill>
                </w14:textFill>
              </w:rPr>
            </w:pPr>
          </w:p>
        </w:tc>
        <w:tc>
          <w:tcPr>
            <w:tcW w:w="1795" w:type="dxa"/>
            <w:vMerge w:val="continue"/>
            <w:tcBorders>
              <w:left w:val="single" w:color="auto" w:sz="4" w:space="0"/>
              <w:right w:val="single" w:color="auto" w:sz="4" w:space="0"/>
            </w:tcBorders>
            <w:vAlign w:val="center"/>
          </w:tcPr>
          <w:p w14:paraId="1995A278">
            <w:pPr>
              <w:jc w:val="center"/>
              <w:rPr>
                <w:rFonts w:hint="eastAsia" w:ascii="宋体" w:hAnsi="宋体" w:eastAsia="宋体" w:cs="宋体"/>
                <w:color w:val="000000" w:themeColor="text1"/>
                <w:sz w:val="18"/>
                <w:szCs w:val="18"/>
                <w:lang w:val="en-US" w:eastAsia="zh-CN"/>
                <w14:textFill>
                  <w14:solidFill>
                    <w14:schemeClr w14:val="tx1"/>
                  </w14:solidFill>
                </w14:textFill>
              </w:rPr>
            </w:pPr>
          </w:p>
        </w:tc>
        <w:tc>
          <w:tcPr>
            <w:tcW w:w="7493" w:type="dxa"/>
            <w:gridSpan w:val="9"/>
            <w:tcBorders>
              <w:top w:val="single" w:color="auto" w:sz="4" w:space="0"/>
              <w:left w:val="single" w:color="auto" w:sz="4" w:space="0"/>
              <w:bottom w:val="single" w:color="auto" w:sz="4" w:space="0"/>
              <w:right w:val="single" w:color="auto" w:sz="4" w:space="0"/>
            </w:tcBorders>
            <w:vAlign w:val="center"/>
          </w:tcPr>
          <w:p w14:paraId="215DF48E">
            <w:pPr>
              <w:jc w:val="both"/>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6.包装、运输与装卸</w:t>
            </w:r>
          </w:p>
          <w:p w14:paraId="0EEDCFBC">
            <w:pPr>
              <w:jc w:val="both"/>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6.1除供货合同另有规定外，成交人供应的货物，均应按国家、行业标准保护措施进行包装。这类包装应适应于远距离运输、防损、多次搬运装卸，以确货物完好无损运抵指定现场。由于成交人包装、运输不善所造成的任何损失，由成交人负责；</w:t>
            </w:r>
          </w:p>
          <w:p w14:paraId="35957A8E">
            <w:pPr>
              <w:jc w:val="both"/>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6.2成交人应选择合适的运输方式，并负责货物的安全合法发运、保险、装卸工作及费用和安全，成交人运输人员必须具有相关从业资格证书,成交人未按国家相关法律法规和本合同的约定在货物运输所造成的一切安全事故和损失，由成交人负责。</w:t>
            </w:r>
          </w:p>
        </w:tc>
      </w:tr>
      <w:tr w14:paraId="3C696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4" w:hRule="exact"/>
        </w:trPr>
        <w:tc>
          <w:tcPr>
            <w:tcW w:w="586" w:type="dxa"/>
            <w:vMerge w:val="continue"/>
            <w:tcBorders>
              <w:left w:val="single" w:color="auto" w:sz="4" w:space="0"/>
              <w:right w:val="single" w:color="auto" w:sz="4" w:space="0"/>
            </w:tcBorders>
            <w:vAlign w:val="center"/>
          </w:tcPr>
          <w:p w14:paraId="169800D2">
            <w:pPr>
              <w:jc w:val="center"/>
              <w:rPr>
                <w:rFonts w:hint="eastAsia" w:ascii="宋体" w:hAnsi="宋体" w:eastAsia="宋体" w:cs="宋体"/>
                <w:color w:val="000000" w:themeColor="text1"/>
                <w:sz w:val="18"/>
                <w:szCs w:val="18"/>
                <w:lang w:val="en-US" w:eastAsia="zh-CN"/>
                <w14:textFill>
                  <w14:solidFill>
                    <w14:schemeClr w14:val="tx1"/>
                  </w14:solidFill>
                </w14:textFill>
              </w:rPr>
            </w:pPr>
          </w:p>
        </w:tc>
        <w:tc>
          <w:tcPr>
            <w:tcW w:w="1795" w:type="dxa"/>
            <w:vMerge w:val="continue"/>
            <w:tcBorders>
              <w:left w:val="single" w:color="auto" w:sz="4" w:space="0"/>
              <w:right w:val="single" w:color="auto" w:sz="4" w:space="0"/>
            </w:tcBorders>
            <w:vAlign w:val="center"/>
          </w:tcPr>
          <w:p w14:paraId="5DED9945">
            <w:pPr>
              <w:jc w:val="center"/>
              <w:rPr>
                <w:rFonts w:hint="eastAsia" w:ascii="宋体" w:hAnsi="宋体" w:eastAsia="宋体" w:cs="宋体"/>
                <w:color w:val="000000" w:themeColor="text1"/>
                <w:sz w:val="18"/>
                <w:szCs w:val="18"/>
                <w:lang w:val="en-US" w:eastAsia="zh-CN"/>
                <w14:textFill>
                  <w14:solidFill>
                    <w14:schemeClr w14:val="tx1"/>
                  </w14:solidFill>
                </w14:textFill>
              </w:rPr>
            </w:pPr>
          </w:p>
        </w:tc>
        <w:tc>
          <w:tcPr>
            <w:tcW w:w="7493" w:type="dxa"/>
            <w:gridSpan w:val="9"/>
            <w:tcBorders>
              <w:top w:val="single" w:color="auto" w:sz="4" w:space="0"/>
              <w:left w:val="single" w:color="auto" w:sz="4" w:space="0"/>
              <w:bottom w:val="single" w:color="auto" w:sz="4" w:space="0"/>
              <w:right w:val="single" w:color="auto" w:sz="4" w:space="0"/>
            </w:tcBorders>
            <w:vAlign w:val="center"/>
          </w:tcPr>
          <w:p w14:paraId="37D93887">
            <w:pPr>
              <w:jc w:val="both"/>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7.数量、质量验收</w:t>
            </w:r>
          </w:p>
          <w:p w14:paraId="07E2B085">
            <w:pPr>
              <w:jc w:val="both"/>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7.1数量验收：数量以吨为计量单位（四舍五入保留两位小数），以甲方汽车衡计量结果为验收依据；质量以甲方化验结果为验收依据（按照国家标准采样、制样、化验）。乙方有权对数量及质量验收过程进行监督（仅限1人监督，监督人员安全自行负责，与甲方无关），但不得影响和干预甲方验收工作。供煤数量</w:t>
            </w:r>
            <w:r>
              <w:rPr>
                <w:rFonts w:hint="eastAsia" w:ascii="宋体" w:hAnsi="宋体" w:cs="宋体"/>
                <w:color w:val="000000" w:themeColor="text1"/>
                <w:sz w:val="18"/>
                <w:szCs w:val="18"/>
                <w:lang w:val="en-US" w:eastAsia="zh-CN"/>
                <w14:textFill>
                  <w14:solidFill>
                    <w14:schemeClr w14:val="tx1"/>
                  </w14:solidFill>
                </w14:textFill>
              </w:rPr>
              <w:t>为≥10000吨。</w:t>
            </w:r>
          </w:p>
          <w:p w14:paraId="50C46444">
            <w:pPr>
              <w:jc w:val="both"/>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7.2质量验收：产品计量方法为过衡计量，计量单位为吨为计量单位，保留两位小数。采购人对成交人所供燃煤采取车车采样，按批次（每天一个批次）进行化验，取样时按国家采制样标准执行，成交人有权监督采购人取样、制样、缩分等操作过程，并对封存样进行签字确认，若成交人不到场签字确认则视为认可采购人的取、制、分样过程，以采购人化验结果作为结算付款的依据（采购人对入厂燃煤的采制样、质量检验严格执行国家相关标准）；从入厂之日起，乙方应在交货后5个工作日内到采购人索取化验结果，若5个工作日内未取，采购人视为乙方对化验结果知晓。成交人在知晓检验结果后3天内未书面提出异议的，即视为同意采购人的检验报告，采购人不再保存和提供该批燃煤的留样；若有异议，以采购人封存样送至双方认可的化验机构鉴证、复核［鉴证、复核机构为贵州省燃煤产品质量监督检验院］进行复检，并以复检结果作为结算依据（若复检结果在国家标准允许误差范围内，则以采购人化验结果作为结算依据，若超过国家标准允许误差范围，则该化验批次煤量按贵州省燃煤产品质量监督检验院仲裁结果作为结算依据，水份指标按采购人检验结果为准，不予复检），复检及仲裁所产生的一切费用由责任方承担。</w:t>
            </w:r>
          </w:p>
          <w:p w14:paraId="2345EFA7">
            <w:pPr>
              <w:jc w:val="both"/>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7.3供应燃煤达到下列条件之一,甲方按照《贵州钟山野马寨热电有限责任公司入厂煤煤质异常及纠纷处理办法》处理：</w:t>
            </w:r>
          </w:p>
          <w:p w14:paraId="59F6CCA6">
            <w:pPr>
              <w:jc w:val="both"/>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（1）在卸车过程中，验收人员应认真观察煤质，如果出现分 层、分段、上下混装、夹心、前后装不同煤种等情况(包括下层 水分含量明显高于上层),目测热值相差500大卡的视为异常。</w:t>
            </w:r>
          </w:p>
          <w:p w14:paraId="75ACD04F">
            <w:pPr>
              <w:jc w:val="both"/>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（2）来煤中未均匀分布的石头、矸石(直径大于50mm),</w:t>
            </w:r>
          </w:p>
          <w:p w14:paraId="7F80B35C">
            <w:pPr>
              <w:jc w:val="both"/>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（3）泥团、油土、石灰石、碎石、泥土、矿粉、炉渣、石膏、油泥以 及其他杂物等。</w:t>
            </w:r>
          </w:p>
          <w:p w14:paraId="3BEDFBB5">
            <w:pPr>
              <w:jc w:val="both"/>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（4）同批次不同车辆装不同煤种(包括同批次的大、小车； 若发现小车装质量好的煤，而大车装质量差的煤),热值超过500kcal/kg 的。</w:t>
            </w:r>
          </w:p>
          <w:p w14:paraId="26037E83">
            <w:pPr>
              <w:jc w:val="both"/>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（5）来煤为无烟煤和来煤中掺配无烟煤的(以公司化验收到基挥发分Var小于1</w:t>
            </w:r>
            <w:r>
              <w:rPr>
                <w:rFonts w:hint="eastAsia" w:ascii="宋体" w:hAnsi="宋体" w:cs="宋体"/>
                <w:color w:val="000000" w:themeColor="text1"/>
                <w:sz w:val="18"/>
                <w:szCs w:val="18"/>
                <w:lang w:val="en-US" w:eastAsia="zh-CN"/>
                <w14:textFill>
                  <w14:solidFill>
                    <w14:schemeClr w14:val="tx1"/>
                  </w14:solidFill>
                </w14:textFill>
              </w:rPr>
              <w:t>0</w:t>
            </w:r>
            <w:r>
              <w:rPr>
                <w:rFonts w:hint="eastAsia" w:ascii="宋体" w:hAnsi="宋体" w:eastAsia="宋体" w:cs="宋体"/>
                <w:color w:val="000000" w:themeColor="text1"/>
                <w:sz w:val="18"/>
                <w:szCs w:val="18"/>
                <w:lang w:val="en-US" w:eastAsia="zh-CN"/>
                <w14:textFill>
                  <w14:solidFill>
                    <w14:schemeClr w14:val="tx1"/>
                  </w14:solidFill>
                </w14:textFill>
              </w:rPr>
              <w:t>.00%为基准)。</w:t>
            </w:r>
          </w:p>
          <w:p w14:paraId="40B71125">
            <w:pPr>
              <w:jc w:val="both"/>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（6）乙方入厂煤如掺配有新疆煤、无烟煤的。</w:t>
            </w:r>
          </w:p>
          <w:p w14:paraId="221E44CA">
            <w:pPr>
              <w:jc w:val="both"/>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（7）车辆过重磅后在煤场内放水的。</w:t>
            </w:r>
          </w:p>
          <w:p w14:paraId="05C477D8">
            <w:pPr>
              <w:jc w:val="both"/>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（8）其它疑似异常或特殊情况时，由燃料部、监察审计部、 供应商三方见证，达成一致意见后，认定为煤质异常。</w:t>
            </w:r>
          </w:p>
          <w:p w14:paraId="68DAD4C6">
            <w:pPr>
              <w:jc w:val="both"/>
              <w:rPr>
                <w:rFonts w:hint="default" w:ascii="宋体" w:hAnsi="宋体" w:eastAsia="宋体" w:cs="宋体"/>
                <w:color w:val="000000" w:themeColor="text1"/>
                <w:sz w:val="18"/>
                <w:szCs w:val="18"/>
                <w:lang w:val="en-US" w:eastAsia="zh-CN"/>
                <w14:textFill>
                  <w14:solidFill>
                    <w14:schemeClr w14:val="tx1"/>
                  </w14:solidFill>
                </w14:textFill>
              </w:rPr>
            </w:pPr>
          </w:p>
          <w:p w14:paraId="6AFE185F">
            <w:pPr>
              <w:jc w:val="both"/>
              <w:rPr>
                <w:rFonts w:hint="eastAsia" w:ascii="宋体" w:hAnsi="宋体" w:eastAsia="宋体" w:cs="宋体"/>
                <w:color w:val="000000" w:themeColor="text1"/>
                <w:sz w:val="18"/>
                <w:szCs w:val="18"/>
                <w:lang w:val="en-US" w:eastAsia="zh-CN"/>
                <w14:textFill>
                  <w14:solidFill>
                    <w14:schemeClr w14:val="tx1"/>
                  </w14:solidFill>
                </w14:textFill>
              </w:rPr>
            </w:pPr>
          </w:p>
        </w:tc>
      </w:tr>
    </w:tbl>
    <w:p w14:paraId="6D4A9301">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br w:type="page"/>
      </w:r>
      <w:bookmarkStart w:id="32" w:name="_GoBack"/>
      <w:bookmarkEnd w:id="32"/>
    </w:p>
    <w:tbl>
      <w:tblPr>
        <w:tblStyle w:val="35"/>
        <w:tblW w:w="98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1726"/>
        <w:gridCol w:w="7493"/>
      </w:tblGrid>
      <w:tr w14:paraId="743BA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1" w:hRule="atLeast"/>
        </w:trPr>
        <w:tc>
          <w:tcPr>
            <w:tcW w:w="655" w:type="dxa"/>
            <w:vMerge w:val="restart"/>
            <w:tcBorders>
              <w:left w:val="single" w:color="auto" w:sz="4" w:space="0"/>
              <w:right w:val="single" w:color="auto" w:sz="4" w:space="0"/>
            </w:tcBorders>
            <w:vAlign w:val="center"/>
          </w:tcPr>
          <w:p w14:paraId="3E4EA167">
            <w:pPr>
              <w:pStyle w:val="9"/>
              <w:keepNext w:val="0"/>
              <w:keepLines w:val="0"/>
              <w:pageBreakBefore w:val="0"/>
              <w:kinsoku/>
              <w:wordWrap/>
              <w:overflowPunct/>
              <w:topLinePunct w:val="0"/>
              <w:autoSpaceDE/>
              <w:autoSpaceDN/>
              <w:bidi w:val="0"/>
              <w:adjustRightInd/>
              <w:snapToGrid/>
              <w:textAlignment w:val="auto"/>
              <w:rPr>
                <w:rFonts w:hint="eastAsia"/>
                <w:lang w:val="en-US" w:eastAsia="zh-CN"/>
              </w:rPr>
            </w:pPr>
          </w:p>
        </w:tc>
        <w:tc>
          <w:tcPr>
            <w:tcW w:w="1726" w:type="dxa"/>
            <w:vMerge w:val="restart"/>
            <w:tcBorders>
              <w:left w:val="single" w:color="auto" w:sz="4" w:space="0"/>
              <w:right w:val="single" w:color="auto" w:sz="4" w:space="0"/>
            </w:tcBorders>
            <w:vAlign w:val="center"/>
          </w:tcPr>
          <w:p w14:paraId="6B89A2D7">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c>
          <w:tcPr>
            <w:tcW w:w="7493" w:type="dxa"/>
            <w:tcBorders>
              <w:top w:val="single" w:color="auto" w:sz="4" w:space="0"/>
              <w:left w:val="single" w:color="auto" w:sz="4" w:space="0"/>
              <w:bottom w:val="single" w:color="auto" w:sz="4" w:space="0"/>
              <w:right w:val="single" w:color="auto" w:sz="4" w:space="0"/>
            </w:tcBorders>
            <w:vAlign w:val="center"/>
          </w:tcPr>
          <w:p w14:paraId="36E86B91">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8.1成交人必须按要求进行均衡发运，发运过程中，除因采购人接卸和其他不可抗力原因外，</w:t>
            </w:r>
            <w:r>
              <w:rPr>
                <w:rFonts w:hint="eastAsia" w:ascii="宋体" w:hAnsi="宋体" w:cs="宋体"/>
                <w:color w:val="auto"/>
                <w:sz w:val="18"/>
                <w:szCs w:val="18"/>
                <w:lang w:val="en-US" w:eastAsia="zh-CN"/>
              </w:rPr>
              <w:t>中标</w:t>
            </w:r>
            <w:r>
              <w:rPr>
                <w:rFonts w:hint="eastAsia" w:ascii="宋体" w:hAnsi="宋体" w:eastAsia="宋体" w:cs="宋体"/>
                <w:color w:val="auto"/>
                <w:sz w:val="18"/>
                <w:szCs w:val="18"/>
                <w:lang w:val="en-US" w:eastAsia="zh-CN"/>
              </w:rPr>
              <w:t>供应商在合同期</w:t>
            </w:r>
            <w:r>
              <w:rPr>
                <w:rFonts w:hint="eastAsia" w:ascii="宋体" w:hAnsi="宋体" w:cs="宋体"/>
                <w:color w:val="auto"/>
                <w:sz w:val="18"/>
                <w:szCs w:val="18"/>
                <w:lang w:val="en-US" w:eastAsia="zh-CN"/>
              </w:rPr>
              <w:t>30个日历天</w:t>
            </w:r>
            <w:r>
              <w:rPr>
                <w:rFonts w:hint="eastAsia" w:ascii="宋体" w:hAnsi="宋体" w:eastAsia="宋体" w:cs="宋体"/>
                <w:color w:val="auto"/>
                <w:sz w:val="18"/>
                <w:szCs w:val="18"/>
                <w:lang w:val="en-US" w:eastAsia="zh-CN"/>
              </w:rPr>
              <w:t>内供应燃煤</w:t>
            </w:r>
            <w:r>
              <w:rPr>
                <w:rFonts w:hint="eastAsia" w:ascii="宋体" w:hAnsi="宋体" w:cs="宋体"/>
                <w:color w:val="auto"/>
                <w:sz w:val="18"/>
                <w:szCs w:val="18"/>
                <w:lang w:val="en-US" w:eastAsia="zh-CN"/>
              </w:rPr>
              <w:t>为</w:t>
            </w:r>
            <w:r>
              <w:rPr>
                <w:rFonts w:hint="eastAsia" w:ascii="宋体" w:hAnsi="宋体" w:cs="宋体"/>
                <w:color w:val="000000" w:themeColor="text1"/>
                <w:sz w:val="18"/>
                <w:szCs w:val="18"/>
                <w:lang w:val="en-US" w:eastAsia="zh-CN"/>
                <w14:textFill>
                  <w14:solidFill>
                    <w14:schemeClr w14:val="tx1"/>
                  </w14:solidFill>
                </w14:textFill>
              </w:rPr>
              <w:t>≥10000</w:t>
            </w:r>
            <w:r>
              <w:rPr>
                <w:rFonts w:hint="eastAsia" w:ascii="宋体" w:hAnsi="宋体" w:eastAsia="宋体" w:cs="宋体"/>
                <w:color w:val="auto"/>
                <w:sz w:val="18"/>
                <w:szCs w:val="18"/>
                <w:lang w:val="en-US" w:eastAsia="zh-CN"/>
              </w:rPr>
              <w:t>吨。供应商在收到采购人发出的《中标通知书》7个工作日内在采购人指定地点签订合同。</w:t>
            </w:r>
          </w:p>
          <w:p w14:paraId="2700E823">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8.2成交人来煤为本地煤。若发现成交人窜矿拉煤、以近充远、途中换煤、掺杂使假、掺配新疆煤、无烟煤，采购人书面通知后终止合同。合同期结束时，若未供应完燃煤</w:t>
            </w:r>
            <w:r>
              <w:rPr>
                <w:rFonts w:hint="eastAsia" w:ascii="宋体" w:hAnsi="宋体" w:cs="宋体"/>
                <w:color w:val="000000" w:themeColor="text1"/>
                <w:sz w:val="18"/>
                <w:szCs w:val="18"/>
                <w:lang w:val="en-US" w:eastAsia="zh-CN"/>
                <w14:textFill>
                  <w14:solidFill>
                    <w14:schemeClr w14:val="tx1"/>
                  </w14:solidFill>
                </w14:textFill>
              </w:rPr>
              <w:t>≥10000</w:t>
            </w:r>
            <w:r>
              <w:rPr>
                <w:rFonts w:hint="eastAsia" w:ascii="宋体" w:hAnsi="宋体" w:cs="宋体"/>
                <w:color w:val="auto"/>
                <w:sz w:val="18"/>
                <w:szCs w:val="18"/>
                <w:lang w:val="en-US" w:eastAsia="zh-CN"/>
              </w:rPr>
              <w:t>吨，即实际到厂煤量小于10000吨时，则基准单价降低0.01元/[(kcal/kg)×吨]同时不予退还合同履约保证金；</w:t>
            </w:r>
            <w:r>
              <w:rPr>
                <w:rFonts w:hint="eastAsia" w:ascii="宋体" w:hAnsi="宋体" w:eastAsia="宋体" w:cs="宋体"/>
                <w:color w:val="auto"/>
                <w:kern w:val="2"/>
                <w:sz w:val="18"/>
                <w:szCs w:val="18"/>
                <w:lang w:val="en-US" w:eastAsia="zh-CN"/>
              </w:rPr>
              <w:t>供应上限由采购人根据实际情况决定</w:t>
            </w:r>
            <w:r>
              <w:rPr>
                <w:rFonts w:hint="eastAsia" w:ascii="宋体" w:hAnsi="宋体" w:cs="宋体"/>
                <w:color w:val="auto"/>
                <w:sz w:val="18"/>
                <w:szCs w:val="18"/>
                <w:lang w:val="en-US" w:eastAsia="zh-CN"/>
              </w:rPr>
              <w:t>。未在规定的时间节点完成发运量，甲方有权终止该乙方的发运。</w:t>
            </w:r>
          </w:p>
          <w:p w14:paraId="4E9A43AA">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auto"/>
                <w:sz w:val="18"/>
                <w:szCs w:val="18"/>
                <w:lang w:val="en-US" w:eastAsia="zh-CN"/>
              </w:rPr>
              <w:t>8.3 因成交人提供的燃煤不符合合同质量要求导致采购缺煤停机或造成设备异常损坏的，成交人应采取更换、补发符合合同约定的燃煤，并承担由此产生的费用，给采购人造成的经济损失应予以全额赔偿，采购人有权解除合同。</w:t>
            </w:r>
          </w:p>
          <w:p w14:paraId="21440A90">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r>
      <w:tr w14:paraId="1B186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55" w:type="dxa"/>
            <w:vMerge w:val="continue"/>
            <w:tcBorders>
              <w:left w:val="single" w:color="auto" w:sz="4" w:space="0"/>
              <w:right w:val="single" w:color="auto" w:sz="4" w:space="0"/>
            </w:tcBorders>
            <w:vAlign w:val="center"/>
          </w:tcPr>
          <w:p w14:paraId="2478A772">
            <w:pPr>
              <w:keepNext w:val="0"/>
              <w:keepLines w:val="0"/>
              <w:pageBreakBefore w:val="0"/>
              <w:kinsoku/>
              <w:wordWrap/>
              <w:overflowPunct/>
              <w:topLinePunct w:val="0"/>
              <w:autoSpaceDE/>
              <w:autoSpaceDN/>
              <w:bidi w:val="0"/>
              <w:adjustRightInd/>
              <w:snapToGrid/>
              <w:textAlignment w:val="auto"/>
            </w:pPr>
          </w:p>
        </w:tc>
        <w:tc>
          <w:tcPr>
            <w:tcW w:w="1726" w:type="dxa"/>
            <w:vMerge w:val="continue"/>
            <w:tcBorders>
              <w:left w:val="single" w:color="auto" w:sz="4" w:space="0"/>
              <w:right w:val="single" w:color="auto" w:sz="4" w:space="0"/>
            </w:tcBorders>
            <w:vAlign w:val="center"/>
          </w:tcPr>
          <w:p w14:paraId="0CD13758">
            <w:pPr>
              <w:keepNext w:val="0"/>
              <w:keepLines w:val="0"/>
              <w:pageBreakBefore w:val="0"/>
              <w:kinsoku/>
              <w:wordWrap/>
              <w:overflowPunct/>
              <w:topLinePunct w:val="0"/>
              <w:autoSpaceDE/>
              <w:autoSpaceDN/>
              <w:bidi w:val="0"/>
              <w:adjustRightInd/>
              <w:snapToGrid/>
              <w:textAlignment w:val="auto"/>
            </w:pPr>
          </w:p>
        </w:tc>
        <w:tc>
          <w:tcPr>
            <w:tcW w:w="7493" w:type="dxa"/>
            <w:tcBorders>
              <w:top w:val="single" w:color="auto" w:sz="4" w:space="0"/>
              <w:left w:val="single" w:color="auto" w:sz="4" w:space="0"/>
              <w:bottom w:val="single" w:color="auto" w:sz="4" w:space="0"/>
              <w:right w:val="single" w:color="auto" w:sz="4" w:space="0"/>
            </w:tcBorders>
            <w:vAlign w:val="center"/>
          </w:tcPr>
          <w:p w14:paraId="5AF263B0">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9.其他</w:t>
            </w:r>
          </w:p>
          <w:p w14:paraId="0961B598">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9.1采购人和成交人双方在燃煤供应全过程中，均不得有行贿受贿或有意刁难对方的行为，违者按有关法律、法规及制度严惩；</w:t>
            </w:r>
          </w:p>
          <w:p w14:paraId="0F9FB798">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9.2成交人车辆及司机进入采购人厂区后，应服从管理，听从指挥，一车一人，限速行驶（5km/h）,严禁超速；</w:t>
            </w:r>
          </w:p>
          <w:p w14:paraId="6216A53D">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9.3禁止成交人司机及其他人员在公司物料卸货区域及其它地方随意逗留、穿行，由此发的安全风险及责任由成交人自行承担；</w:t>
            </w:r>
          </w:p>
          <w:p w14:paraId="35C62E2E">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9.4成交人车辆及司机证照齐全有效，严格遵守道路交通法规和野马寨电厂相关管理规章制度。严禁违章作业；</w:t>
            </w:r>
          </w:p>
          <w:p w14:paraId="47E63C25">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9.5成交人车辆外观整洁，车况完好，不得带病行驶，运输燃煤必须加盖篷布，防止道路遗洒和扬尘。不得采用前后轮距超过11.8米的拖挂车进行运输，不得采用平板车进行运输、不得组织民工进行卸煤。成交人车辆如在野马寨电厂厂区内发生事故需要维修时，修理产生的废弃物不得随意乱扔、焚烧，泄露的各类油品必须用容器盛装，严禁随意排放、倾倒，必须按野马寨电厂规定处理，由此引发的纠纷和责任由成交人承担；</w:t>
            </w:r>
          </w:p>
          <w:p w14:paraId="374CF5D4">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9.6成交人运输煤的车辆必须确保在每天8：30时至18：30时范围内到厂，其他时间内到厂的车辆须等到次日上班后才能过磅（特殊情况除外）；</w:t>
            </w:r>
          </w:p>
          <w:p w14:paraId="57DCDD1F">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9.7如采购人因生产、产品市场、政策性规定、行政指令等原因需要在短时间内增加或减少煤的供应数量，成交人必须全力保证满足采购人的数量供应要求及调度指令的执行，不能以任何理由提出调整合同价格或给予补助的任何损失弥补要求；</w:t>
            </w:r>
          </w:p>
          <w:p w14:paraId="0FF5827C">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9.8为确保发票传递安全，成交人应采取专人送达发票的方式，交采购人指定的经办人当场查验签收，如指定的经办人员不在，必须交采购部门负责人当场查验签收，若未按上述要求送达与签收，发票遗失所造成的税损由成交人全额承担。成交人如采取邮寄方式传递发票，需采用中国邮政EMS特快专递邮寄方式，采取其他邮寄方式造成发票污损或遗失的，由此造成的税损由成交人全额承担；</w:t>
            </w:r>
          </w:p>
          <w:p w14:paraId="1CC450CE">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9.9成交人承诺在出票日30天内，送达或采用EMS特快专递邮寄方式寄达采购人，若超过30天，采购人将拒绝，由成交人负责重新开票。若成交人不能重新开票，导致发票无法正常抵扣的，由此造成的税损由成交人全额承担。成交人同意若造成税损由采购人在应付成交人的货款中扣除。</w:t>
            </w:r>
          </w:p>
          <w:p w14:paraId="6135F6BF">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9.10若需采用银行承兑汇票支付货款，原则上由成交人携带委托书、介绍信、身份证复印件等办理签收手续。若通过邮寄方式成交人需出具书面承诺，因邮寄产生的任何经济损失与采购人无关，同时，做好收妥确认手续。</w:t>
            </w:r>
          </w:p>
          <w:p w14:paraId="41138C8B">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9.11成交人与采购人的业务涉及税务调查，成交人必须履行通知义务；采购人与成交人的业务涉及税务调查，成交人有义务配合。</w:t>
            </w:r>
          </w:p>
        </w:tc>
      </w:tr>
      <w:tr w14:paraId="6A4DC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exact"/>
        </w:trPr>
        <w:tc>
          <w:tcPr>
            <w:tcW w:w="655" w:type="dxa"/>
            <w:vMerge w:val="continue"/>
            <w:tcBorders>
              <w:left w:val="single" w:color="auto" w:sz="4" w:space="0"/>
              <w:right w:val="single" w:color="auto" w:sz="4" w:space="0"/>
            </w:tcBorders>
            <w:vAlign w:val="center"/>
          </w:tcPr>
          <w:p w14:paraId="2DF2D84C">
            <w:pPr>
              <w:rPr>
                <w:rFonts w:hint="eastAsia" w:ascii="宋体" w:hAnsi="宋体" w:eastAsia="宋体" w:cs="宋体"/>
                <w:color w:val="000000" w:themeColor="text1"/>
                <w:sz w:val="18"/>
                <w:szCs w:val="18"/>
                <w:lang w:val="en-US" w:eastAsia="zh-CN"/>
                <w14:textFill>
                  <w14:solidFill>
                    <w14:schemeClr w14:val="tx1"/>
                  </w14:solidFill>
                </w14:textFill>
              </w:rPr>
            </w:pPr>
          </w:p>
        </w:tc>
        <w:tc>
          <w:tcPr>
            <w:tcW w:w="1726" w:type="dxa"/>
            <w:vMerge w:val="continue"/>
            <w:tcBorders>
              <w:left w:val="single" w:color="auto" w:sz="4" w:space="0"/>
              <w:right w:val="single" w:color="auto" w:sz="4" w:space="0"/>
            </w:tcBorders>
            <w:vAlign w:val="center"/>
          </w:tcPr>
          <w:p w14:paraId="0BB53F64">
            <w:pPr>
              <w:rPr>
                <w:rFonts w:hint="eastAsia" w:ascii="宋体" w:hAnsi="宋体" w:eastAsia="宋体" w:cs="宋体"/>
                <w:color w:val="000000" w:themeColor="text1"/>
                <w:sz w:val="18"/>
                <w:szCs w:val="18"/>
                <w:lang w:val="en-US" w:eastAsia="zh-CN"/>
                <w14:textFill>
                  <w14:solidFill>
                    <w14:schemeClr w14:val="tx1"/>
                  </w14:solidFill>
                </w14:textFill>
              </w:rPr>
            </w:pPr>
          </w:p>
        </w:tc>
        <w:tc>
          <w:tcPr>
            <w:tcW w:w="7493" w:type="dxa"/>
            <w:tcBorders>
              <w:top w:val="single" w:color="auto" w:sz="4" w:space="0"/>
              <w:left w:val="single" w:color="auto" w:sz="4" w:space="0"/>
              <w:bottom w:val="single" w:color="auto" w:sz="4" w:space="0"/>
              <w:right w:val="single" w:color="auto" w:sz="4" w:space="0"/>
            </w:tcBorders>
            <w:vAlign w:val="center"/>
          </w:tcPr>
          <w:p w14:paraId="1D3ED9A0">
            <w:pPr>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10.</w:t>
            </w:r>
            <w:r>
              <w:rPr>
                <w:rFonts w:hint="eastAsia" w:ascii="宋体" w:hAnsi="宋体" w:cs="宋体"/>
                <w:color w:val="000000" w:themeColor="text1"/>
                <w:sz w:val="18"/>
                <w:szCs w:val="18"/>
                <w:lang w:val="en-US" w:eastAsia="zh-CN"/>
                <w14:textFill>
                  <w14:solidFill>
                    <w14:schemeClr w14:val="tx1"/>
                  </w14:solidFill>
                </w14:textFill>
              </w:rPr>
              <w:t>供应商</w:t>
            </w:r>
            <w:r>
              <w:rPr>
                <w:rFonts w:hint="eastAsia" w:ascii="宋体" w:hAnsi="宋体" w:eastAsia="宋体" w:cs="宋体"/>
                <w:color w:val="000000" w:themeColor="text1"/>
                <w:sz w:val="18"/>
                <w:szCs w:val="18"/>
                <w:lang w:val="en-US" w:eastAsia="zh-CN"/>
                <w14:textFill>
                  <w14:solidFill>
                    <w14:schemeClr w14:val="tx1"/>
                  </w14:solidFill>
                </w14:textFill>
              </w:rPr>
              <w:t>应完全响应或优于采购文件商务条款，否则响应文件无效。</w:t>
            </w:r>
          </w:p>
        </w:tc>
      </w:tr>
    </w:tbl>
    <w:p w14:paraId="3954EF1E">
      <w:pPr>
        <w:rPr>
          <w:rFonts w:hint="eastAsia" w:ascii="宋体" w:hAnsi="宋体" w:eastAsia="宋体" w:cs="宋体"/>
          <w:color w:val="000000" w:themeColor="text1"/>
          <w:sz w:val="18"/>
          <w:szCs w:val="18"/>
          <w:lang w:val="en-US" w:eastAsia="zh-CN"/>
          <w14:textFill>
            <w14:solidFill>
              <w14:schemeClr w14:val="tx1"/>
            </w14:solidFill>
          </w14:textFill>
        </w:rPr>
      </w:pPr>
    </w:p>
    <w:p w14:paraId="5CC2CC68">
      <w:pPr>
        <w:keepNext w:val="0"/>
        <w:keepLines w:val="0"/>
        <w:pageBreakBefore w:val="0"/>
        <w:widowControl w:val="0"/>
        <w:kinsoku/>
        <w:wordWrap/>
        <w:overflowPunct/>
        <w:topLinePunct w:val="0"/>
        <w:autoSpaceDE/>
        <w:autoSpaceDN/>
        <w:bidi w:val="0"/>
        <w:adjustRightInd/>
        <w:snapToGrid/>
        <w:spacing w:line="408" w:lineRule="auto"/>
        <w:textAlignment w:val="auto"/>
        <w:rPr>
          <w:rFonts w:hint="eastAsia" w:ascii="宋体" w:hAnsi="宋体" w:eastAsia="宋体" w:cs="宋体"/>
          <w:color w:val="auto"/>
          <w:szCs w:val="21"/>
        </w:rPr>
      </w:pPr>
      <w:r>
        <w:rPr>
          <w:rFonts w:hint="eastAsia" w:ascii="宋体" w:hAnsi="宋体" w:eastAsia="宋体" w:cs="宋体"/>
          <w:color w:val="auto"/>
          <w:szCs w:val="21"/>
        </w:rPr>
        <w:t>8</w:t>
      </w:r>
      <w:r>
        <w:rPr>
          <w:rFonts w:hint="eastAsia" w:ascii="宋体" w:hAnsi="宋体" w:cs="宋体"/>
          <w:color w:val="auto"/>
          <w:szCs w:val="21"/>
          <w:lang w:eastAsia="zh-CN"/>
        </w:rPr>
        <w:t>.</w:t>
      </w:r>
      <w:r>
        <w:rPr>
          <w:rFonts w:hint="eastAsia" w:ascii="宋体" w:hAnsi="宋体" w:eastAsia="宋体" w:cs="宋体"/>
          <w:color w:val="auto"/>
          <w:szCs w:val="21"/>
        </w:rPr>
        <w:t>响应文件的澄清、说明或者更正：</w:t>
      </w:r>
      <w:r>
        <w:rPr>
          <w:rFonts w:hint="eastAsia" w:ascii="宋体" w:hAnsi="宋体" w:cs="宋体"/>
          <w:color w:val="auto"/>
          <w:szCs w:val="21"/>
          <w:lang w:eastAsia="zh-CN"/>
        </w:rPr>
        <w:t>竞争性谈判</w:t>
      </w:r>
      <w:r>
        <w:rPr>
          <w:rFonts w:hint="eastAsia" w:ascii="宋体" w:hAnsi="宋体" w:eastAsia="宋体" w:cs="宋体"/>
          <w:color w:val="auto"/>
          <w:szCs w:val="21"/>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响应文件的实质性内容。供应商的澄清、说明或者更正内容作为响应文件的一部分。</w:t>
      </w:r>
      <w:r>
        <w:rPr>
          <w:rFonts w:hint="eastAsia" w:ascii="宋体" w:hAnsi="宋体" w:cs="宋体"/>
          <w:color w:val="auto"/>
          <w:szCs w:val="21"/>
          <w:lang w:eastAsia="zh-CN"/>
        </w:rPr>
        <w:t>竞争性谈判</w:t>
      </w:r>
      <w:r>
        <w:rPr>
          <w:rFonts w:hint="eastAsia" w:ascii="宋体" w:hAnsi="宋体" w:eastAsia="宋体" w:cs="宋体"/>
          <w:color w:val="auto"/>
          <w:szCs w:val="21"/>
        </w:rPr>
        <w:t>小组要求供应商澄清、说明或者更正响应文件以书面形式作出。供应商的澄清、说明或者更正采用书面形式，由其法定代表人或其授权代表签字或者加盖供应商单位公章。</w:t>
      </w:r>
    </w:p>
    <w:p w14:paraId="3A6011D3">
      <w:pPr>
        <w:keepNext w:val="0"/>
        <w:keepLines w:val="0"/>
        <w:pageBreakBefore w:val="0"/>
        <w:widowControl w:val="0"/>
        <w:kinsoku/>
        <w:wordWrap/>
        <w:overflowPunct/>
        <w:topLinePunct w:val="0"/>
        <w:autoSpaceDE/>
        <w:autoSpaceDN/>
        <w:bidi w:val="0"/>
        <w:adjustRightInd/>
        <w:snapToGrid/>
        <w:spacing w:line="408" w:lineRule="auto"/>
        <w:textAlignment w:val="auto"/>
        <w:rPr>
          <w:rFonts w:hint="eastAsia" w:ascii="宋体" w:hAnsi="宋体" w:eastAsia="宋体" w:cs="宋体"/>
          <w:color w:val="auto"/>
          <w:spacing w:val="-6"/>
          <w:szCs w:val="21"/>
        </w:rPr>
      </w:pPr>
      <w:r>
        <w:rPr>
          <w:rFonts w:hint="eastAsia" w:ascii="宋体" w:hAnsi="宋体" w:eastAsia="宋体" w:cs="宋体"/>
          <w:color w:val="auto"/>
          <w:szCs w:val="21"/>
        </w:rPr>
        <w:t>9</w:t>
      </w:r>
      <w:r>
        <w:rPr>
          <w:rFonts w:hint="eastAsia" w:ascii="宋体" w:hAnsi="宋体" w:cs="宋体"/>
          <w:color w:val="auto"/>
          <w:szCs w:val="21"/>
          <w:lang w:eastAsia="zh-CN"/>
        </w:rPr>
        <w:t>.</w:t>
      </w:r>
      <w:r>
        <w:rPr>
          <w:rFonts w:hint="eastAsia" w:ascii="宋体" w:hAnsi="宋体" w:eastAsia="宋体" w:cs="宋体"/>
          <w:color w:val="auto"/>
          <w:spacing w:val="-6"/>
          <w:szCs w:val="21"/>
        </w:rPr>
        <w:t>进入技术和商务</w:t>
      </w:r>
      <w:r>
        <w:rPr>
          <w:rFonts w:hint="eastAsia" w:ascii="宋体" w:hAnsi="宋体" w:cs="宋体"/>
          <w:color w:val="auto"/>
          <w:spacing w:val="-6"/>
          <w:szCs w:val="21"/>
          <w:lang w:eastAsia="zh-CN"/>
        </w:rPr>
        <w:t>谈判</w:t>
      </w:r>
      <w:r>
        <w:rPr>
          <w:rFonts w:hint="eastAsia" w:ascii="宋体" w:hAnsi="宋体" w:eastAsia="宋体" w:cs="宋体"/>
          <w:color w:val="auto"/>
          <w:spacing w:val="-6"/>
          <w:szCs w:val="21"/>
        </w:rPr>
        <w:t>程序的供应商，采用抽签的方式确定供应商顺序，</w:t>
      </w:r>
      <w:r>
        <w:rPr>
          <w:rFonts w:hint="eastAsia" w:ascii="宋体" w:hAnsi="宋体" w:cs="宋体"/>
          <w:color w:val="auto"/>
          <w:spacing w:val="-6"/>
          <w:szCs w:val="21"/>
          <w:lang w:eastAsia="zh-CN"/>
        </w:rPr>
        <w:t>谈判</w:t>
      </w:r>
      <w:r>
        <w:rPr>
          <w:rFonts w:hint="eastAsia" w:ascii="宋体" w:hAnsi="宋体" w:eastAsia="宋体" w:cs="宋体"/>
          <w:color w:val="auto"/>
          <w:spacing w:val="-6"/>
          <w:szCs w:val="21"/>
        </w:rPr>
        <w:t>小组根据</w:t>
      </w:r>
      <w:r>
        <w:rPr>
          <w:rFonts w:hint="eastAsia" w:ascii="宋体" w:hAnsi="宋体" w:cs="宋体"/>
          <w:color w:val="auto"/>
          <w:spacing w:val="-6"/>
          <w:szCs w:val="21"/>
          <w:lang w:eastAsia="zh-CN"/>
        </w:rPr>
        <w:t>竞争性谈判</w:t>
      </w:r>
      <w:r>
        <w:rPr>
          <w:rFonts w:hint="eastAsia" w:ascii="宋体" w:hAnsi="宋体" w:eastAsia="宋体" w:cs="宋体"/>
          <w:color w:val="auto"/>
          <w:spacing w:val="-6"/>
          <w:szCs w:val="21"/>
        </w:rPr>
        <w:t>文件要求及供应商提供的有关说明，分别与进入</w:t>
      </w:r>
      <w:r>
        <w:rPr>
          <w:rFonts w:hint="eastAsia" w:ascii="宋体" w:hAnsi="宋体" w:cs="宋体"/>
          <w:color w:val="auto"/>
          <w:spacing w:val="-6"/>
          <w:szCs w:val="21"/>
          <w:lang w:eastAsia="zh-CN"/>
        </w:rPr>
        <w:t>谈判</w:t>
      </w:r>
      <w:r>
        <w:rPr>
          <w:rFonts w:hint="eastAsia" w:ascii="宋体" w:hAnsi="宋体" w:eastAsia="宋体" w:cs="宋体"/>
          <w:color w:val="auto"/>
          <w:spacing w:val="-6"/>
          <w:szCs w:val="21"/>
        </w:rPr>
        <w:t>的供应商就服务人员配备、售后服务、应急预案等进行</w:t>
      </w:r>
      <w:r>
        <w:rPr>
          <w:rFonts w:hint="eastAsia" w:ascii="宋体" w:hAnsi="宋体" w:cs="宋体"/>
          <w:color w:val="auto"/>
          <w:spacing w:val="-6"/>
          <w:szCs w:val="21"/>
          <w:lang w:eastAsia="zh-CN"/>
        </w:rPr>
        <w:t>谈判</w:t>
      </w:r>
      <w:r>
        <w:rPr>
          <w:rFonts w:hint="eastAsia" w:ascii="宋体" w:hAnsi="宋体" w:eastAsia="宋体" w:cs="宋体"/>
          <w:color w:val="auto"/>
          <w:spacing w:val="-6"/>
          <w:szCs w:val="21"/>
        </w:rPr>
        <w:t>。</w:t>
      </w:r>
      <w:r>
        <w:rPr>
          <w:rFonts w:hint="eastAsia" w:ascii="宋体" w:hAnsi="宋体" w:eastAsia="宋体" w:cs="宋体"/>
          <w:color w:val="auto"/>
          <w:spacing w:val="-6"/>
          <w:szCs w:val="21"/>
          <w:lang w:val="en-US" w:eastAsia="zh-CN"/>
        </w:rPr>
        <w:t>供应商</w:t>
      </w:r>
      <w:r>
        <w:rPr>
          <w:rFonts w:hint="eastAsia" w:ascii="宋体" w:hAnsi="宋体" w:eastAsia="宋体" w:cs="宋体"/>
          <w:color w:val="auto"/>
          <w:spacing w:val="-6"/>
          <w:szCs w:val="21"/>
        </w:rPr>
        <w:t>对技术和商务条件与</w:t>
      </w:r>
      <w:r>
        <w:rPr>
          <w:rFonts w:hint="eastAsia" w:ascii="宋体" w:hAnsi="宋体" w:cs="宋体"/>
          <w:color w:val="auto"/>
          <w:spacing w:val="-6"/>
          <w:szCs w:val="21"/>
          <w:lang w:eastAsia="zh-CN"/>
        </w:rPr>
        <w:t>竞争性谈判</w:t>
      </w:r>
      <w:r>
        <w:rPr>
          <w:rFonts w:hint="eastAsia" w:ascii="宋体" w:hAnsi="宋体" w:eastAsia="宋体" w:cs="宋体"/>
          <w:color w:val="auto"/>
          <w:spacing w:val="-6"/>
          <w:szCs w:val="21"/>
        </w:rPr>
        <w:t>文件要求有重大差异、无资格进入最后报价的供应商出具书面无效原因说明；</w:t>
      </w:r>
    </w:p>
    <w:p w14:paraId="10F5622C">
      <w:pPr>
        <w:keepNext w:val="0"/>
        <w:keepLines w:val="0"/>
        <w:pageBreakBefore w:val="0"/>
        <w:widowControl w:val="0"/>
        <w:kinsoku/>
        <w:wordWrap/>
        <w:overflowPunct/>
        <w:topLinePunct w:val="0"/>
        <w:autoSpaceDE/>
        <w:autoSpaceDN/>
        <w:bidi w:val="0"/>
        <w:adjustRightInd/>
        <w:snapToGrid/>
        <w:spacing w:line="408" w:lineRule="auto"/>
        <w:textAlignment w:val="auto"/>
        <w:rPr>
          <w:rFonts w:hint="eastAsia" w:ascii="宋体" w:hAnsi="宋体" w:eastAsia="宋体" w:cs="宋体"/>
          <w:color w:val="auto"/>
          <w:szCs w:val="21"/>
        </w:rPr>
      </w:pPr>
      <w:r>
        <w:rPr>
          <w:rFonts w:hint="eastAsia" w:ascii="宋体" w:hAnsi="宋体" w:eastAsia="宋体" w:cs="宋体"/>
          <w:color w:val="auto"/>
          <w:szCs w:val="21"/>
        </w:rPr>
        <w:t>10</w:t>
      </w:r>
      <w:r>
        <w:rPr>
          <w:rFonts w:hint="eastAsia" w:ascii="宋体" w:hAnsi="宋体" w:cs="宋体"/>
          <w:color w:val="auto"/>
          <w:szCs w:val="21"/>
          <w:lang w:eastAsia="zh-CN"/>
        </w:rPr>
        <w:t>.谈判</w:t>
      </w:r>
      <w:r>
        <w:rPr>
          <w:rFonts w:hint="eastAsia" w:ascii="宋体" w:hAnsi="宋体" w:eastAsia="宋体" w:cs="宋体"/>
          <w:color w:val="auto"/>
          <w:szCs w:val="21"/>
        </w:rPr>
        <w:t>小组要求所有实质性响应的供应商在规定时间内（10分钟）提交</w:t>
      </w:r>
      <w:r>
        <w:rPr>
          <w:rFonts w:hint="eastAsia" w:ascii="宋体" w:hAnsi="宋体" w:eastAsia="宋体" w:cs="宋体"/>
          <w:color w:val="auto"/>
          <w:szCs w:val="21"/>
          <w:lang w:val="en-US" w:eastAsia="zh-CN"/>
        </w:rPr>
        <w:t>书面</w:t>
      </w:r>
      <w:r>
        <w:rPr>
          <w:rFonts w:hint="eastAsia" w:ascii="宋体" w:hAnsi="宋体" w:eastAsia="宋体" w:cs="宋体"/>
          <w:color w:val="auto"/>
          <w:szCs w:val="21"/>
        </w:rPr>
        <w:t>最后报价（第</w:t>
      </w:r>
      <w:r>
        <w:rPr>
          <w:rFonts w:hint="eastAsia" w:ascii="宋体" w:hAnsi="宋体" w:cs="宋体"/>
          <w:color w:val="auto"/>
          <w:szCs w:val="21"/>
          <w:lang w:val="en-US" w:eastAsia="zh-CN"/>
        </w:rPr>
        <w:t>二</w:t>
      </w:r>
      <w:r>
        <w:rPr>
          <w:rFonts w:hint="eastAsia" w:ascii="宋体" w:hAnsi="宋体" w:eastAsia="宋体" w:cs="宋体"/>
          <w:color w:val="auto"/>
          <w:szCs w:val="21"/>
        </w:rPr>
        <w:t>次报价）。最后报价是供应商响应文件的有效组成部分。</w:t>
      </w:r>
    </w:p>
    <w:p w14:paraId="17EBBD0E">
      <w:pPr>
        <w:keepNext w:val="0"/>
        <w:keepLines w:val="0"/>
        <w:pageBreakBefore w:val="0"/>
        <w:widowControl w:val="0"/>
        <w:kinsoku/>
        <w:wordWrap/>
        <w:overflowPunct/>
        <w:topLinePunct w:val="0"/>
        <w:autoSpaceDE/>
        <w:autoSpaceDN/>
        <w:bidi w:val="0"/>
        <w:adjustRightInd/>
        <w:snapToGrid/>
        <w:spacing w:line="408" w:lineRule="auto"/>
        <w:textAlignment w:val="auto"/>
        <w:rPr>
          <w:rFonts w:hint="eastAsia" w:ascii="宋体" w:hAnsi="宋体" w:eastAsia="宋体" w:cs="宋体"/>
          <w:color w:val="auto"/>
          <w:szCs w:val="21"/>
        </w:rPr>
      </w:pPr>
      <w:r>
        <w:rPr>
          <w:rFonts w:hint="eastAsia" w:ascii="宋体" w:hAnsi="宋体" w:eastAsia="宋体" w:cs="宋体"/>
          <w:color w:val="auto"/>
          <w:szCs w:val="21"/>
        </w:rPr>
        <w:t>11</w:t>
      </w:r>
      <w:r>
        <w:rPr>
          <w:rFonts w:hint="eastAsia" w:ascii="宋体" w:hAnsi="宋体" w:cs="宋体"/>
          <w:color w:val="auto"/>
          <w:szCs w:val="21"/>
          <w:lang w:eastAsia="zh-CN"/>
        </w:rPr>
        <w:t>.</w:t>
      </w:r>
      <w:r>
        <w:rPr>
          <w:rFonts w:hint="eastAsia" w:ascii="宋体" w:hAnsi="宋体" w:eastAsia="宋体" w:cs="宋体"/>
          <w:color w:val="auto"/>
          <w:szCs w:val="21"/>
        </w:rPr>
        <w:t>已提交响应文件的供应商，在提交最后报价之前，可以根据</w:t>
      </w:r>
      <w:r>
        <w:rPr>
          <w:rFonts w:hint="eastAsia" w:ascii="宋体" w:hAnsi="宋体" w:cs="宋体"/>
          <w:color w:val="auto"/>
          <w:szCs w:val="21"/>
          <w:lang w:eastAsia="zh-CN"/>
        </w:rPr>
        <w:t>谈判</w:t>
      </w:r>
      <w:r>
        <w:rPr>
          <w:rFonts w:hint="eastAsia" w:ascii="宋体" w:hAnsi="宋体" w:eastAsia="宋体" w:cs="宋体"/>
          <w:color w:val="auto"/>
          <w:szCs w:val="21"/>
        </w:rPr>
        <w:t>情况退出</w:t>
      </w:r>
      <w:r>
        <w:rPr>
          <w:rFonts w:hint="eastAsia" w:ascii="宋体" w:hAnsi="宋体" w:cs="宋体"/>
          <w:color w:val="auto"/>
          <w:szCs w:val="21"/>
          <w:lang w:eastAsia="zh-CN"/>
        </w:rPr>
        <w:t>谈判</w:t>
      </w:r>
      <w:r>
        <w:rPr>
          <w:rFonts w:hint="eastAsia" w:ascii="宋体" w:hAnsi="宋体" w:eastAsia="宋体" w:cs="宋体"/>
          <w:color w:val="auto"/>
          <w:szCs w:val="21"/>
        </w:rPr>
        <w:t>。采购方应当退还退出</w:t>
      </w:r>
      <w:r>
        <w:rPr>
          <w:rFonts w:hint="eastAsia" w:ascii="宋体" w:hAnsi="宋体" w:cs="宋体"/>
          <w:color w:val="auto"/>
          <w:szCs w:val="21"/>
          <w:lang w:eastAsia="zh-CN"/>
        </w:rPr>
        <w:t>谈判</w:t>
      </w:r>
      <w:r>
        <w:rPr>
          <w:rFonts w:hint="eastAsia" w:ascii="宋体" w:hAnsi="宋体" w:eastAsia="宋体" w:cs="宋体"/>
          <w:color w:val="auto"/>
          <w:szCs w:val="21"/>
        </w:rPr>
        <w:t>的供应商的</w:t>
      </w:r>
      <w:r>
        <w:rPr>
          <w:rFonts w:hint="eastAsia" w:ascii="宋体" w:hAnsi="宋体" w:cs="宋体"/>
          <w:color w:val="auto"/>
          <w:szCs w:val="21"/>
          <w:lang w:eastAsia="zh-CN"/>
        </w:rPr>
        <w:t>谈判</w:t>
      </w:r>
      <w:r>
        <w:rPr>
          <w:rFonts w:hint="eastAsia" w:ascii="宋体" w:hAnsi="宋体" w:eastAsia="宋体" w:cs="宋体"/>
          <w:color w:val="auto"/>
          <w:szCs w:val="21"/>
        </w:rPr>
        <w:t>保证金</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如有</w:t>
      </w:r>
      <w:r>
        <w:rPr>
          <w:rFonts w:hint="eastAsia" w:ascii="宋体" w:hAnsi="宋体" w:eastAsia="宋体" w:cs="宋体"/>
          <w:color w:val="auto"/>
          <w:szCs w:val="21"/>
          <w:lang w:eastAsia="zh-CN"/>
        </w:rPr>
        <w:t>）</w:t>
      </w:r>
      <w:r>
        <w:rPr>
          <w:rFonts w:hint="eastAsia" w:ascii="宋体" w:hAnsi="宋体" w:eastAsia="宋体" w:cs="宋体"/>
          <w:color w:val="auto"/>
          <w:szCs w:val="21"/>
        </w:rPr>
        <w:t>。</w:t>
      </w:r>
    </w:p>
    <w:p w14:paraId="259CC0DD">
      <w:pPr>
        <w:keepNext w:val="0"/>
        <w:keepLines w:val="0"/>
        <w:pageBreakBefore w:val="0"/>
        <w:widowControl w:val="0"/>
        <w:kinsoku/>
        <w:wordWrap/>
        <w:overflowPunct/>
        <w:topLinePunct w:val="0"/>
        <w:autoSpaceDE/>
        <w:autoSpaceDN/>
        <w:bidi w:val="0"/>
        <w:adjustRightInd/>
        <w:snapToGrid/>
        <w:spacing w:line="408" w:lineRule="auto"/>
        <w:textAlignment w:val="auto"/>
        <w:rPr>
          <w:rFonts w:hint="eastAsia" w:ascii="宋体" w:hAnsi="宋体" w:eastAsia="宋体" w:cs="宋体"/>
          <w:color w:val="auto"/>
          <w:szCs w:val="21"/>
        </w:rPr>
      </w:pPr>
      <w:r>
        <w:rPr>
          <w:rFonts w:hint="eastAsia" w:ascii="宋体" w:hAnsi="宋体" w:eastAsia="宋体" w:cs="宋体"/>
          <w:color w:val="auto"/>
          <w:szCs w:val="21"/>
        </w:rPr>
        <w:t>12</w:t>
      </w:r>
      <w:r>
        <w:rPr>
          <w:rFonts w:hint="eastAsia" w:ascii="宋体" w:hAnsi="宋体" w:cs="宋体"/>
          <w:color w:val="auto"/>
          <w:szCs w:val="21"/>
          <w:lang w:eastAsia="zh-CN"/>
        </w:rPr>
        <w:t>.谈判</w:t>
      </w:r>
      <w:r>
        <w:rPr>
          <w:rFonts w:hint="eastAsia" w:ascii="宋体" w:hAnsi="宋体" w:eastAsia="宋体" w:cs="宋体"/>
          <w:color w:val="auto"/>
          <w:szCs w:val="21"/>
        </w:rPr>
        <w:t>小组审查各供应商的最后报价。</w:t>
      </w:r>
    </w:p>
    <w:p w14:paraId="5C80DCFA">
      <w:pPr>
        <w:keepNext w:val="0"/>
        <w:keepLines w:val="0"/>
        <w:pageBreakBefore w:val="0"/>
        <w:widowControl w:val="0"/>
        <w:kinsoku/>
        <w:wordWrap/>
        <w:overflowPunct/>
        <w:topLinePunct w:val="0"/>
        <w:autoSpaceDE/>
        <w:autoSpaceDN/>
        <w:bidi w:val="0"/>
        <w:adjustRightInd/>
        <w:snapToGrid/>
        <w:spacing w:line="408" w:lineRule="auto"/>
        <w:textAlignment w:val="auto"/>
        <w:rPr>
          <w:rFonts w:hint="eastAsia" w:ascii="宋体" w:hAnsi="宋体" w:eastAsia="宋体" w:cs="宋体"/>
          <w:color w:val="auto"/>
          <w:spacing w:val="-6"/>
          <w:szCs w:val="21"/>
        </w:rPr>
      </w:pPr>
      <w:r>
        <w:rPr>
          <w:rFonts w:hint="eastAsia" w:ascii="宋体" w:hAnsi="宋体" w:eastAsia="宋体" w:cs="宋体"/>
          <w:color w:val="auto"/>
          <w:spacing w:val="-6"/>
          <w:szCs w:val="21"/>
        </w:rPr>
        <w:t>13</w:t>
      </w:r>
      <w:r>
        <w:rPr>
          <w:rFonts w:hint="eastAsia" w:ascii="宋体" w:hAnsi="宋体" w:cs="宋体"/>
          <w:color w:val="auto"/>
          <w:spacing w:val="-6"/>
          <w:szCs w:val="21"/>
          <w:lang w:eastAsia="zh-CN"/>
        </w:rPr>
        <w:t>.</w:t>
      </w:r>
      <w:r>
        <w:rPr>
          <w:rFonts w:hint="eastAsia" w:ascii="宋体" w:hAnsi="宋体" w:eastAsia="宋体" w:cs="宋体"/>
          <w:color w:val="auto"/>
          <w:spacing w:val="-6"/>
          <w:szCs w:val="21"/>
        </w:rPr>
        <w:t>谈判小组应当根据有效供应商的最后报价，按照最后报价由低到高顺序推荐3名以上成交候选供应商，并编写评审报告。谈判小组应当从质量和服务均能满足竞争性谈判文件实质性响应要求的供应商中，按照最后报价由低到高的顺序提出3 名以上成交候选供应商，当供应商评审价出现两个及以上（含两个）相同评审价时，按</w:t>
      </w:r>
      <w:r>
        <w:rPr>
          <w:rFonts w:hint="eastAsia" w:ascii="宋体" w:hAnsi="宋体" w:eastAsia="宋体" w:cs="宋体"/>
          <w:color w:val="auto"/>
          <w:spacing w:val="-6"/>
          <w:szCs w:val="21"/>
          <w:lang w:val="en-US" w:eastAsia="zh-CN"/>
        </w:rPr>
        <w:t>供应商响应文件</w:t>
      </w:r>
      <w:r>
        <w:rPr>
          <w:rFonts w:hint="eastAsia" w:ascii="宋体" w:hAnsi="宋体" w:eastAsia="宋体" w:cs="宋体"/>
          <w:color w:val="auto"/>
          <w:spacing w:val="-6"/>
          <w:szCs w:val="21"/>
        </w:rPr>
        <w:t>技术</w:t>
      </w:r>
      <w:r>
        <w:rPr>
          <w:rFonts w:hint="eastAsia" w:ascii="宋体" w:hAnsi="宋体" w:eastAsia="宋体" w:cs="宋体"/>
          <w:color w:val="auto"/>
          <w:spacing w:val="-6"/>
          <w:szCs w:val="21"/>
          <w:lang w:eastAsia="zh-CN"/>
        </w:rPr>
        <w:t>、</w:t>
      </w:r>
      <w:r>
        <w:rPr>
          <w:rFonts w:hint="eastAsia" w:ascii="宋体" w:hAnsi="宋体" w:eastAsia="宋体" w:cs="宋体"/>
          <w:color w:val="auto"/>
          <w:spacing w:val="-6"/>
          <w:szCs w:val="21"/>
          <w:lang w:val="en-US" w:eastAsia="zh-CN"/>
        </w:rPr>
        <w:t>商务要求</w:t>
      </w:r>
      <w:r>
        <w:rPr>
          <w:rFonts w:hint="eastAsia" w:ascii="宋体" w:hAnsi="宋体" w:eastAsia="宋体" w:cs="宋体"/>
          <w:color w:val="auto"/>
          <w:spacing w:val="-6"/>
          <w:szCs w:val="21"/>
        </w:rPr>
        <w:t>优劣排序。并编写评审报告。</w:t>
      </w:r>
    </w:p>
    <w:p w14:paraId="59710889">
      <w:pPr>
        <w:keepNext w:val="0"/>
        <w:keepLines w:val="0"/>
        <w:pageBreakBefore w:val="0"/>
        <w:widowControl w:val="0"/>
        <w:kinsoku/>
        <w:wordWrap/>
        <w:overflowPunct/>
        <w:topLinePunct w:val="0"/>
        <w:autoSpaceDE/>
        <w:autoSpaceDN/>
        <w:bidi w:val="0"/>
        <w:adjustRightInd/>
        <w:snapToGrid/>
        <w:spacing w:line="408" w:lineRule="auto"/>
        <w:textAlignment w:val="auto"/>
        <w:rPr>
          <w:rFonts w:hint="eastAsia" w:ascii="宋体" w:hAnsi="宋体" w:eastAsia="宋体" w:cs="宋体"/>
          <w:color w:val="auto"/>
          <w:spacing w:val="-6"/>
          <w:szCs w:val="21"/>
        </w:rPr>
      </w:pPr>
      <w:r>
        <w:rPr>
          <w:rFonts w:hint="eastAsia" w:ascii="宋体" w:hAnsi="宋体" w:eastAsia="宋体" w:cs="宋体"/>
          <w:color w:val="auto"/>
          <w:spacing w:val="-6"/>
          <w:szCs w:val="21"/>
          <w:lang w:val="en-US" w:eastAsia="zh-CN"/>
        </w:rPr>
        <w:t>14</w:t>
      </w:r>
      <w:r>
        <w:rPr>
          <w:rFonts w:hint="eastAsia" w:ascii="宋体" w:hAnsi="宋体" w:cs="宋体"/>
          <w:color w:val="auto"/>
          <w:spacing w:val="-6"/>
          <w:szCs w:val="21"/>
          <w:lang w:val="en-US" w:eastAsia="zh-CN"/>
        </w:rPr>
        <w:t>.</w:t>
      </w:r>
      <w:r>
        <w:rPr>
          <w:rFonts w:hint="eastAsia" w:ascii="宋体" w:hAnsi="宋体" w:eastAsia="宋体" w:cs="宋体"/>
          <w:color w:val="auto"/>
          <w:spacing w:val="-6"/>
          <w:szCs w:val="21"/>
        </w:rPr>
        <w:t>原则上采购人现场依据谈判小组评审报告提出的成交候选供应商中，根据质量和服务均能满足竞争性谈判文件实质性响应要求且评审价最低的原则确定成交供应商。</w:t>
      </w:r>
    </w:p>
    <w:p w14:paraId="2565A58E">
      <w:pPr>
        <w:keepNext w:val="0"/>
        <w:keepLines w:val="0"/>
        <w:pageBreakBefore w:val="0"/>
        <w:widowControl w:val="0"/>
        <w:kinsoku/>
        <w:wordWrap/>
        <w:overflowPunct/>
        <w:topLinePunct w:val="0"/>
        <w:autoSpaceDE/>
        <w:autoSpaceDN/>
        <w:bidi w:val="0"/>
        <w:adjustRightInd/>
        <w:snapToGrid/>
        <w:spacing w:line="408" w:lineRule="auto"/>
        <w:textAlignment w:val="auto"/>
        <w:rPr>
          <w:rFonts w:hint="eastAsia" w:ascii="宋体" w:hAnsi="宋体" w:eastAsia="宋体" w:cs="宋体"/>
          <w:color w:val="auto"/>
          <w:szCs w:val="21"/>
        </w:rPr>
      </w:pPr>
      <w:r>
        <w:rPr>
          <w:rFonts w:hint="eastAsia" w:ascii="宋体" w:hAnsi="宋体" w:cs="宋体"/>
          <w:color w:val="auto"/>
          <w:szCs w:val="21"/>
          <w:lang w:val="en-US" w:eastAsia="zh-CN"/>
        </w:rPr>
        <w:t>15.</w:t>
      </w:r>
      <w:r>
        <w:rPr>
          <w:rFonts w:hint="eastAsia" w:ascii="宋体" w:hAnsi="宋体" w:eastAsia="宋体" w:cs="宋体"/>
          <w:color w:val="auto"/>
          <w:szCs w:val="21"/>
        </w:rPr>
        <w:t>当在评审结束后2个工作日内将评审报告</w:t>
      </w:r>
      <w:r>
        <w:rPr>
          <w:rFonts w:hint="eastAsia" w:ascii="宋体" w:hAnsi="宋体" w:cs="宋体"/>
          <w:color w:val="auto"/>
          <w:szCs w:val="21"/>
          <w:lang w:val="en-US" w:eastAsia="zh-CN"/>
        </w:rPr>
        <w:t>由</w:t>
      </w:r>
      <w:r>
        <w:rPr>
          <w:rFonts w:hint="eastAsia" w:ascii="宋体" w:hAnsi="宋体" w:eastAsia="宋体" w:cs="宋体"/>
          <w:color w:val="auto"/>
          <w:szCs w:val="21"/>
        </w:rPr>
        <w:t>采购人确认。采购人应当从评审报告提出的成交候选供应商中，按照排序由高到低的原则确定成交供应商，也可以书面授权谈判小组直接确定成交供应商。</w:t>
      </w:r>
    </w:p>
    <w:p w14:paraId="6480C043">
      <w:pPr>
        <w:keepNext w:val="0"/>
        <w:keepLines w:val="0"/>
        <w:pageBreakBefore w:val="0"/>
        <w:widowControl w:val="0"/>
        <w:kinsoku/>
        <w:wordWrap/>
        <w:overflowPunct/>
        <w:topLinePunct w:val="0"/>
        <w:autoSpaceDE/>
        <w:autoSpaceDN/>
        <w:bidi w:val="0"/>
        <w:adjustRightInd/>
        <w:snapToGrid/>
        <w:spacing w:line="408" w:lineRule="auto"/>
        <w:textAlignment w:val="auto"/>
        <w:rPr>
          <w:rFonts w:hint="eastAsia" w:ascii="宋体" w:hAnsi="宋体" w:eastAsia="宋体" w:cs="宋体"/>
          <w:color w:val="auto"/>
          <w:szCs w:val="21"/>
        </w:rPr>
      </w:pPr>
      <w:r>
        <w:rPr>
          <w:rFonts w:hint="eastAsia" w:ascii="宋体" w:hAnsi="宋体" w:eastAsia="宋体" w:cs="宋体"/>
          <w:color w:val="auto"/>
          <w:szCs w:val="21"/>
        </w:rPr>
        <w:t>16、由</w:t>
      </w:r>
      <w:r>
        <w:rPr>
          <w:rFonts w:hint="eastAsia" w:ascii="宋体" w:hAnsi="宋体" w:cs="宋体"/>
          <w:color w:val="auto"/>
          <w:szCs w:val="21"/>
          <w:lang w:eastAsia="zh-CN"/>
        </w:rPr>
        <w:t>谈判</w:t>
      </w:r>
      <w:r>
        <w:rPr>
          <w:rFonts w:hint="eastAsia" w:ascii="宋体" w:hAnsi="宋体" w:eastAsia="宋体" w:cs="宋体"/>
          <w:color w:val="auto"/>
          <w:szCs w:val="21"/>
        </w:rPr>
        <w:t>小组根据计算各有效供应商的最终得分排名向采购人推荐前三名成交候选供应商。</w:t>
      </w:r>
    </w:p>
    <w:p w14:paraId="32B30D31">
      <w:pPr>
        <w:keepNext w:val="0"/>
        <w:keepLines w:val="0"/>
        <w:pageBreakBefore w:val="0"/>
        <w:widowControl w:val="0"/>
        <w:kinsoku/>
        <w:wordWrap/>
        <w:overflowPunct/>
        <w:topLinePunct w:val="0"/>
        <w:autoSpaceDE/>
        <w:autoSpaceDN/>
        <w:bidi w:val="0"/>
        <w:adjustRightInd/>
        <w:snapToGrid/>
        <w:spacing w:line="408" w:lineRule="auto"/>
        <w:textAlignment w:val="auto"/>
        <w:rPr>
          <w:rFonts w:hint="eastAsia" w:ascii="宋体" w:hAnsi="宋体" w:eastAsia="宋体" w:cs="宋体"/>
          <w:color w:val="auto"/>
          <w:szCs w:val="21"/>
        </w:rPr>
      </w:pPr>
      <w:r>
        <w:rPr>
          <w:rFonts w:hint="eastAsia" w:ascii="宋体" w:hAnsi="宋体" w:eastAsia="宋体" w:cs="宋体"/>
          <w:color w:val="auto"/>
          <w:szCs w:val="21"/>
        </w:rPr>
        <w:t>17、</w:t>
      </w:r>
      <w:r>
        <w:rPr>
          <w:rFonts w:hint="eastAsia" w:ascii="宋体" w:hAnsi="宋体" w:cs="宋体"/>
          <w:color w:val="auto"/>
          <w:szCs w:val="21"/>
          <w:lang w:eastAsia="zh-CN"/>
        </w:rPr>
        <w:t>谈判</w:t>
      </w:r>
      <w:r>
        <w:rPr>
          <w:rFonts w:hint="eastAsia" w:ascii="宋体" w:hAnsi="宋体" w:eastAsia="宋体" w:cs="宋体"/>
          <w:color w:val="auto"/>
          <w:szCs w:val="21"/>
        </w:rPr>
        <w:t>中的注意事项：</w:t>
      </w:r>
    </w:p>
    <w:p w14:paraId="383F08BF">
      <w:pPr>
        <w:keepNext w:val="0"/>
        <w:keepLines w:val="0"/>
        <w:pageBreakBefore w:val="0"/>
        <w:widowControl w:val="0"/>
        <w:kinsoku/>
        <w:wordWrap/>
        <w:overflowPunct/>
        <w:topLinePunct w:val="0"/>
        <w:autoSpaceDE/>
        <w:autoSpaceDN/>
        <w:bidi w:val="0"/>
        <w:adjustRightInd/>
        <w:snapToGrid/>
        <w:spacing w:line="408" w:lineRule="auto"/>
        <w:ind w:firstLine="420" w:firstLineChars="200"/>
        <w:textAlignment w:val="auto"/>
        <w:rPr>
          <w:rFonts w:hint="eastAsia" w:ascii="宋体" w:hAnsi="宋体" w:eastAsia="宋体" w:cs="宋体"/>
          <w:color w:val="auto"/>
          <w:szCs w:val="21"/>
        </w:rPr>
      </w:pPr>
      <w:r>
        <w:rPr>
          <w:rFonts w:hint="eastAsia" w:ascii="宋体" w:hAnsi="宋体" w:cs="宋体"/>
          <w:color w:val="auto"/>
          <w:szCs w:val="21"/>
          <w:lang w:eastAsia="zh-CN"/>
        </w:rPr>
        <w:t>谈判</w:t>
      </w:r>
      <w:r>
        <w:rPr>
          <w:rFonts w:hint="eastAsia" w:ascii="宋体" w:hAnsi="宋体" w:eastAsia="宋体" w:cs="宋体"/>
          <w:color w:val="auto"/>
          <w:szCs w:val="21"/>
        </w:rPr>
        <w:t>时由</w:t>
      </w:r>
      <w:r>
        <w:rPr>
          <w:rFonts w:hint="eastAsia" w:ascii="宋体" w:hAnsi="宋体" w:cs="宋体"/>
          <w:color w:val="auto"/>
          <w:szCs w:val="21"/>
          <w:lang w:eastAsia="zh-CN"/>
        </w:rPr>
        <w:t>谈判</w:t>
      </w:r>
      <w:r>
        <w:rPr>
          <w:rFonts w:hint="eastAsia" w:ascii="宋体" w:hAnsi="宋体" w:eastAsia="宋体" w:cs="宋体"/>
          <w:color w:val="auto"/>
          <w:szCs w:val="21"/>
        </w:rPr>
        <w:t>小组所有成员集中与单一供应商分别进行</w:t>
      </w:r>
      <w:r>
        <w:rPr>
          <w:rFonts w:hint="eastAsia" w:ascii="宋体" w:hAnsi="宋体" w:cs="宋体"/>
          <w:color w:val="auto"/>
          <w:szCs w:val="21"/>
          <w:lang w:eastAsia="zh-CN"/>
        </w:rPr>
        <w:t>谈判</w:t>
      </w:r>
      <w:r>
        <w:rPr>
          <w:rFonts w:hint="eastAsia" w:ascii="宋体" w:hAnsi="宋体" w:eastAsia="宋体" w:cs="宋体"/>
          <w:color w:val="auto"/>
          <w:szCs w:val="21"/>
        </w:rPr>
        <w:t>。</w:t>
      </w:r>
      <w:r>
        <w:rPr>
          <w:rFonts w:hint="eastAsia" w:ascii="宋体" w:hAnsi="宋体" w:cs="宋体"/>
          <w:color w:val="auto"/>
          <w:szCs w:val="21"/>
          <w:lang w:eastAsia="zh-CN"/>
        </w:rPr>
        <w:t>谈判</w:t>
      </w:r>
      <w:r>
        <w:rPr>
          <w:rFonts w:hint="eastAsia" w:ascii="宋体" w:hAnsi="宋体" w:eastAsia="宋体" w:cs="宋体"/>
          <w:color w:val="auto"/>
          <w:szCs w:val="21"/>
        </w:rPr>
        <w:t>中，</w:t>
      </w:r>
      <w:r>
        <w:rPr>
          <w:rFonts w:hint="eastAsia" w:ascii="宋体" w:hAnsi="宋体" w:cs="宋体"/>
          <w:color w:val="auto"/>
          <w:szCs w:val="21"/>
          <w:lang w:eastAsia="zh-CN"/>
        </w:rPr>
        <w:t>谈判</w:t>
      </w:r>
      <w:r>
        <w:rPr>
          <w:rFonts w:hint="eastAsia" w:ascii="宋体" w:hAnsi="宋体" w:eastAsia="宋体" w:cs="宋体"/>
          <w:color w:val="auto"/>
          <w:szCs w:val="21"/>
        </w:rPr>
        <w:t>的任何一方不得透露与</w:t>
      </w:r>
      <w:r>
        <w:rPr>
          <w:rFonts w:hint="eastAsia" w:ascii="宋体" w:hAnsi="宋体" w:cs="宋体"/>
          <w:color w:val="auto"/>
          <w:szCs w:val="21"/>
          <w:lang w:eastAsia="zh-CN"/>
        </w:rPr>
        <w:t>谈判</w:t>
      </w:r>
      <w:r>
        <w:rPr>
          <w:rFonts w:hint="eastAsia" w:ascii="宋体" w:hAnsi="宋体" w:eastAsia="宋体" w:cs="宋体"/>
          <w:color w:val="auto"/>
          <w:szCs w:val="21"/>
        </w:rPr>
        <w:t>有关的其他供应商的技术资料、价格和其他信息；</w:t>
      </w:r>
    </w:p>
    <w:p w14:paraId="535D19C4">
      <w:pPr>
        <w:keepNext w:val="0"/>
        <w:keepLines w:val="0"/>
        <w:pageBreakBefore w:val="0"/>
        <w:widowControl w:val="0"/>
        <w:kinsoku/>
        <w:wordWrap/>
        <w:overflowPunct/>
        <w:topLinePunct w:val="0"/>
        <w:autoSpaceDE/>
        <w:autoSpaceDN/>
        <w:bidi w:val="0"/>
        <w:adjustRightInd/>
        <w:snapToGrid w:val="0"/>
        <w:spacing w:line="408" w:lineRule="auto"/>
        <w:textAlignment w:val="auto"/>
        <w:rPr>
          <w:rFonts w:hint="eastAsia" w:ascii="宋体" w:hAnsi="宋体" w:eastAsia="宋体" w:cs="宋体"/>
          <w:color w:val="auto"/>
          <w:szCs w:val="21"/>
        </w:rPr>
      </w:pPr>
      <w:r>
        <w:rPr>
          <w:rFonts w:hint="eastAsia" w:ascii="宋体" w:hAnsi="宋体" w:cs="宋体"/>
          <w:color w:val="auto"/>
          <w:szCs w:val="21"/>
          <w:lang w:val="en-US" w:eastAsia="zh-CN"/>
        </w:rPr>
        <w:t>三</w:t>
      </w:r>
      <w:r>
        <w:rPr>
          <w:rFonts w:hint="eastAsia" w:ascii="宋体" w:hAnsi="宋体" w:eastAsia="宋体" w:cs="宋体"/>
          <w:color w:val="auto"/>
          <w:szCs w:val="21"/>
        </w:rPr>
        <w:t>、</w:t>
      </w:r>
      <w:r>
        <w:rPr>
          <w:rFonts w:hint="eastAsia" w:ascii="宋体" w:hAnsi="宋体" w:cs="宋体"/>
          <w:color w:val="auto"/>
          <w:szCs w:val="21"/>
          <w:lang w:eastAsia="zh-CN"/>
        </w:rPr>
        <w:t>竞争性</w:t>
      </w:r>
      <w:r>
        <w:rPr>
          <w:rFonts w:hint="eastAsia" w:ascii="宋体" w:hAnsi="宋体" w:eastAsia="宋体" w:cs="宋体"/>
          <w:color w:val="auto"/>
          <w:szCs w:val="21"/>
          <w:lang w:eastAsia="zh-CN"/>
        </w:rPr>
        <w:t>谈判</w:t>
      </w:r>
      <w:r>
        <w:rPr>
          <w:rFonts w:hint="eastAsia" w:ascii="宋体" w:hAnsi="宋体" w:eastAsia="宋体" w:cs="宋体"/>
          <w:color w:val="auto"/>
          <w:szCs w:val="21"/>
        </w:rPr>
        <w:t>纪律及</w:t>
      </w:r>
      <w:r>
        <w:rPr>
          <w:rFonts w:hint="eastAsia" w:ascii="宋体" w:hAnsi="宋体" w:eastAsia="宋体" w:cs="宋体"/>
          <w:color w:val="auto"/>
          <w:szCs w:val="21"/>
          <w:lang w:eastAsia="zh-CN"/>
        </w:rPr>
        <w:t>谈判</w:t>
      </w:r>
      <w:r>
        <w:rPr>
          <w:rFonts w:hint="eastAsia" w:ascii="宋体" w:hAnsi="宋体" w:eastAsia="宋体" w:cs="宋体"/>
          <w:color w:val="auto"/>
          <w:szCs w:val="21"/>
        </w:rPr>
        <w:t>职责</w:t>
      </w:r>
    </w:p>
    <w:p w14:paraId="204E587D">
      <w:pPr>
        <w:keepNext w:val="0"/>
        <w:keepLines w:val="0"/>
        <w:pageBreakBefore w:val="0"/>
        <w:widowControl w:val="0"/>
        <w:kinsoku/>
        <w:wordWrap/>
        <w:overflowPunct/>
        <w:topLinePunct w:val="0"/>
        <w:autoSpaceDE/>
        <w:autoSpaceDN/>
        <w:bidi w:val="0"/>
        <w:adjustRightInd/>
        <w:spacing w:line="408" w:lineRule="auto"/>
        <w:textAlignment w:val="auto"/>
        <w:rPr>
          <w:rFonts w:hint="eastAsia" w:ascii="宋体" w:hAnsi="宋体" w:eastAsia="宋体" w:cs="宋体"/>
          <w:color w:val="auto"/>
          <w:szCs w:val="21"/>
        </w:rPr>
      </w:pPr>
      <w:r>
        <w:rPr>
          <w:rFonts w:hint="eastAsia" w:ascii="宋体" w:hAnsi="宋体" w:eastAsia="宋体" w:cs="宋体"/>
          <w:color w:val="auto"/>
          <w:szCs w:val="21"/>
        </w:rPr>
        <w:t>1.评审工作</w:t>
      </w:r>
      <w:r>
        <w:rPr>
          <w:rFonts w:hint="eastAsia" w:ascii="宋体" w:hAnsi="宋体" w:eastAsia="宋体" w:cs="宋体"/>
          <w:color w:val="auto"/>
          <w:szCs w:val="21"/>
          <w:lang w:val="en-US" w:eastAsia="zh-CN"/>
        </w:rPr>
        <w:t>参照《国有企业采购操作规范》《中华人民共和国政府采购法》《</w:t>
      </w:r>
      <w:r>
        <w:rPr>
          <w:rFonts w:hint="eastAsia" w:ascii="宋体" w:hAnsi="宋体" w:cs="宋体"/>
          <w:color w:val="auto"/>
          <w:szCs w:val="21"/>
          <w:lang w:val="en-US" w:eastAsia="zh-CN"/>
        </w:rPr>
        <w:t>竞争性谈判</w:t>
      </w:r>
      <w:r>
        <w:rPr>
          <w:rFonts w:hint="eastAsia" w:ascii="宋体" w:hAnsi="宋体" w:eastAsia="宋体" w:cs="宋体"/>
          <w:color w:val="auto"/>
          <w:szCs w:val="21"/>
          <w:lang w:val="en-US" w:eastAsia="zh-CN"/>
        </w:rPr>
        <w:t>采购方式管理暂行办法》</w:t>
      </w:r>
      <w:r>
        <w:rPr>
          <w:rFonts w:hint="eastAsia" w:ascii="宋体" w:hAnsi="宋体" w:eastAsia="宋体" w:cs="宋体"/>
          <w:color w:val="auto"/>
          <w:szCs w:val="21"/>
        </w:rPr>
        <w:t>及有关政策、法令，保护合法权益，做到公正 、公开、公平，遵循竞争、择优的原则。</w:t>
      </w:r>
    </w:p>
    <w:p w14:paraId="6BF061BF">
      <w:pPr>
        <w:keepNext w:val="0"/>
        <w:keepLines w:val="0"/>
        <w:pageBreakBefore w:val="0"/>
        <w:widowControl w:val="0"/>
        <w:kinsoku/>
        <w:wordWrap/>
        <w:overflowPunct/>
        <w:topLinePunct w:val="0"/>
        <w:autoSpaceDE/>
        <w:autoSpaceDN/>
        <w:bidi w:val="0"/>
        <w:adjustRightInd/>
        <w:spacing w:line="408"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2.评审工作由</w:t>
      </w:r>
      <w:r>
        <w:rPr>
          <w:rFonts w:hint="eastAsia" w:ascii="宋体" w:hAnsi="宋体" w:cs="宋体"/>
          <w:color w:val="auto"/>
          <w:szCs w:val="21"/>
          <w:highlight w:val="none"/>
          <w:lang w:val="en-US" w:eastAsia="zh-CN"/>
        </w:rPr>
        <w:t>采购人</w:t>
      </w:r>
      <w:r>
        <w:rPr>
          <w:rFonts w:hint="eastAsia" w:ascii="宋体" w:hAnsi="宋体" w:eastAsia="宋体" w:cs="宋体"/>
          <w:color w:val="auto"/>
          <w:szCs w:val="21"/>
          <w:highlight w:val="none"/>
        </w:rPr>
        <w:t>组织的</w:t>
      </w:r>
      <w:r>
        <w:rPr>
          <w:rFonts w:hint="eastAsia" w:ascii="宋体" w:hAnsi="宋体" w:cs="宋体"/>
          <w:color w:val="auto"/>
          <w:szCs w:val="21"/>
          <w:highlight w:val="none"/>
          <w:lang w:eastAsia="zh-CN"/>
        </w:rPr>
        <w:t>竞争性谈判</w:t>
      </w:r>
      <w:r>
        <w:rPr>
          <w:rFonts w:hint="eastAsia" w:ascii="宋体" w:hAnsi="宋体" w:eastAsia="宋体" w:cs="宋体"/>
          <w:color w:val="auto"/>
          <w:szCs w:val="21"/>
          <w:highlight w:val="none"/>
        </w:rPr>
        <w:t>小组（以下简称</w:t>
      </w:r>
      <w:r>
        <w:rPr>
          <w:rFonts w:hint="eastAsia" w:ascii="宋体" w:hAnsi="宋体" w:cs="宋体"/>
          <w:color w:val="auto"/>
          <w:szCs w:val="21"/>
          <w:highlight w:val="none"/>
          <w:lang w:eastAsia="zh-CN"/>
        </w:rPr>
        <w:t>谈判</w:t>
      </w:r>
      <w:r>
        <w:rPr>
          <w:rFonts w:hint="eastAsia" w:ascii="宋体" w:hAnsi="宋体" w:eastAsia="宋体" w:cs="宋体"/>
          <w:color w:val="auto"/>
          <w:szCs w:val="21"/>
          <w:highlight w:val="none"/>
        </w:rPr>
        <w:t>小组）进行。</w:t>
      </w:r>
    </w:p>
    <w:p w14:paraId="5B5FFC40">
      <w:pPr>
        <w:keepNext w:val="0"/>
        <w:keepLines w:val="0"/>
        <w:pageBreakBefore w:val="0"/>
        <w:widowControl w:val="0"/>
        <w:kinsoku/>
        <w:wordWrap/>
        <w:overflowPunct/>
        <w:topLinePunct w:val="0"/>
        <w:autoSpaceDE/>
        <w:autoSpaceDN/>
        <w:bidi w:val="0"/>
        <w:adjustRightInd/>
        <w:spacing w:line="408" w:lineRule="auto"/>
        <w:textAlignment w:val="auto"/>
        <w:rPr>
          <w:rFonts w:hint="eastAsia" w:ascii="宋体" w:hAnsi="宋体" w:eastAsia="宋体" w:cs="宋体"/>
          <w:color w:val="auto"/>
          <w:szCs w:val="21"/>
        </w:rPr>
      </w:pPr>
      <w:r>
        <w:rPr>
          <w:rFonts w:hint="eastAsia" w:ascii="宋体" w:hAnsi="宋体" w:eastAsia="宋体" w:cs="宋体"/>
          <w:color w:val="auto"/>
          <w:szCs w:val="21"/>
        </w:rPr>
        <w:t>3.</w:t>
      </w:r>
      <w:r>
        <w:rPr>
          <w:rFonts w:hint="eastAsia" w:ascii="宋体" w:hAnsi="宋体" w:cs="宋体"/>
          <w:color w:val="auto"/>
          <w:szCs w:val="21"/>
          <w:lang w:eastAsia="zh-CN"/>
        </w:rPr>
        <w:t>谈判</w:t>
      </w:r>
      <w:r>
        <w:rPr>
          <w:rFonts w:hint="eastAsia" w:ascii="宋体" w:hAnsi="宋体" w:eastAsia="宋体" w:cs="宋体"/>
          <w:color w:val="auto"/>
          <w:szCs w:val="21"/>
        </w:rPr>
        <w:t>小组及有关人员应严格遵守国家有关法律、法令，公正廉洁，不徇私情，应当客观、公正地履行职务、遵守职业道德，不得有损害国家和企业利益的行为，如有发生，将追究法律责任。</w:t>
      </w:r>
    </w:p>
    <w:p w14:paraId="2F69960B">
      <w:pPr>
        <w:keepNext w:val="0"/>
        <w:keepLines w:val="0"/>
        <w:pageBreakBefore w:val="0"/>
        <w:widowControl w:val="0"/>
        <w:kinsoku/>
        <w:wordWrap/>
        <w:overflowPunct/>
        <w:topLinePunct w:val="0"/>
        <w:autoSpaceDE/>
        <w:autoSpaceDN/>
        <w:bidi w:val="0"/>
        <w:adjustRightInd/>
        <w:spacing w:line="408" w:lineRule="auto"/>
        <w:textAlignment w:val="auto"/>
        <w:rPr>
          <w:rFonts w:hint="eastAsia" w:ascii="宋体" w:hAnsi="宋体" w:eastAsia="宋体" w:cs="宋体"/>
          <w:color w:val="auto"/>
          <w:szCs w:val="21"/>
        </w:rPr>
      </w:pPr>
      <w:r>
        <w:rPr>
          <w:rFonts w:hint="eastAsia" w:ascii="宋体" w:hAnsi="宋体" w:eastAsia="宋体" w:cs="宋体"/>
          <w:color w:val="auto"/>
          <w:szCs w:val="21"/>
        </w:rPr>
        <w:t>4.任何单位和个人不得非法干预、影响评审过程和结果。</w:t>
      </w:r>
    </w:p>
    <w:p w14:paraId="5A7C8DA7">
      <w:pPr>
        <w:keepNext w:val="0"/>
        <w:keepLines w:val="0"/>
        <w:pageBreakBefore w:val="0"/>
        <w:widowControl w:val="0"/>
        <w:kinsoku/>
        <w:wordWrap/>
        <w:overflowPunct/>
        <w:topLinePunct w:val="0"/>
        <w:autoSpaceDE/>
        <w:autoSpaceDN/>
        <w:bidi w:val="0"/>
        <w:adjustRightInd/>
        <w:spacing w:line="408" w:lineRule="auto"/>
        <w:textAlignment w:val="auto"/>
        <w:rPr>
          <w:rFonts w:hint="eastAsia" w:ascii="宋体" w:hAnsi="宋体" w:eastAsia="宋体" w:cs="宋体"/>
          <w:color w:val="auto"/>
          <w:szCs w:val="21"/>
        </w:rPr>
      </w:pPr>
      <w:r>
        <w:rPr>
          <w:rFonts w:hint="eastAsia" w:ascii="宋体" w:hAnsi="宋体" w:eastAsia="宋体" w:cs="宋体"/>
          <w:color w:val="auto"/>
          <w:szCs w:val="21"/>
        </w:rPr>
        <w:t>5.评审工作接受监督单位的管理和监督。</w:t>
      </w:r>
    </w:p>
    <w:p w14:paraId="2F046E5C">
      <w:pPr>
        <w:keepNext w:val="0"/>
        <w:keepLines w:val="0"/>
        <w:pageBreakBefore w:val="0"/>
        <w:widowControl w:val="0"/>
        <w:kinsoku/>
        <w:wordWrap/>
        <w:overflowPunct/>
        <w:topLinePunct w:val="0"/>
        <w:autoSpaceDE/>
        <w:autoSpaceDN/>
        <w:bidi w:val="0"/>
        <w:adjustRightInd/>
        <w:spacing w:line="408" w:lineRule="auto"/>
        <w:textAlignment w:val="auto"/>
        <w:rPr>
          <w:rFonts w:hint="eastAsia" w:ascii="宋体" w:hAnsi="宋体" w:eastAsia="宋体" w:cs="宋体"/>
          <w:color w:val="auto"/>
          <w:szCs w:val="21"/>
        </w:rPr>
      </w:pPr>
      <w:r>
        <w:rPr>
          <w:rFonts w:hint="eastAsia" w:ascii="宋体" w:hAnsi="宋体" w:eastAsia="宋体" w:cs="宋体"/>
          <w:color w:val="auto"/>
          <w:szCs w:val="21"/>
        </w:rPr>
        <w:t>6.</w:t>
      </w:r>
      <w:r>
        <w:rPr>
          <w:rFonts w:hint="eastAsia" w:ascii="宋体" w:hAnsi="宋体" w:cs="宋体"/>
          <w:color w:val="auto"/>
          <w:szCs w:val="21"/>
          <w:lang w:eastAsia="zh-CN"/>
        </w:rPr>
        <w:t>谈判</w:t>
      </w:r>
      <w:r>
        <w:rPr>
          <w:rFonts w:hint="eastAsia" w:ascii="宋体" w:hAnsi="宋体" w:eastAsia="宋体" w:cs="宋体"/>
          <w:color w:val="auto"/>
          <w:szCs w:val="21"/>
        </w:rPr>
        <w:t>小组以及与评审工作有关的人员不得泄露评审情况以及评审过程中获悉的国家秘密、商业秘密。</w:t>
      </w:r>
    </w:p>
    <w:p w14:paraId="67E3C007">
      <w:pPr>
        <w:keepNext w:val="0"/>
        <w:keepLines w:val="0"/>
        <w:pageBreakBefore w:val="0"/>
        <w:widowControl w:val="0"/>
        <w:kinsoku/>
        <w:wordWrap/>
        <w:overflowPunct/>
        <w:topLinePunct w:val="0"/>
        <w:autoSpaceDE/>
        <w:autoSpaceDN/>
        <w:bidi w:val="0"/>
        <w:adjustRightInd/>
        <w:spacing w:line="408" w:lineRule="auto"/>
        <w:textAlignment w:val="auto"/>
        <w:rPr>
          <w:rFonts w:hint="eastAsia" w:ascii="宋体" w:hAnsi="宋体" w:eastAsia="宋体" w:cs="宋体"/>
          <w:color w:val="auto"/>
          <w:szCs w:val="21"/>
        </w:rPr>
      </w:pPr>
      <w:r>
        <w:rPr>
          <w:rFonts w:hint="eastAsia" w:ascii="宋体" w:hAnsi="宋体" w:eastAsia="宋体" w:cs="宋体"/>
          <w:color w:val="auto"/>
          <w:szCs w:val="21"/>
        </w:rPr>
        <w:t>7.从</w:t>
      </w:r>
      <w:r>
        <w:rPr>
          <w:rFonts w:hint="eastAsia" w:ascii="宋体" w:hAnsi="宋体" w:cs="宋体"/>
          <w:color w:val="auto"/>
          <w:szCs w:val="21"/>
          <w:lang w:eastAsia="zh-CN"/>
        </w:rPr>
        <w:t>谈判</w:t>
      </w:r>
      <w:r>
        <w:rPr>
          <w:rFonts w:hint="eastAsia" w:ascii="宋体" w:hAnsi="宋体" w:eastAsia="宋体" w:cs="宋体"/>
          <w:color w:val="auto"/>
          <w:szCs w:val="21"/>
        </w:rPr>
        <w:t>之日起，至《</w:t>
      </w:r>
      <w:r>
        <w:rPr>
          <w:rFonts w:hint="eastAsia" w:ascii="宋体" w:hAnsi="宋体" w:cs="宋体"/>
          <w:color w:val="auto"/>
          <w:szCs w:val="21"/>
          <w:lang w:eastAsia="zh-CN"/>
        </w:rPr>
        <w:t>中标通知书</w:t>
      </w:r>
      <w:r>
        <w:rPr>
          <w:rFonts w:hint="eastAsia" w:ascii="宋体" w:hAnsi="宋体" w:eastAsia="宋体" w:cs="宋体"/>
          <w:color w:val="auto"/>
          <w:szCs w:val="21"/>
        </w:rPr>
        <w:t>》发出之日止，任何供应商不得与</w:t>
      </w:r>
      <w:r>
        <w:rPr>
          <w:rFonts w:hint="eastAsia" w:ascii="宋体" w:hAnsi="宋体" w:cs="宋体"/>
          <w:color w:val="auto"/>
          <w:szCs w:val="21"/>
          <w:lang w:eastAsia="zh-CN"/>
        </w:rPr>
        <w:t>谈判</w:t>
      </w:r>
      <w:r>
        <w:rPr>
          <w:rFonts w:hint="eastAsia" w:ascii="宋体" w:hAnsi="宋体" w:eastAsia="宋体" w:cs="宋体"/>
          <w:color w:val="auto"/>
          <w:szCs w:val="21"/>
        </w:rPr>
        <w:t>小组、采购人及有关工作人员私下接触或联系。供应商企图影响评审的任何活动或采用不正当手段骗取成交的，成交无效，并将依照《中华人民共和国政府采购法》及有关法规进行处理。</w:t>
      </w:r>
    </w:p>
    <w:p w14:paraId="7E8858BE">
      <w:pPr>
        <w:keepNext w:val="0"/>
        <w:keepLines w:val="0"/>
        <w:pageBreakBefore w:val="0"/>
        <w:widowControl w:val="0"/>
        <w:kinsoku/>
        <w:wordWrap/>
        <w:overflowPunct/>
        <w:topLinePunct w:val="0"/>
        <w:autoSpaceDE/>
        <w:autoSpaceDN/>
        <w:bidi w:val="0"/>
        <w:adjustRightInd/>
        <w:spacing w:line="408" w:lineRule="auto"/>
        <w:textAlignment w:val="auto"/>
        <w:rPr>
          <w:rFonts w:hint="eastAsia" w:ascii="宋体" w:hAnsi="宋体" w:eastAsia="宋体" w:cs="宋体"/>
          <w:color w:val="auto"/>
          <w:szCs w:val="21"/>
        </w:rPr>
      </w:pPr>
      <w:r>
        <w:rPr>
          <w:rFonts w:hint="eastAsia" w:ascii="宋体" w:hAnsi="宋体" w:eastAsia="宋体" w:cs="宋体"/>
          <w:color w:val="auto"/>
          <w:szCs w:val="21"/>
        </w:rPr>
        <w:t>8.评审的依据是</w:t>
      </w:r>
      <w:r>
        <w:rPr>
          <w:rFonts w:hint="eastAsia" w:ascii="宋体" w:hAnsi="宋体" w:cs="宋体"/>
          <w:color w:val="auto"/>
          <w:szCs w:val="21"/>
          <w:lang w:eastAsia="zh-CN"/>
        </w:rPr>
        <w:t>竞争性谈判</w:t>
      </w:r>
      <w:r>
        <w:rPr>
          <w:rFonts w:hint="eastAsia" w:ascii="宋体" w:hAnsi="宋体" w:eastAsia="宋体" w:cs="宋体"/>
          <w:color w:val="auto"/>
          <w:szCs w:val="21"/>
        </w:rPr>
        <w:t>文件的规定和要求，以及响应文件和经</w:t>
      </w:r>
      <w:r>
        <w:rPr>
          <w:rFonts w:hint="eastAsia" w:ascii="宋体" w:hAnsi="宋体" w:cs="宋体"/>
          <w:color w:val="auto"/>
          <w:szCs w:val="21"/>
          <w:lang w:eastAsia="zh-CN"/>
        </w:rPr>
        <w:t>谈判</w:t>
      </w:r>
      <w:r>
        <w:rPr>
          <w:rFonts w:hint="eastAsia" w:ascii="宋体" w:hAnsi="宋体" w:eastAsia="宋体" w:cs="宋体"/>
          <w:color w:val="auto"/>
          <w:szCs w:val="21"/>
        </w:rPr>
        <w:t>小组审核的响应文件的补充资料，而不是其他任何资料。</w:t>
      </w:r>
    </w:p>
    <w:p w14:paraId="37D23D77">
      <w:pPr>
        <w:keepNext w:val="0"/>
        <w:keepLines w:val="0"/>
        <w:pageBreakBefore w:val="0"/>
        <w:widowControl w:val="0"/>
        <w:kinsoku/>
        <w:wordWrap/>
        <w:overflowPunct/>
        <w:topLinePunct w:val="0"/>
        <w:autoSpaceDE/>
        <w:autoSpaceDN/>
        <w:bidi w:val="0"/>
        <w:adjustRightInd/>
        <w:spacing w:line="408" w:lineRule="auto"/>
        <w:textAlignment w:val="auto"/>
        <w:rPr>
          <w:rFonts w:hint="eastAsia" w:ascii="宋体" w:hAnsi="宋体" w:eastAsia="宋体" w:cs="宋体"/>
          <w:color w:val="auto"/>
          <w:szCs w:val="21"/>
        </w:rPr>
      </w:pPr>
      <w:r>
        <w:rPr>
          <w:rFonts w:hint="eastAsia" w:ascii="宋体" w:hAnsi="宋体" w:eastAsia="宋体" w:cs="宋体"/>
          <w:color w:val="auto"/>
          <w:szCs w:val="21"/>
        </w:rPr>
        <w:t>9.</w:t>
      </w:r>
      <w:r>
        <w:rPr>
          <w:rFonts w:hint="eastAsia" w:ascii="宋体" w:hAnsi="宋体" w:cs="宋体"/>
          <w:color w:val="auto"/>
          <w:szCs w:val="21"/>
          <w:lang w:eastAsia="zh-CN"/>
        </w:rPr>
        <w:t>谈判</w:t>
      </w:r>
      <w:r>
        <w:rPr>
          <w:rFonts w:hint="eastAsia" w:ascii="宋体" w:hAnsi="宋体" w:eastAsia="宋体" w:cs="宋体"/>
          <w:color w:val="auto"/>
          <w:szCs w:val="21"/>
        </w:rPr>
        <w:t>小组有权要求供应商对响应文件中不明确的地方作出解释和澄清，并用书面方式予以确认。澄清后满足要求的，按有效响应文件接收。但不允许对除采购需求中技术、服务要求以及</w:t>
      </w:r>
      <w:r>
        <w:rPr>
          <w:rFonts w:hint="eastAsia" w:ascii="宋体" w:hAnsi="宋体" w:cs="宋体"/>
          <w:color w:val="auto"/>
          <w:szCs w:val="21"/>
          <w:lang w:eastAsia="zh-CN"/>
        </w:rPr>
        <w:t>合同格式文本</w:t>
      </w:r>
      <w:r>
        <w:rPr>
          <w:rFonts w:hint="eastAsia" w:ascii="宋体" w:hAnsi="宋体" w:eastAsia="宋体" w:cs="宋体"/>
          <w:color w:val="auto"/>
          <w:szCs w:val="21"/>
        </w:rPr>
        <w:t>条款以外的其他内容进行修改。</w:t>
      </w:r>
    </w:p>
    <w:p w14:paraId="339FAF74">
      <w:pPr>
        <w:keepNext w:val="0"/>
        <w:keepLines w:val="0"/>
        <w:pageBreakBefore w:val="0"/>
        <w:widowControl w:val="0"/>
        <w:kinsoku/>
        <w:wordWrap/>
        <w:overflowPunct/>
        <w:topLinePunct w:val="0"/>
        <w:autoSpaceDE/>
        <w:autoSpaceDN/>
        <w:bidi w:val="0"/>
        <w:adjustRightInd/>
        <w:spacing w:line="408" w:lineRule="auto"/>
        <w:textAlignment w:val="auto"/>
        <w:rPr>
          <w:rFonts w:hint="eastAsia" w:ascii="宋体" w:hAnsi="宋体" w:eastAsia="宋体" w:cs="宋体"/>
          <w:color w:val="auto"/>
          <w:szCs w:val="21"/>
        </w:rPr>
      </w:pPr>
      <w:r>
        <w:rPr>
          <w:rFonts w:hint="eastAsia" w:ascii="宋体" w:hAnsi="宋体" w:eastAsia="宋体" w:cs="宋体"/>
          <w:color w:val="auto"/>
          <w:szCs w:val="21"/>
        </w:rPr>
        <w:t>10.</w:t>
      </w:r>
      <w:r>
        <w:rPr>
          <w:rFonts w:hint="eastAsia" w:ascii="宋体" w:hAnsi="宋体" w:cs="宋体"/>
          <w:color w:val="auto"/>
          <w:szCs w:val="21"/>
          <w:lang w:eastAsia="zh-CN"/>
        </w:rPr>
        <w:t>谈判</w:t>
      </w:r>
      <w:r>
        <w:rPr>
          <w:rFonts w:hint="eastAsia" w:ascii="宋体" w:hAnsi="宋体" w:eastAsia="宋体" w:cs="宋体"/>
          <w:color w:val="auto"/>
          <w:szCs w:val="21"/>
        </w:rPr>
        <w:t>小组</w:t>
      </w:r>
      <w:r>
        <w:rPr>
          <w:rFonts w:hint="eastAsia" w:ascii="宋体" w:hAnsi="宋体" w:eastAsia="宋体" w:cs="宋体"/>
          <w:color w:val="auto"/>
          <w:szCs w:val="21"/>
          <w:lang w:val="en-US" w:eastAsia="zh-CN"/>
        </w:rPr>
        <w:t>参照《国有企业采购操作规范》、《中华人民共和国政府采购法》《</w:t>
      </w:r>
      <w:r>
        <w:rPr>
          <w:rFonts w:hint="eastAsia" w:ascii="宋体" w:hAnsi="宋体" w:cs="宋体"/>
          <w:color w:val="auto"/>
          <w:szCs w:val="21"/>
          <w:lang w:val="en-US" w:eastAsia="zh-CN"/>
        </w:rPr>
        <w:t>竞争性谈判</w:t>
      </w:r>
      <w:r>
        <w:rPr>
          <w:rFonts w:hint="eastAsia" w:ascii="宋体" w:hAnsi="宋体" w:eastAsia="宋体" w:cs="宋体"/>
          <w:color w:val="auto"/>
          <w:szCs w:val="21"/>
          <w:lang w:val="en-US" w:eastAsia="zh-CN"/>
        </w:rPr>
        <w:t>采购方式管理暂行办法》</w:t>
      </w:r>
      <w:r>
        <w:rPr>
          <w:rFonts w:hint="eastAsia" w:ascii="宋体" w:hAnsi="宋体" w:eastAsia="宋体" w:cs="宋体"/>
          <w:color w:val="auto"/>
          <w:szCs w:val="21"/>
        </w:rPr>
        <w:t>及相关规定，依据</w:t>
      </w:r>
      <w:r>
        <w:rPr>
          <w:rFonts w:hint="eastAsia" w:ascii="宋体" w:hAnsi="宋体" w:cs="宋体"/>
          <w:color w:val="auto"/>
          <w:szCs w:val="21"/>
          <w:lang w:eastAsia="zh-CN"/>
        </w:rPr>
        <w:t>竞争性谈判</w:t>
      </w:r>
      <w:r>
        <w:rPr>
          <w:rFonts w:hint="eastAsia" w:ascii="宋体" w:hAnsi="宋体" w:eastAsia="宋体" w:cs="宋体"/>
          <w:color w:val="auto"/>
          <w:szCs w:val="21"/>
        </w:rPr>
        <w:t>文件的规定要求，就响应文件提供的资格、资质、资信证明文件，以及有关资料，对供应商的资格进行确认后。并按照</w:t>
      </w:r>
      <w:r>
        <w:rPr>
          <w:rFonts w:hint="eastAsia" w:ascii="宋体" w:hAnsi="宋体" w:cs="宋体"/>
          <w:color w:val="auto"/>
          <w:szCs w:val="21"/>
          <w:lang w:eastAsia="zh-CN"/>
        </w:rPr>
        <w:t>竞争性谈判</w:t>
      </w:r>
      <w:r>
        <w:rPr>
          <w:rFonts w:hint="eastAsia" w:ascii="宋体" w:hAnsi="宋体" w:eastAsia="宋体" w:cs="宋体"/>
          <w:color w:val="auto"/>
          <w:szCs w:val="21"/>
        </w:rPr>
        <w:t>文件中规定的评审办法进行评议，由</w:t>
      </w:r>
      <w:r>
        <w:rPr>
          <w:rFonts w:hint="eastAsia" w:ascii="宋体" w:hAnsi="宋体" w:cs="宋体"/>
          <w:color w:val="auto"/>
          <w:szCs w:val="21"/>
          <w:lang w:eastAsia="zh-CN"/>
        </w:rPr>
        <w:t>竞争性谈判</w:t>
      </w:r>
      <w:r>
        <w:rPr>
          <w:rFonts w:hint="eastAsia" w:ascii="宋体" w:hAnsi="宋体" w:eastAsia="宋体" w:cs="宋体"/>
          <w:color w:val="auto"/>
          <w:szCs w:val="21"/>
        </w:rPr>
        <w:t>小组最终评分出成交候选供应商。</w:t>
      </w:r>
    </w:p>
    <w:p w14:paraId="2C08BEE4">
      <w:pPr>
        <w:keepNext w:val="0"/>
        <w:keepLines w:val="0"/>
        <w:pageBreakBefore w:val="0"/>
        <w:widowControl w:val="0"/>
        <w:kinsoku/>
        <w:wordWrap/>
        <w:overflowPunct/>
        <w:topLinePunct w:val="0"/>
        <w:autoSpaceDE/>
        <w:autoSpaceDN/>
        <w:bidi w:val="0"/>
        <w:adjustRightInd/>
        <w:spacing w:line="408" w:lineRule="auto"/>
        <w:textAlignment w:val="auto"/>
        <w:rPr>
          <w:rFonts w:hint="eastAsia" w:ascii="宋体" w:hAnsi="宋体" w:eastAsia="宋体" w:cs="宋体"/>
          <w:color w:val="auto"/>
          <w:szCs w:val="21"/>
        </w:rPr>
      </w:pPr>
      <w:r>
        <w:rPr>
          <w:rFonts w:hint="eastAsia" w:ascii="宋体" w:hAnsi="宋体" w:eastAsia="宋体" w:cs="宋体"/>
          <w:color w:val="auto"/>
          <w:szCs w:val="21"/>
        </w:rPr>
        <w:t>11.评审报告应当由</w:t>
      </w:r>
      <w:r>
        <w:rPr>
          <w:rFonts w:hint="eastAsia" w:ascii="宋体" w:hAnsi="宋体" w:cs="宋体"/>
          <w:color w:val="auto"/>
          <w:szCs w:val="21"/>
          <w:lang w:eastAsia="zh-CN"/>
        </w:rPr>
        <w:t>谈判</w:t>
      </w:r>
      <w:r>
        <w:rPr>
          <w:rFonts w:hint="eastAsia" w:ascii="宋体" w:hAnsi="宋体" w:eastAsia="宋体" w:cs="宋体"/>
          <w:color w:val="auto"/>
          <w:szCs w:val="21"/>
        </w:rPr>
        <w:t>小组全体人员签字认可。</w:t>
      </w:r>
      <w:r>
        <w:rPr>
          <w:rFonts w:hint="eastAsia" w:ascii="宋体" w:hAnsi="宋体" w:cs="宋体"/>
          <w:color w:val="auto"/>
          <w:szCs w:val="21"/>
          <w:lang w:eastAsia="zh-CN"/>
        </w:rPr>
        <w:t>谈判</w:t>
      </w:r>
      <w:r>
        <w:rPr>
          <w:rFonts w:hint="eastAsia" w:ascii="宋体" w:hAnsi="宋体" w:eastAsia="宋体" w:cs="宋体"/>
          <w:color w:val="auto"/>
          <w:szCs w:val="21"/>
        </w:rPr>
        <w:t>小组成员对评审报告有异议的，</w:t>
      </w:r>
      <w:r>
        <w:rPr>
          <w:rFonts w:hint="eastAsia" w:ascii="宋体" w:hAnsi="宋体" w:cs="宋体"/>
          <w:color w:val="auto"/>
          <w:szCs w:val="21"/>
          <w:lang w:eastAsia="zh-CN"/>
        </w:rPr>
        <w:t>谈判</w:t>
      </w:r>
      <w:r>
        <w:rPr>
          <w:rFonts w:hint="eastAsia" w:ascii="宋体" w:hAnsi="宋体" w:eastAsia="宋体" w:cs="宋体"/>
          <w:color w:val="auto"/>
          <w:szCs w:val="21"/>
        </w:rPr>
        <w:t>小组按照少数服从多数的原则推荐成交候选供应商，采购程序继续进行。对评审报告有异议的</w:t>
      </w:r>
      <w:r>
        <w:rPr>
          <w:rFonts w:hint="eastAsia" w:ascii="宋体" w:hAnsi="宋体" w:cs="宋体"/>
          <w:color w:val="auto"/>
          <w:szCs w:val="21"/>
          <w:lang w:eastAsia="zh-CN"/>
        </w:rPr>
        <w:t>谈判</w:t>
      </w:r>
      <w:r>
        <w:rPr>
          <w:rFonts w:hint="eastAsia" w:ascii="宋体" w:hAnsi="宋体" w:eastAsia="宋体" w:cs="宋体"/>
          <w:color w:val="auto"/>
          <w:szCs w:val="21"/>
        </w:rPr>
        <w:t>小组成员，应当在报告上签署不同意见并说明理由，由</w:t>
      </w:r>
      <w:r>
        <w:rPr>
          <w:rFonts w:hint="eastAsia" w:ascii="宋体" w:hAnsi="宋体" w:cs="宋体"/>
          <w:color w:val="auto"/>
          <w:szCs w:val="21"/>
          <w:lang w:eastAsia="zh-CN"/>
        </w:rPr>
        <w:t>谈判</w:t>
      </w:r>
      <w:r>
        <w:rPr>
          <w:rFonts w:hint="eastAsia" w:ascii="宋体" w:hAnsi="宋体" w:eastAsia="宋体" w:cs="宋体"/>
          <w:color w:val="auto"/>
          <w:szCs w:val="21"/>
        </w:rPr>
        <w:t>小组书面记录相关情况。</w:t>
      </w:r>
      <w:r>
        <w:rPr>
          <w:rFonts w:hint="eastAsia" w:ascii="宋体" w:hAnsi="宋体" w:cs="宋体"/>
          <w:color w:val="auto"/>
          <w:szCs w:val="21"/>
          <w:lang w:eastAsia="zh-CN"/>
        </w:rPr>
        <w:t>谈判</w:t>
      </w:r>
      <w:r>
        <w:rPr>
          <w:rFonts w:hint="eastAsia" w:ascii="宋体" w:hAnsi="宋体" w:eastAsia="宋体" w:cs="宋体"/>
          <w:color w:val="auto"/>
          <w:szCs w:val="21"/>
        </w:rPr>
        <w:t>小组成员拒绝在报告上签字又不书面说明其不同意见和理由的，视为同意评审报告。</w:t>
      </w:r>
    </w:p>
    <w:p w14:paraId="196CF2F1">
      <w:pPr>
        <w:keepNext w:val="0"/>
        <w:keepLines w:val="0"/>
        <w:pageBreakBefore w:val="0"/>
        <w:widowControl w:val="0"/>
        <w:kinsoku/>
        <w:wordWrap/>
        <w:overflowPunct/>
        <w:topLinePunct w:val="0"/>
        <w:autoSpaceDE/>
        <w:autoSpaceDN/>
        <w:bidi w:val="0"/>
        <w:adjustRightInd/>
        <w:spacing w:line="408" w:lineRule="auto"/>
        <w:textAlignment w:val="auto"/>
        <w:rPr>
          <w:rFonts w:hint="eastAsia" w:ascii="宋体" w:hAnsi="宋体" w:eastAsia="宋体" w:cs="宋体"/>
          <w:color w:val="auto"/>
          <w:sz w:val="30"/>
          <w:szCs w:val="30"/>
        </w:rPr>
      </w:pPr>
      <w:r>
        <w:rPr>
          <w:rFonts w:hint="eastAsia" w:ascii="宋体" w:hAnsi="宋体" w:eastAsia="宋体" w:cs="宋体"/>
          <w:color w:val="auto"/>
          <w:szCs w:val="21"/>
        </w:rPr>
        <w:t>12.</w:t>
      </w:r>
      <w:r>
        <w:rPr>
          <w:rFonts w:hint="eastAsia" w:ascii="宋体" w:hAnsi="宋体" w:cs="宋体"/>
          <w:color w:val="auto"/>
          <w:szCs w:val="21"/>
          <w:lang w:eastAsia="zh-CN"/>
        </w:rPr>
        <w:t>谈判</w:t>
      </w:r>
      <w:r>
        <w:rPr>
          <w:rFonts w:hint="eastAsia" w:ascii="宋体" w:hAnsi="宋体" w:eastAsia="宋体" w:cs="宋体"/>
          <w:color w:val="auto"/>
          <w:szCs w:val="21"/>
        </w:rPr>
        <w:t>小组对本人的评审结果负责，并在评审报告上签名确认。</w:t>
      </w:r>
      <w:bookmarkStart w:id="29" w:name="_Toc28250"/>
    </w:p>
    <w:p w14:paraId="701B8CB3">
      <w:pPr>
        <w:pStyle w:val="2"/>
        <w:spacing w:line="240" w:lineRule="auto"/>
        <w:jc w:val="center"/>
        <w:rPr>
          <w:rFonts w:hint="eastAsia" w:ascii="宋体" w:hAnsi="宋体" w:eastAsia="宋体" w:cs="宋体"/>
          <w:color w:val="auto"/>
          <w:sz w:val="30"/>
          <w:szCs w:val="30"/>
        </w:rPr>
      </w:pPr>
      <w:bookmarkStart w:id="30" w:name="_Toc9691"/>
      <w:r>
        <w:rPr>
          <w:rFonts w:hint="eastAsia" w:ascii="宋体" w:hAnsi="宋体" w:eastAsia="宋体" w:cs="宋体"/>
          <w:color w:val="auto"/>
          <w:sz w:val="30"/>
          <w:szCs w:val="30"/>
        </w:rPr>
        <w:t>第</w:t>
      </w:r>
      <w:r>
        <w:rPr>
          <w:rFonts w:hint="eastAsia" w:ascii="宋体" w:hAnsi="宋体" w:cs="宋体"/>
          <w:color w:val="auto"/>
          <w:sz w:val="30"/>
          <w:szCs w:val="30"/>
          <w:lang w:val="en-US" w:eastAsia="zh-CN"/>
        </w:rPr>
        <w:t>七</w:t>
      </w:r>
      <w:r>
        <w:rPr>
          <w:rFonts w:hint="eastAsia" w:ascii="宋体" w:hAnsi="宋体" w:eastAsia="宋体" w:cs="宋体"/>
          <w:color w:val="auto"/>
          <w:sz w:val="30"/>
          <w:szCs w:val="30"/>
        </w:rPr>
        <w:t xml:space="preserve">章  </w:t>
      </w:r>
      <w:r>
        <w:rPr>
          <w:rFonts w:hint="eastAsia" w:ascii="宋体" w:hAnsi="宋体" w:eastAsia="宋体" w:cs="宋体"/>
          <w:color w:val="auto"/>
          <w:sz w:val="30"/>
          <w:szCs w:val="30"/>
          <w:lang w:eastAsia="zh-CN"/>
        </w:rPr>
        <w:t>谈判</w:t>
      </w:r>
      <w:r>
        <w:rPr>
          <w:rFonts w:hint="eastAsia" w:ascii="宋体" w:hAnsi="宋体" w:eastAsia="宋体" w:cs="宋体"/>
          <w:color w:val="auto"/>
          <w:sz w:val="30"/>
          <w:szCs w:val="30"/>
        </w:rPr>
        <w:t>有效期</w:t>
      </w:r>
      <w:bookmarkEnd w:id="30"/>
    </w:p>
    <w:p w14:paraId="4A06CBA0">
      <w:pPr>
        <w:rPr>
          <w:rFonts w:hint="eastAsia" w:ascii="宋体" w:hAnsi="宋体" w:eastAsia="宋体" w:cs="宋体"/>
          <w:color w:val="auto"/>
          <w:szCs w:val="21"/>
        </w:rPr>
      </w:pPr>
      <w:r>
        <w:rPr>
          <w:rFonts w:hint="eastAsia" w:ascii="宋体" w:hAnsi="宋体" w:eastAsia="宋体" w:cs="宋体"/>
          <w:color w:val="auto"/>
          <w:szCs w:val="21"/>
        </w:rPr>
        <w:t>一、本项目</w:t>
      </w:r>
      <w:r>
        <w:rPr>
          <w:rFonts w:hint="eastAsia" w:ascii="宋体" w:hAnsi="宋体" w:cs="宋体"/>
          <w:color w:val="auto"/>
          <w:szCs w:val="21"/>
          <w:lang w:eastAsia="zh-CN"/>
        </w:rPr>
        <w:t>谈判</w:t>
      </w:r>
      <w:r>
        <w:rPr>
          <w:rFonts w:hint="eastAsia" w:ascii="宋体" w:hAnsi="宋体" w:eastAsia="宋体" w:cs="宋体"/>
          <w:color w:val="auto"/>
          <w:szCs w:val="21"/>
        </w:rPr>
        <w:t>有效期为</w:t>
      </w:r>
      <w:r>
        <w:rPr>
          <w:rFonts w:hint="eastAsia" w:ascii="宋体" w:hAnsi="宋体" w:eastAsia="宋体" w:cs="宋体"/>
          <w:color w:val="auto"/>
          <w:szCs w:val="21"/>
          <w:lang w:eastAsia="zh-CN"/>
        </w:rPr>
        <w:t>90</w:t>
      </w:r>
      <w:r>
        <w:rPr>
          <w:rFonts w:hint="eastAsia" w:ascii="宋体" w:hAnsi="宋体" w:eastAsia="宋体" w:cs="宋体"/>
          <w:color w:val="auto"/>
          <w:szCs w:val="21"/>
        </w:rPr>
        <w:t>天，</w:t>
      </w:r>
      <w:r>
        <w:rPr>
          <w:rFonts w:hint="eastAsia" w:ascii="宋体" w:hAnsi="宋体" w:cs="宋体"/>
          <w:color w:val="auto"/>
          <w:szCs w:val="21"/>
          <w:lang w:eastAsia="zh-CN"/>
        </w:rPr>
        <w:t>谈判</w:t>
      </w:r>
      <w:r>
        <w:rPr>
          <w:rFonts w:hint="eastAsia" w:ascii="宋体" w:hAnsi="宋体" w:eastAsia="宋体" w:cs="宋体"/>
          <w:color w:val="auto"/>
          <w:szCs w:val="21"/>
        </w:rPr>
        <w:t>保证金有效期：为</w:t>
      </w:r>
      <w:r>
        <w:rPr>
          <w:rFonts w:hint="eastAsia" w:ascii="宋体" w:hAnsi="宋体" w:cs="宋体"/>
          <w:color w:val="auto"/>
          <w:szCs w:val="21"/>
          <w:lang w:eastAsia="zh-CN"/>
        </w:rPr>
        <w:t>谈判</w:t>
      </w:r>
      <w:r>
        <w:rPr>
          <w:rFonts w:hint="eastAsia" w:ascii="宋体" w:hAnsi="宋体" w:eastAsia="宋体" w:cs="宋体"/>
          <w:color w:val="auto"/>
          <w:szCs w:val="21"/>
        </w:rPr>
        <w:t>有效期截止日后90天。</w:t>
      </w:r>
    </w:p>
    <w:p w14:paraId="5F97C9BA">
      <w:pPr>
        <w:pStyle w:val="8"/>
        <w:rPr>
          <w:rFonts w:hint="eastAsia" w:ascii="宋体" w:hAnsi="宋体" w:eastAsia="宋体" w:cs="宋体"/>
        </w:rPr>
      </w:pPr>
    </w:p>
    <w:p w14:paraId="3947B6F4">
      <w:pPr>
        <w:spacing w:line="360" w:lineRule="auto"/>
        <w:rPr>
          <w:rFonts w:hint="eastAsia" w:ascii="宋体" w:hAnsi="宋体" w:eastAsia="宋体" w:cs="宋体"/>
          <w:color w:val="auto"/>
          <w:szCs w:val="21"/>
        </w:rPr>
      </w:pPr>
    </w:p>
    <w:p w14:paraId="230DC16E">
      <w:pPr>
        <w:pStyle w:val="8"/>
        <w:rPr>
          <w:rFonts w:hint="eastAsia" w:ascii="宋体" w:hAnsi="宋体" w:eastAsia="宋体" w:cs="宋体"/>
          <w:color w:val="auto"/>
          <w:szCs w:val="21"/>
        </w:rPr>
      </w:pPr>
    </w:p>
    <w:p w14:paraId="65DD9AD5">
      <w:pPr>
        <w:rPr>
          <w:rFonts w:hint="eastAsia" w:ascii="宋体" w:hAnsi="宋体" w:eastAsia="宋体" w:cs="宋体"/>
          <w:color w:val="auto"/>
          <w:szCs w:val="21"/>
        </w:rPr>
      </w:pPr>
      <w:r>
        <w:rPr>
          <w:rFonts w:hint="eastAsia" w:ascii="宋体" w:hAnsi="宋体" w:eastAsia="宋体" w:cs="宋体"/>
          <w:color w:val="auto"/>
          <w:szCs w:val="21"/>
        </w:rPr>
        <w:br w:type="page"/>
      </w:r>
    </w:p>
    <w:p w14:paraId="4174532D">
      <w:pPr>
        <w:pStyle w:val="8"/>
        <w:rPr>
          <w:rFonts w:hint="eastAsia"/>
        </w:rPr>
      </w:pPr>
    </w:p>
    <w:bookmarkEnd w:id="29"/>
    <w:p w14:paraId="16BF4A3B">
      <w:pPr>
        <w:pStyle w:val="2"/>
        <w:bidi w:val="0"/>
        <w:rPr>
          <w:rFonts w:hint="eastAsia" w:ascii="宋体" w:hAnsi="宋体" w:eastAsia="宋体" w:cs="宋体"/>
        </w:rPr>
      </w:pPr>
      <w:bookmarkStart w:id="31" w:name="_Toc17311"/>
      <w:r>
        <w:rPr>
          <w:rFonts w:hint="eastAsia" w:ascii="宋体" w:hAnsi="宋体" w:eastAsia="宋体" w:cs="宋体"/>
        </w:rPr>
        <w:t>第</w:t>
      </w:r>
      <w:r>
        <w:rPr>
          <w:rFonts w:hint="eastAsia" w:ascii="宋体" w:hAnsi="宋体" w:cs="宋体"/>
          <w:lang w:val="en-US" w:eastAsia="zh-CN"/>
        </w:rPr>
        <w:t>八</w:t>
      </w:r>
      <w:r>
        <w:rPr>
          <w:rFonts w:hint="eastAsia" w:ascii="宋体" w:hAnsi="宋体" w:eastAsia="宋体" w:cs="宋体"/>
        </w:rPr>
        <w:t>章  响应文件格式</w:t>
      </w:r>
      <w:bookmarkEnd w:id="31"/>
    </w:p>
    <w:p w14:paraId="4F1A352E">
      <w:pPr>
        <w:spacing w:line="400" w:lineRule="exact"/>
        <w:rPr>
          <w:rFonts w:hint="eastAsia" w:ascii="宋体" w:hAnsi="宋体" w:eastAsia="宋体" w:cs="宋体"/>
          <w:b/>
          <w:color w:val="auto"/>
          <w:sz w:val="32"/>
          <w:szCs w:val="32"/>
        </w:rPr>
      </w:pPr>
      <w:r>
        <w:rPr>
          <w:rFonts w:hint="eastAsia" w:ascii="宋体" w:hAnsi="宋体" w:eastAsia="宋体" w:cs="宋体"/>
          <w:b/>
          <w:color w:val="auto"/>
          <w:sz w:val="32"/>
          <w:szCs w:val="32"/>
        </w:rPr>
        <w:t>包封袋的外封格式</w:t>
      </w:r>
    </w:p>
    <w:p w14:paraId="44CE962A">
      <w:pPr>
        <w:spacing w:line="440" w:lineRule="exact"/>
        <w:rPr>
          <w:rFonts w:hint="eastAsia" w:ascii="宋体" w:hAnsi="宋体" w:eastAsia="宋体" w:cs="宋体"/>
          <w:color w:val="auto"/>
          <w:sz w:val="36"/>
          <w:szCs w:val="36"/>
        </w:rPr>
      </w:pPr>
    </w:p>
    <w:p w14:paraId="791B6CE6">
      <w:pPr>
        <w:spacing w:line="440" w:lineRule="exact"/>
        <w:rPr>
          <w:rFonts w:hint="eastAsia" w:ascii="宋体" w:hAnsi="宋体" w:eastAsia="宋体" w:cs="宋体"/>
          <w:color w:val="auto"/>
          <w:sz w:val="36"/>
          <w:szCs w:val="36"/>
        </w:rPr>
      </w:pPr>
    </w:p>
    <w:p w14:paraId="6CBBECAF">
      <w:pPr>
        <w:rPr>
          <w:rFonts w:hint="eastAsia" w:ascii="宋体" w:hAnsi="宋体" w:eastAsia="宋体" w:cs="宋体"/>
          <w:color w:val="auto"/>
          <w:sz w:val="20"/>
          <w:szCs w:val="20"/>
        </w:rPr>
      </w:pPr>
    </w:p>
    <w:p w14:paraId="6D741845">
      <w:pPr>
        <w:rPr>
          <w:rFonts w:hint="eastAsia" w:ascii="宋体" w:hAnsi="宋体" w:eastAsia="宋体" w:cs="宋体"/>
          <w:color w:val="auto"/>
          <w:sz w:val="20"/>
          <w:szCs w:val="20"/>
        </w:rPr>
      </w:pPr>
    </w:p>
    <w:p w14:paraId="06D81E8E">
      <w:pPr>
        <w:jc w:val="center"/>
        <w:rPr>
          <w:rFonts w:hint="eastAsia" w:ascii="宋体" w:hAnsi="宋体" w:eastAsia="宋体" w:cs="宋体"/>
          <w:b/>
          <w:bCs/>
          <w:color w:val="auto"/>
          <w:sz w:val="72"/>
          <w:szCs w:val="72"/>
        </w:rPr>
      </w:pPr>
      <w:r>
        <w:rPr>
          <w:rFonts w:hint="eastAsia" w:ascii="宋体" w:hAnsi="宋体" w:cs="宋体"/>
          <w:b/>
          <w:bCs/>
          <w:color w:val="auto"/>
          <w:sz w:val="72"/>
          <w:szCs w:val="72"/>
          <w:lang w:eastAsia="zh-CN"/>
        </w:rPr>
        <w:t>竞争性谈判</w:t>
      </w:r>
      <w:r>
        <w:rPr>
          <w:rFonts w:hint="eastAsia" w:ascii="宋体" w:hAnsi="宋体" w:eastAsia="宋体" w:cs="宋体"/>
          <w:b/>
          <w:bCs/>
          <w:color w:val="auto"/>
          <w:sz w:val="72"/>
          <w:szCs w:val="72"/>
        </w:rPr>
        <w:t>响应文件</w:t>
      </w:r>
    </w:p>
    <w:p w14:paraId="2FE72380">
      <w:pPr>
        <w:jc w:val="center"/>
        <w:rPr>
          <w:rFonts w:hint="eastAsia" w:ascii="宋体" w:hAnsi="宋体" w:eastAsia="宋体" w:cs="宋体"/>
          <w:color w:val="auto"/>
          <w:sz w:val="44"/>
          <w:szCs w:val="44"/>
        </w:rPr>
      </w:pPr>
    </w:p>
    <w:p w14:paraId="20CDC967">
      <w:pPr>
        <w:jc w:val="center"/>
        <w:rPr>
          <w:rFonts w:hint="eastAsia" w:ascii="宋体" w:hAnsi="宋体" w:eastAsia="宋体" w:cs="宋体"/>
          <w:color w:val="auto"/>
          <w:sz w:val="32"/>
          <w:szCs w:val="32"/>
        </w:rPr>
      </w:pPr>
      <w:r>
        <w:rPr>
          <w:rFonts w:hint="eastAsia" w:ascii="宋体" w:hAnsi="宋体" w:eastAsia="宋体" w:cs="宋体"/>
          <w:color w:val="auto"/>
          <w:sz w:val="32"/>
          <w:szCs w:val="32"/>
        </w:rPr>
        <w:t>项 目 名 称：</w:t>
      </w:r>
      <w:r>
        <w:rPr>
          <w:rFonts w:hint="eastAsia" w:ascii="宋体" w:hAnsi="宋体" w:eastAsia="宋体" w:cs="宋体"/>
          <w:color w:val="auto"/>
          <w:sz w:val="32"/>
          <w:szCs w:val="32"/>
          <w:lang w:eastAsia="zh-CN"/>
        </w:rPr>
        <w:t>贵州钟山野马寨热电有限责任公司</w:t>
      </w:r>
      <w:r>
        <w:rPr>
          <w:rFonts w:hint="eastAsia" w:ascii="宋体" w:hAnsi="宋体" w:cs="宋体"/>
          <w:color w:val="auto"/>
          <w:sz w:val="32"/>
          <w:szCs w:val="32"/>
          <w:lang w:eastAsia="zh-CN"/>
        </w:rPr>
        <w:t>2025年第十九批次燃煤采购项目</w:t>
      </w:r>
    </w:p>
    <w:p w14:paraId="127B685A">
      <w:pPr>
        <w:rPr>
          <w:rFonts w:hint="eastAsia" w:ascii="宋体" w:hAnsi="宋体" w:eastAsia="宋体" w:cs="宋体"/>
          <w:color w:val="auto"/>
          <w:sz w:val="32"/>
          <w:szCs w:val="32"/>
        </w:rPr>
      </w:pPr>
    </w:p>
    <w:p w14:paraId="5E66062D">
      <w:pPr>
        <w:rPr>
          <w:rFonts w:hint="eastAsia" w:ascii="宋体" w:hAnsi="宋体" w:eastAsia="宋体" w:cs="宋体"/>
          <w:color w:val="auto"/>
          <w:sz w:val="32"/>
          <w:szCs w:val="32"/>
        </w:rPr>
      </w:pPr>
      <w:r>
        <w:rPr>
          <w:rFonts w:hint="eastAsia" w:ascii="宋体" w:hAnsi="宋体" w:eastAsia="宋体" w:cs="宋体"/>
          <w:color w:val="auto"/>
          <w:sz w:val="32"/>
          <w:szCs w:val="32"/>
        </w:rPr>
        <w:t xml:space="preserve">    </w:t>
      </w:r>
    </w:p>
    <w:p w14:paraId="36B50FF2">
      <w:pPr>
        <w:pStyle w:val="12"/>
        <w:rPr>
          <w:rFonts w:hint="eastAsia" w:ascii="宋体" w:hAnsi="宋体" w:eastAsia="宋体" w:cs="宋体"/>
          <w:color w:val="auto"/>
          <w:sz w:val="32"/>
          <w:szCs w:val="32"/>
        </w:rPr>
      </w:pPr>
    </w:p>
    <w:p w14:paraId="607D8CFE">
      <w:pPr>
        <w:ind w:firstLine="1205" w:firstLineChars="300"/>
        <w:rPr>
          <w:rFonts w:hint="eastAsia" w:ascii="宋体" w:hAnsi="宋体" w:eastAsia="宋体" w:cs="宋体"/>
          <w:color w:val="auto"/>
          <w:sz w:val="40"/>
          <w:szCs w:val="48"/>
        </w:rPr>
      </w:pPr>
      <w:r>
        <w:rPr>
          <w:rFonts w:hint="eastAsia" w:ascii="宋体" w:hAnsi="宋体" w:cs="宋体"/>
          <w:b/>
          <w:color w:val="FF0000"/>
          <w:sz w:val="40"/>
          <w:szCs w:val="48"/>
          <w:lang w:eastAsia="zh-CN"/>
        </w:rPr>
        <w:t>2025年</w:t>
      </w:r>
      <w:r>
        <w:rPr>
          <w:rFonts w:hint="eastAsia" w:ascii="宋体" w:hAnsi="宋体" w:cs="宋体"/>
          <w:b/>
          <w:color w:val="FF0000"/>
          <w:sz w:val="40"/>
          <w:szCs w:val="48"/>
          <w:lang w:val="en-US" w:eastAsia="zh-CN"/>
        </w:rPr>
        <w:t>9</w:t>
      </w:r>
      <w:r>
        <w:rPr>
          <w:rFonts w:hint="eastAsia" w:ascii="宋体" w:hAnsi="宋体" w:cs="宋体"/>
          <w:b/>
          <w:color w:val="FF0000"/>
          <w:sz w:val="40"/>
          <w:szCs w:val="48"/>
          <w:lang w:eastAsia="zh-CN"/>
        </w:rPr>
        <w:t>月</w:t>
      </w:r>
      <w:r>
        <w:rPr>
          <w:rFonts w:hint="eastAsia" w:ascii="宋体" w:hAnsi="宋体" w:cs="宋体"/>
          <w:b/>
          <w:color w:val="FF0000"/>
          <w:sz w:val="40"/>
          <w:szCs w:val="48"/>
          <w:lang w:val="en-US" w:eastAsia="zh-CN"/>
        </w:rPr>
        <w:t>17</w:t>
      </w:r>
      <w:r>
        <w:rPr>
          <w:rFonts w:hint="eastAsia" w:ascii="宋体" w:hAnsi="宋体" w:cs="宋体"/>
          <w:b/>
          <w:color w:val="FF0000"/>
          <w:sz w:val="40"/>
          <w:szCs w:val="48"/>
          <w:lang w:eastAsia="zh-CN"/>
        </w:rPr>
        <w:t>日10:00</w:t>
      </w:r>
      <w:r>
        <w:rPr>
          <w:rFonts w:hint="eastAsia" w:ascii="宋体" w:hAnsi="宋体" w:eastAsia="宋体" w:cs="宋体"/>
          <w:b/>
          <w:color w:val="FF0000"/>
          <w:sz w:val="40"/>
          <w:szCs w:val="48"/>
        </w:rPr>
        <w:t>分之前</w:t>
      </w:r>
      <w:r>
        <w:rPr>
          <w:rFonts w:hint="eastAsia" w:ascii="宋体" w:hAnsi="宋体" w:eastAsia="宋体" w:cs="宋体"/>
          <w:color w:val="auto"/>
          <w:sz w:val="40"/>
          <w:szCs w:val="48"/>
        </w:rPr>
        <w:t>不准启封</w:t>
      </w:r>
    </w:p>
    <w:p w14:paraId="237C51DD">
      <w:pPr>
        <w:pStyle w:val="12"/>
        <w:rPr>
          <w:rFonts w:hint="eastAsia" w:ascii="宋体" w:hAnsi="宋体" w:eastAsia="宋体" w:cs="宋体"/>
          <w:color w:val="auto"/>
          <w:sz w:val="32"/>
          <w:szCs w:val="32"/>
        </w:rPr>
      </w:pPr>
    </w:p>
    <w:p w14:paraId="29DF8032">
      <w:pPr>
        <w:rPr>
          <w:rFonts w:hint="eastAsia" w:ascii="宋体" w:hAnsi="宋体" w:eastAsia="宋体" w:cs="宋体"/>
          <w:color w:val="auto"/>
          <w:sz w:val="32"/>
          <w:szCs w:val="32"/>
        </w:rPr>
      </w:pPr>
    </w:p>
    <w:p w14:paraId="2751F75F">
      <w:pPr>
        <w:ind w:firstLine="1280" w:firstLineChars="400"/>
        <w:rPr>
          <w:rFonts w:hint="eastAsia" w:ascii="宋体" w:hAnsi="宋体" w:eastAsia="宋体" w:cs="宋体"/>
          <w:color w:val="auto"/>
          <w:sz w:val="32"/>
          <w:szCs w:val="32"/>
        </w:rPr>
      </w:pPr>
    </w:p>
    <w:p w14:paraId="3681DA2A">
      <w:pPr>
        <w:pStyle w:val="17"/>
        <w:spacing w:before="120" w:after="120"/>
        <w:ind w:firstLine="560" w:firstLineChars="200"/>
        <w:rPr>
          <w:rFonts w:hint="eastAsia" w:ascii="宋体" w:hAnsi="宋体" w:eastAsia="宋体" w:cs="宋体"/>
          <w:color w:val="auto"/>
          <w:sz w:val="28"/>
          <w:szCs w:val="28"/>
        </w:rPr>
      </w:pPr>
    </w:p>
    <w:p w14:paraId="72557BBA">
      <w:pPr>
        <w:pStyle w:val="17"/>
        <w:spacing w:before="120" w:after="120"/>
        <w:ind w:firstLine="560" w:firstLineChars="200"/>
        <w:jc w:val="left"/>
        <w:rPr>
          <w:rFonts w:hint="eastAsia" w:ascii="宋体" w:hAnsi="宋体" w:eastAsia="宋体" w:cs="宋体"/>
          <w:color w:val="auto"/>
          <w:sz w:val="28"/>
          <w:szCs w:val="28"/>
        </w:rPr>
      </w:pPr>
    </w:p>
    <w:p w14:paraId="11157AF8">
      <w:pPr>
        <w:pStyle w:val="17"/>
        <w:spacing w:before="120" w:after="120"/>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供应商：</w:t>
      </w:r>
      <w:r>
        <w:rPr>
          <w:rFonts w:hint="eastAsia" w:ascii="宋体" w:hAnsi="宋体" w:eastAsia="宋体" w:cs="宋体"/>
          <w:color w:val="auto"/>
          <w:sz w:val="28"/>
          <w:szCs w:val="28"/>
          <w:u w:val="single"/>
        </w:rPr>
        <w:t xml:space="preserve">        （供应商公章）      </w:t>
      </w:r>
    </w:p>
    <w:p w14:paraId="5CBA594B">
      <w:pPr>
        <w:pStyle w:val="17"/>
        <w:spacing w:before="120" w:after="120"/>
        <w:ind w:firstLine="560" w:firstLineChars="200"/>
        <w:rPr>
          <w:rFonts w:hint="eastAsia" w:ascii="宋体" w:hAnsi="宋体" w:eastAsia="宋体" w:cs="宋体"/>
          <w:color w:val="auto"/>
          <w:sz w:val="28"/>
          <w:szCs w:val="28"/>
        </w:rPr>
      </w:pPr>
    </w:p>
    <w:p w14:paraId="7E978268">
      <w:pPr>
        <w:pStyle w:val="17"/>
        <w:spacing w:before="120" w:after="120"/>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法定代表人或法定代表人</w:t>
      </w:r>
      <w:r>
        <w:rPr>
          <w:rFonts w:hint="eastAsia" w:ascii="宋体" w:hAnsi="宋体" w:eastAsia="宋体" w:cs="宋体"/>
          <w:color w:val="auto"/>
          <w:sz w:val="28"/>
          <w:szCs w:val="28"/>
          <w:lang w:val="en-US" w:eastAsia="zh-CN"/>
        </w:rPr>
        <w:t>授权</w:t>
      </w:r>
      <w:r>
        <w:rPr>
          <w:rFonts w:hint="eastAsia" w:ascii="宋体" w:hAnsi="宋体" w:eastAsia="宋体" w:cs="宋体"/>
          <w:color w:val="auto"/>
          <w:sz w:val="28"/>
          <w:szCs w:val="28"/>
        </w:rPr>
        <w:t>委托代理人：</w:t>
      </w:r>
      <w:r>
        <w:rPr>
          <w:rFonts w:hint="eastAsia" w:ascii="宋体" w:hAnsi="宋体" w:eastAsia="宋体" w:cs="宋体"/>
          <w:color w:val="auto"/>
          <w:sz w:val="28"/>
          <w:szCs w:val="28"/>
          <w:u w:val="single"/>
        </w:rPr>
        <w:t xml:space="preserve">   （签字或签章）        </w:t>
      </w:r>
    </w:p>
    <w:p w14:paraId="1DFB8B38">
      <w:pPr>
        <w:spacing w:before="120" w:after="120"/>
        <w:ind w:left="540"/>
        <w:rPr>
          <w:rFonts w:hint="eastAsia" w:ascii="宋体" w:hAnsi="宋体" w:eastAsia="宋体" w:cs="宋体"/>
          <w:color w:val="auto"/>
          <w:sz w:val="28"/>
          <w:szCs w:val="28"/>
        </w:rPr>
      </w:pPr>
    </w:p>
    <w:p w14:paraId="4673BA99">
      <w:pPr>
        <w:spacing w:before="120" w:after="120"/>
        <w:ind w:left="540"/>
        <w:rPr>
          <w:rFonts w:hint="eastAsia" w:ascii="宋体" w:hAnsi="宋体" w:eastAsia="宋体" w:cs="宋体"/>
          <w:color w:val="auto"/>
          <w:sz w:val="28"/>
          <w:szCs w:val="28"/>
          <w:lang w:eastAsia="zh-CN"/>
        </w:rPr>
      </w:pPr>
      <w:r>
        <w:rPr>
          <w:rFonts w:hint="eastAsia" w:ascii="宋体" w:hAnsi="宋体" w:eastAsia="宋体" w:cs="宋体"/>
          <w:color w:val="auto"/>
          <w:sz w:val="28"/>
          <w:szCs w:val="28"/>
        </w:rPr>
        <w:t>日期：</w:t>
      </w:r>
      <w:r>
        <w:rPr>
          <w:rFonts w:hint="eastAsia" w:ascii="宋体" w:hAnsi="宋体" w:eastAsia="宋体" w:cs="宋体"/>
          <w:color w:val="auto"/>
          <w:sz w:val="28"/>
          <w:szCs w:val="28"/>
          <w:lang w:eastAsia="zh-CN"/>
        </w:rPr>
        <w:t xml:space="preserve">       年     月    日</w:t>
      </w:r>
    </w:p>
    <w:p w14:paraId="62E06BB2">
      <w:pPr>
        <w:ind w:firstLine="980" w:firstLineChars="350"/>
        <w:rPr>
          <w:rFonts w:hint="eastAsia" w:ascii="宋体" w:hAnsi="宋体" w:eastAsia="宋体" w:cs="宋体"/>
          <w:color w:val="FF0000"/>
          <w:sz w:val="28"/>
          <w:szCs w:val="28"/>
        </w:rPr>
      </w:pPr>
    </w:p>
    <w:p w14:paraId="396FE6FC">
      <w:pPr>
        <w:spacing w:line="400" w:lineRule="exact"/>
        <w:jc w:val="center"/>
        <w:rPr>
          <w:rFonts w:hint="eastAsia" w:ascii="宋体" w:hAnsi="宋体" w:eastAsia="宋体" w:cs="宋体"/>
          <w:b/>
          <w:color w:val="auto"/>
          <w:sz w:val="32"/>
          <w:szCs w:val="32"/>
        </w:rPr>
      </w:pPr>
    </w:p>
    <w:p w14:paraId="60730DCB">
      <w:pPr>
        <w:spacing w:line="400" w:lineRule="exact"/>
        <w:jc w:val="center"/>
        <w:rPr>
          <w:rFonts w:hint="eastAsia" w:ascii="宋体" w:hAnsi="宋体" w:eastAsia="宋体" w:cs="宋体"/>
          <w:b/>
          <w:color w:val="auto"/>
          <w:sz w:val="28"/>
        </w:rPr>
      </w:pPr>
      <w:r>
        <w:rPr>
          <w:rFonts w:hint="eastAsia" w:ascii="宋体" w:hAnsi="宋体" w:eastAsia="宋体" w:cs="宋体"/>
          <w:b/>
          <w:color w:val="auto"/>
          <w:sz w:val="32"/>
          <w:szCs w:val="32"/>
        </w:rPr>
        <w:t>注：按照响应文件的密封格式加盖供应商单位公章</w:t>
      </w:r>
    </w:p>
    <w:p w14:paraId="0E95B120">
      <w:pPr>
        <w:jc w:val="center"/>
        <w:rPr>
          <w:rFonts w:hint="eastAsia" w:ascii="宋体" w:hAnsi="宋体" w:eastAsia="宋体" w:cs="宋体"/>
          <w:b/>
          <w:color w:val="auto"/>
          <w:sz w:val="28"/>
          <w:szCs w:val="28"/>
        </w:rPr>
      </w:pPr>
    </w:p>
    <w:p w14:paraId="2CE653A4">
      <w:pPr>
        <w:pStyle w:val="49"/>
        <w:rPr>
          <w:rFonts w:hint="eastAsia" w:ascii="宋体" w:hAnsi="宋体" w:eastAsia="宋体" w:cs="宋体"/>
          <w:b/>
          <w:color w:val="auto"/>
          <w:sz w:val="28"/>
          <w:szCs w:val="28"/>
        </w:rPr>
      </w:pPr>
    </w:p>
    <w:p w14:paraId="731FA436">
      <w:pPr>
        <w:pStyle w:val="49"/>
        <w:rPr>
          <w:rFonts w:hint="eastAsia" w:ascii="宋体" w:hAnsi="宋体" w:eastAsia="宋体" w:cs="宋体"/>
          <w:b/>
          <w:color w:val="auto"/>
          <w:sz w:val="28"/>
          <w:szCs w:val="28"/>
        </w:rPr>
      </w:pPr>
    </w:p>
    <w:p w14:paraId="6721B47E">
      <w:pPr>
        <w:pStyle w:val="49"/>
        <w:rPr>
          <w:rFonts w:hint="eastAsia" w:ascii="宋体" w:hAnsi="宋体" w:eastAsia="宋体" w:cs="宋体"/>
          <w:b/>
          <w:color w:val="auto"/>
          <w:sz w:val="28"/>
          <w:szCs w:val="28"/>
        </w:rPr>
      </w:pPr>
    </w:p>
    <w:p w14:paraId="2214941F">
      <w:pPr>
        <w:pStyle w:val="49"/>
        <w:rPr>
          <w:rFonts w:hint="eastAsia" w:ascii="宋体" w:hAnsi="宋体" w:eastAsia="宋体" w:cs="宋体"/>
          <w:b/>
          <w:color w:val="auto"/>
          <w:sz w:val="28"/>
          <w:szCs w:val="28"/>
        </w:rPr>
      </w:pPr>
    </w:p>
    <w:p w14:paraId="572D10E7">
      <w:pPr>
        <w:rPr>
          <w:rFonts w:hint="eastAsia" w:ascii="宋体" w:hAnsi="宋体" w:eastAsia="宋体" w:cs="宋体"/>
          <w:b/>
          <w:color w:val="auto"/>
          <w:sz w:val="28"/>
          <w:szCs w:val="28"/>
        </w:rPr>
      </w:pPr>
      <w:r>
        <w:rPr>
          <w:rFonts w:hint="eastAsia" w:ascii="宋体" w:hAnsi="宋体" w:eastAsia="宋体" w:cs="宋体"/>
          <w:b/>
          <w:color w:val="auto"/>
          <w:sz w:val="28"/>
          <w:szCs w:val="28"/>
        </w:rPr>
        <w:t>文件封面</w:t>
      </w:r>
    </w:p>
    <w:p w14:paraId="30C40360">
      <w:pPr>
        <w:spacing w:line="360" w:lineRule="auto"/>
        <w:jc w:val="right"/>
        <w:rPr>
          <w:rFonts w:hint="eastAsia" w:ascii="宋体" w:hAnsi="宋体" w:eastAsia="宋体" w:cs="宋体"/>
          <w:color w:val="auto"/>
          <w:sz w:val="28"/>
        </w:rPr>
      </w:pPr>
      <w:r>
        <w:rPr>
          <w:rFonts w:hint="eastAsia" w:ascii="宋体" w:hAnsi="宋体" w:eastAsia="宋体" w:cs="宋体"/>
          <w:color w:val="auto"/>
          <w:sz w:val="32"/>
        </w:rPr>
        <w:t>正本或副本</w:t>
      </w:r>
    </w:p>
    <w:p w14:paraId="7817EA52">
      <w:pPr>
        <w:ind w:firstLine="1280" w:firstLineChars="400"/>
        <w:rPr>
          <w:rFonts w:hint="eastAsia" w:ascii="宋体" w:hAnsi="宋体" w:eastAsia="宋体" w:cs="宋体"/>
          <w:color w:val="auto"/>
          <w:sz w:val="32"/>
          <w:szCs w:val="32"/>
        </w:rPr>
      </w:pPr>
    </w:p>
    <w:p w14:paraId="5D1B0B03">
      <w:pPr>
        <w:jc w:val="center"/>
        <w:rPr>
          <w:rFonts w:hint="eastAsia" w:ascii="宋体" w:hAnsi="宋体" w:eastAsia="宋体" w:cs="宋体"/>
          <w:b/>
          <w:bCs/>
          <w:color w:val="auto"/>
          <w:sz w:val="72"/>
          <w:szCs w:val="72"/>
        </w:rPr>
      </w:pPr>
    </w:p>
    <w:p w14:paraId="22E37112">
      <w:pPr>
        <w:jc w:val="center"/>
        <w:rPr>
          <w:rFonts w:hint="eastAsia" w:ascii="宋体" w:hAnsi="宋体" w:eastAsia="宋体" w:cs="宋体"/>
          <w:b/>
          <w:bCs/>
          <w:color w:val="auto"/>
          <w:sz w:val="72"/>
          <w:szCs w:val="72"/>
        </w:rPr>
      </w:pPr>
      <w:r>
        <w:rPr>
          <w:rFonts w:hint="eastAsia" w:ascii="宋体" w:hAnsi="宋体" w:cs="宋体"/>
          <w:b/>
          <w:bCs/>
          <w:color w:val="auto"/>
          <w:sz w:val="72"/>
          <w:szCs w:val="72"/>
          <w:lang w:eastAsia="zh-CN"/>
        </w:rPr>
        <w:t>竞争性谈判</w:t>
      </w:r>
      <w:r>
        <w:rPr>
          <w:rFonts w:hint="eastAsia" w:ascii="宋体" w:hAnsi="宋体" w:eastAsia="宋体" w:cs="宋体"/>
          <w:b/>
          <w:bCs/>
          <w:color w:val="auto"/>
          <w:sz w:val="72"/>
          <w:szCs w:val="72"/>
        </w:rPr>
        <w:t>响应文件</w:t>
      </w:r>
    </w:p>
    <w:p w14:paraId="5586A9E1">
      <w:pPr>
        <w:ind w:firstLine="1280" w:firstLineChars="400"/>
        <w:rPr>
          <w:rFonts w:hint="eastAsia" w:ascii="宋体" w:hAnsi="宋体" w:eastAsia="宋体" w:cs="宋体"/>
          <w:color w:val="auto"/>
          <w:sz w:val="32"/>
          <w:szCs w:val="32"/>
        </w:rPr>
      </w:pPr>
    </w:p>
    <w:p w14:paraId="618666F0">
      <w:pPr>
        <w:ind w:firstLine="1280" w:firstLineChars="400"/>
        <w:rPr>
          <w:rFonts w:hint="eastAsia" w:ascii="宋体" w:hAnsi="宋体" w:eastAsia="宋体" w:cs="宋体"/>
          <w:color w:val="auto"/>
          <w:sz w:val="32"/>
          <w:szCs w:val="32"/>
        </w:rPr>
      </w:pPr>
    </w:p>
    <w:p w14:paraId="10D22DDF">
      <w:pPr>
        <w:jc w:val="center"/>
        <w:rPr>
          <w:rFonts w:hint="eastAsia" w:ascii="宋体" w:hAnsi="宋体" w:eastAsia="宋体" w:cs="宋体"/>
          <w:color w:val="auto"/>
          <w:sz w:val="32"/>
          <w:szCs w:val="32"/>
        </w:rPr>
      </w:pPr>
      <w:r>
        <w:rPr>
          <w:rFonts w:hint="eastAsia" w:ascii="宋体" w:hAnsi="宋体" w:eastAsia="宋体" w:cs="宋体"/>
          <w:color w:val="auto"/>
          <w:sz w:val="32"/>
          <w:szCs w:val="32"/>
        </w:rPr>
        <w:t>项 目 名 称：</w:t>
      </w:r>
      <w:r>
        <w:rPr>
          <w:rFonts w:hint="eastAsia" w:ascii="宋体" w:hAnsi="宋体" w:eastAsia="宋体" w:cs="宋体"/>
          <w:color w:val="auto"/>
          <w:sz w:val="32"/>
          <w:szCs w:val="32"/>
          <w:lang w:eastAsia="zh-CN"/>
        </w:rPr>
        <w:t>贵州钟山野马寨热电有限责任公司</w:t>
      </w:r>
      <w:r>
        <w:rPr>
          <w:rFonts w:hint="eastAsia" w:ascii="宋体" w:hAnsi="宋体" w:cs="宋体"/>
          <w:color w:val="auto"/>
          <w:sz w:val="32"/>
          <w:szCs w:val="32"/>
          <w:lang w:eastAsia="zh-CN"/>
        </w:rPr>
        <w:t>2025年第十九批次燃煤采购项目</w:t>
      </w:r>
    </w:p>
    <w:p w14:paraId="67B3E7C2">
      <w:pPr>
        <w:pStyle w:val="12"/>
        <w:rPr>
          <w:rFonts w:hint="eastAsia" w:ascii="宋体" w:hAnsi="宋体" w:eastAsia="宋体" w:cs="宋体"/>
          <w:color w:val="auto"/>
          <w:sz w:val="32"/>
          <w:szCs w:val="32"/>
        </w:rPr>
      </w:pPr>
    </w:p>
    <w:p w14:paraId="1C4D8009">
      <w:pPr>
        <w:rPr>
          <w:rFonts w:hint="eastAsia"/>
        </w:rPr>
      </w:pPr>
    </w:p>
    <w:p w14:paraId="6BFCAFEF">
      <w:pPr>
        <w:rPr>
          <w:rFonts w:hint="eastAsia" w:ascii="宋体" w:hAnsi="宋体" w:eastAsia="宋体" w:cs="宋体"/>
          <w:color w:val="auto"/>
          <w:sz w:val="32"/>
          <w:szCs w:val="32"/>
        </w:rPr>
      </w:pPr>
    </w:p>
    <w:p w14:paraId="17CA07BD">
      <w:pPr>
        <w:ind w:firstLine="2880" w:firstLineChars="400"/>
        <w:rPr>
          <w:rFonts w:hint="eastAsia" w:ascii="宋体" w:hAnsi="宋体" w:eastAsia="宋体" w:cs="宋体"/>
          <w:color w:val="auto"/>
          <w:sz w:val="72"/>
        </w:rPr>
      </w:pPr>
    </w:p>
    <w:p w14:paraId="16B1B1AC">
      <w:pPr>
        <w:pStyle w:val="17"/>
        <w:spacing w:line="264" w:lineRule="auto"/>
        <w:rPr>
          <w:rFonts w:hint="eastAsia" w:ascii="宋体" w:hAnsi="宋体" w:eastAsia="宋体" w:cs="宋体"/>
          <w:color w:val="auto"/>
          <w:sz w:val="72"/>
        </w:rPr>
      </w:pPr>
    </w:p>
    <w:p w14:paraId="664D4F36">
      <w:pPr>
        <w:pStyle w:val="17"/>
        <w:spacing w:before="120" w:after="120"/>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供       应         商：</w:t>
      </w:r>
      <w:r>
        <w:rPr>
          <w:rFonts w:hint="eastAsia" w:ascii="宋体" w:hAnsi="宋体" w:eastAsia="宋体" w:cs="宋体"/>
          <w:color w:val="auto"/>
          <w:sz w:val="28"/>
          <w:szCs w:val="28"/>
          <w:u w:val="single"/>
        </w:rPr>
        <w:t xml:space="preserve">        （供应商公章）      </w:t>
      </w:r>
    </w:p>
    <w:p w14:paraId="392E1113">
      <w:pPr>
        <w:pStyle w:val="17"/>
        <w:spacing w:before="120" w:after="120"/>
        <w:ind w:firstLine="560" w:firstLineChars="200"/>
        <w:rPr>
          <w:rFonts w:hint="eastAsia" w:ascii="宋体" w:hAnsi="宋体" w:eastAsia="宋体" w:cs="宋体"/>
          <w:color w:val="auto"/>
          <w:sz w:val="28"/>
          <w:szCs w:val="28"/>
        </w:rPr>
      </w:pPr>
    </w:p>
    <w:p w14:paraId="1BCB7521">
      <w:pPr>
        <w:pStyle w:val="17"/>
        <w:spacing w:before="120" w:after="120"/>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法定代表人或法定代表人</w:t>
      </w:r>
      <w:r>
        <w:rPr>
          <w:rFonts w:hint="eastAsia" w:ascii="宋体" w:hAnsi="宋体" w:eastAsia="宋体" w:cs="宋体"/>
          <w:color w:val="auto"/>
          <w:sz w:val="28"/>
          <w:szCs w:val="28"/>
          <w:lang w:val="en-US" w:eastAsia="zh-CN"/>
        </w:rPr>
        <w:t>授权</w:t>
      </w:r>
      <w:r>
        <w:rPr>
          <w:rFonts w:hint="eastAsia" w:ascii="宋体" w:hAnsi="宋体" w:eastAsia="宋体" w:cs="宋体"/>
          <w:color w:val="auto"/>
          <w:sz w:val="28"/>
          <w:szCs w:val="28"/>
        </w:rPr>
        <w:t>委托代理人：</w:t>
      </w:r>
      <w:r>
        <w:rPr>
          <w:rFonts w:hint="eastAsia" w:ascii="宋体" w:hAnsi="宋体" w:eastAsia="宋体" w:cs="宋体"/>
          <w:color w:val="auto"/>
          <w:sz w:val="28"/>
          <w:szCs w:val="28"/>
          <w:u w:val="single"/>
        </w:rPr>
        <w:t xml:space="preserve">   （签字或签章）        </w:t>
      </w:r>
    </w:p>
    <w:p w14:paraId="28ABAB7E">
      <w:pPr>
        <w:spacing w:before="120" w:after="120"/>
        <w:ind w:left="540"/>
        <w:rPr>
          <w:rFonts w:hint="eastAsia" w:ascii="宋体" w:hAnsi="宋体" w:eastAsia="宋体" w:cs="宋体"/>
          <w:color w:val="auto"/>
          <w:sz w:val="28"/>
          <w:szCs w:val="28"/>
        </w:rPr>
      </w:pPr>
    </w:p>
    <w:p w14:paraId="116809CD">
      <w:pPr>
        <w:spacing w:before="120" w:after="120"/>
        <w:ind w:left="540"/>
        <w:rPr>
          <w:rFonts w:hint="eastAsia" w:ascii="宋体" w:hAnsi="宋体" w:eastAsia="宋体" w:cs="宋体"/>
          <w:color w:val="auto"/>
          <w:sz w:val="28"/>
          <w:szCs w:val="28"/>
          <w:lang w:eastAsia="zh-CN"/>
        </w:rPr>
      </w:pPr>
      <w:r>
        <w:rPr>
          <w:rFonts w:hint="eastAsia" w:ascii="宋体" w:hAnsi="宋体" w:eastAsia="宋体" w:cs="宋体"/>
          <w:color w:val="auto"/>
          <w:sz w:val="28"/>
          <w:szCs w:val="28"/>
        </w:rPr>
        <w:t>日 期：</w:t>
      </w:r>
      <w:r>
        <w:rPr>
          <w:rFonts w:hint="eastAsia" w:ascii="宋体" w:hAnsi="宋体" w:eastAsia="宋体" w:cs="宋体"/>
          <w:color w:val="auto"/>
          <w:sz w:val="28"/>
          <w:szCs w:val="28"/>
          <w:lang w:eastAsia="zh-CN"/>
        </w:rPr>
        <w:t xml:space="preserve">       年     月    日</w:t>
      </w:r>
    </w:p>
    <w:p w14:paraId="6B7D66B3">
      <w:pPr>
        <w:spacing w:before="120" w:after="120"/>
        <w:ind w:left="540"/>
        <w:rPr>
          <w:rFonts w:hint="eastAsia" w:ascii="宋体" w:hAnsi="宋体" w:eastAsia="宋体" w:cs="宋体"/>
          <w:b/>
          <w:color w:val="auto"/>
          <w:sz w:val="24"/>
        </w:rPr>
      </w:pPr>
    </w:p>
    <w:p w14:paraId="756FDA1D">
      <w:pPr>
        <w:spacing w:before="120" w:after="120"/>
        <w:ind w:left="540"/>
        <w:rPr>
          <w:rFonts w:hint="eastAsia" w:ascii="宋体" w:hAnsi="宋体" w:eastAsia="宋体" w:cs="宋体"/>
          <w:b/>
          <w:color w:val="auto"/>
          <w:sz w:val="24"/>
        </w:rPr>
      </w:pPr>
    </w:p>
    <w:p w14:paraId="74963DE3">
      <w:pPr>
        <w:spacing w:before="120" w:after="120"/>
        <w:ind w:left="540"/>
        <w:rPr>
          <w:rFonts w:hint="eastAsia" w:ascii="宋体" w:hAnsi="宋体" w:eastAsia="宋体" w:cs="宋体"/>
          <w:b/>
          <w:color w:val="auto"/>
          <w:sz w:val="24"/>
        </w:rPr>
      </w:pPr>
    </w:p>
    <w:p w14:paraId="2D7F408C">
      <w:pPr>
        <w:spacing w:before="120" w:after="120"/>
        <w:rPr>
          <w:rFonts w:hint="eastAsia" w:ascii="宋体" w:hAnsi="宋体" w:eastAsia="宋体" w:cs="宋体"/>
        </w:rPr>
      </w:pPr>
    </w:p>
    <w:p w14:paraId="56CAB034">
      <w:pPr>
        <w:spacing w:before="120" w:after="120"/>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目     录</w:t>
      </w:r>
    </w:p>
    <w:p w14:paraId="058AC382">
      <w:pPr>
        <w:spacing w:line="480" w:lineRule="auto"/>
        <w:rPr>
          <w:rFonts w:hint="eastAsia" w:ascii="宋体" w:hAnsi="宋体" w:eastAsia="宋体" w:cs="宋体"/>
          <w:color w:val="auto"/>
          <w:szCs w:val="21"/>
        </w:rPr>
      </w:pPr>
    </w:p>
    <w:p w14:paraId="47C95159">
      <w:pPr>
        <w:pStyle w:val="49"/>
        <w:keepNext w:val="0"/>
        <w:keepLines w:val="0"/>
        <w:pageBreakBefore w:val="0"/>
        <w:widowControl w:val="0"/>
        <w:kinsoku/>
        <w:wordWrap/>
        <w:overflowPunct/>
        <w:topLinePunct w:val="0"/>
        <w:autoSpaceDE/>
        <w:autoSpaceDN/>
        <w:bidi w:val="0"/>
        <w:adjustRightInd/>
        <w:snapToGrid/>
        <w:spacing w:line="384" w:lineRule="auto"/>
        <w:ind w:left="0" w:leftChars="0" w:firstLine="0" w:firstLineChars="0"/>
        <w:textAlignment w:val="auto"/>
        <w:rPr>
          <w:rFonts w:hint="eastAsia" w:ascii="宋体" w:hAnsi="宋体" w:eastAsia="宋体" w:cs="宋体"/>
          <w:color w:val="auto"/>
          <w:szCs w:val="21"/>
          <w:highlight w:val="none"/>
        </w:rPr>
      </w:pPr>
    </w:p>
    <w:p w14:paraId="38312309">
      <w:pPr>
        <w:pStyle w:val="49"/>
        <w:keepNext w:val="0"/>
        <w:keepLines w:val="0"/>
        <w:pageBreakBefore w:val="0"/>
        <w:widowControl w:val="0"/>
        <w:numPr>
          <w:ilvl w:val="0"/>
          <w:numId w:val="4"/>
        </w:numPr>
        <w:kinsoku/>
        <w:wordWrap/>
        <w:overflowPunct/>
        <w:topLinePunct w:val="0"/>
        <w:autoSpaceDE/>
        <w:autoSpaceDN/>
        <w:bidi w:val="0"/>
        <w:adjustRightInd/>
        <w:snapToGrid/>
        <w:spacing w:line="384" w:lineRule="auto"/>
        <w:ind w:left="425" w:leftChars="0" w:hanging="425" w:firstLineChars="0"/>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谈判</w:t>
      </w:r>
      <w:r>
        <w:rPr>
          <w:rFonts w:hint="eastAsia" w:ascii="宋体" w:hAnsi="宋体" w:eastAsia="宋体" w:cs="宋体"/>
          <w:color w:val="auto"/>
          <w:szCs w:val="21"/>
          <w:highlight w:val="none"/>
        </w:rPr>
        <w:t>函</w:t>
      </w:r>
      <w:r>
        <w:rPr>
          <w:rFonts w:hint="eastAsia" w:ascii="宋体" w:hAnsi="宋体" w:eastAsia="宋体" w:cs="宋体"/>
          <w:color w:val="auto"/>
          <w:szCs w:val="21"/>
          <w:highlight w:val="none"/>
          <w:lang w:eastAsia="zh-CN"/>
        </w:rPr>
        <w:t>；</w:t>
      </w:r>
    </w:p>
    <w:p w14:paraId="653FE4F2">
      <w:pPr>
        <w:pStyle w:val="49"/>
        <w:keepNext w:val="0"/>
        <w:keepLines w:val="0"/>
        <w:pageBreakBefore w:val="0"/>
        <w:widowControl w:val="0"/>
        <w:numPr>
          <w:ilvl w:val="0"/>
          <w:numId w:val="4"/>
        </w:numPr>
        <w:kinsoku/>
        <w:wordWrap/>
        <w:overflowPunct/>
        <w:topLinePunct w:val="0"/>
        <w:autoSpaceDE/>
        <w:autoSpaceDN/>
        <w:bidi w:val="0"/>
        <w:adjustRightInd/>
        <w:snapToGrid/>
        <w:spacing w:line="384" w:lineRule="auto"/>
        <w:ind w:left="425" w:leftChars="0" w:hanging="425" w:firstLineChars="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分项报价表；</w:t>
      </w:r>
    </w:p>
    <w:p w14:paraId="719351A2">
      <w:pPr>
        <w:pStyle w:val="49"/>
        <w:keepNext w:val="0"/>
        <w:keepLines w:val="0"/>
        <w:pageBreakBefore w:val="0"/>
        <w:widowControl w:val="0"/>
        <w:numPr>
          <w:ilvl w:val="0"/>
          <w:numId w:val="4"/>
        </w:numPr>
        <w:kinsoku/>
        <w:wordWrap/>
        <w:overflowPunct/>
        <w:topLinePunct w:val="0"/>
        <w:autoSpaceDE/>
        <w:autoSpaceDN/>
        <w:bidi w:val="0"/>
        <w:adjustRightInd/>
        <w:snapToGrid/>
        <w:spacing w:line="384" w:lineRule="auto"/>
        <w:ind w:left="425" w:leftChars="0" w:hanging="425" w:firstLineChars="0"/>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法定代表人身份证明和法人授权委托书</w:t>
      </w:r>
      <w:r>
        <w:rPr>
          <w:rFonts w:hint="eastAsia" w:ascii="宋体" w:hAnsi="宋体" w:eastAsia="宋体" w:cs="宋体"/>
          <w:color w:val="auto"/>
          <w:szCs w:val="21"/>
          <w:highlight w:val="none"/>
        </w:rPr>
        <w:t>；</w:t>
      </w:r>
    </w:p>
    <w:p w14:paraId="12884131">
      <w:pPr>
        <w:pStyle w:val="49"/>
        <w:keepNext w:val="0"/>
        <w:keepLines w:val="0"/>
        <w:pageBreakBefore w:val="0"/>
        <w:widowControl w:val="0"/>
        <w:numPr>
          <w:ilvl w:val="0"/>
          <w:numId w:val="4"/>
        </w:numPr>
        <w:kinsoku/>
        <w:wordWrap/>
        <w:overflowPunct/>
        <w:topLinePunct w:val="0"/>
        <w:autoSpaceDE/>
        <w:autoSpaceDN/>
        <w:bidi w:val="0"/>
        <w:adjustRightInd/>
        <w:snapToGrid/>
        <w:spacing w:line="384" w:lineRule="auto"/>
        <w:ind w:left="425" w:leftChars="0" w:hanging="425" w:firstLineChars="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营业执照副本</w:t>
      </w:r>
      <w:r>
        <w:rPr>
          <w:rFonts w:hint="eastAsia" w:ascii="宋体" w:hAnsi="宋体" w:cs="宋体"/>
          <w:color w:val="auto"/>
          <w:szCs w:val="21"/>
          <w:highlight w:val="none"/>
          <w:lang w:val="en-US" w:eastAsia="zh-CN"/>
        </w:rPr>
        <w:t>；</w:t>
      </w:r>
    </w:p>
    <w:p w14:paraId="26FDDAD7">
      <w:pPr>
        <w:pStyle w:val="49"/>
        <w:keepNext w:val="0"/>
        <w:keepLines w:val="0"/>
        <w:pageBreakBefore w:val="0"/>
        <w:widowControl w:val="0"/>
        <w:numPr>
          <w:ilvl w:val="0"/>
          <w:numId w:val="4"/>
        </w:numPr>
        <w:kinsoku/>
        <w:wordWrap/>
        <w:overflowPunct/>
        <w:topLinePunct w:val="0"/>
        <w:autoSpaceDE/>
        <w:autoSpaceDN/>
        <w:bidi w:val="0"/>
        <w:adjustRightInd/>
        <w:snapToGrid/>
        <w:spacing w:line="384" w:lineRule="auto"/>
        <w:ind w:left="425" w:leftChars="0" w:hanging="425" w:firstLineChars="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具备履行合同所必需的设备和专业技术能力的证明材料</w:t>
      </w:r>
      <w:r>
        <w:rPr>
          <w:rFonts w:hint="eastAsia" w:ascii="宋体" w:hAnsi="宋体" w:cs="宋体"/>
          <w:color w:val="auto"/>
          <w:szCs w:val="21"/>
          <w:highlight w:val="none"/>
          <w:lang w:val="en-US" w:eastAsia="zh-CN"/>
        </w:rPr>
        <w:t>；</w:t>
      </w:r>
    </w:p>
    <w:p w14:paraId="57B77713">
      <w:pPr>
        <w:pStyle w:val="49"/>
        <w:keepNext w:val="0"/>
        <w:keepLines w:val="0"/>
        <w:pageBreakBefore w:val="0"/>
        <w:widowControl w:val="0"/>
        <w:numPr>
          <w:ilvl w:val="0"/>
          <w:numId w:val="4"/>
        </w:numPr>
        <w:kinsoku/>
        <w:wordWrap/>
        <w:overflowPunct/>
        <w:topLinePunct w:val="0"/>
        <w:autoSpaceDE/>
        <w:autoSpaceDN/>
        <w:bidi w:val="0"/>
        <w:adjustRightInd/>
        <w:snapToGrid/>
        <w:spacing w:line="384" w:lineRule="auto"/>
        <w:ind w:left="425" w:leftChars="0" w:hanging="425" w:firstLineChars="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参加</w:t>
      </w:r>
      <w:r>
        <w:rPr>
          <w:rFonts w:hint="eastAsia" w:ascii="宋体" w:hAnsi="宋体" w:cs="宋体"/>
          <w:color w:val="auto"/>
          <w:szCs w:val="21"/>
          <w:highlight w:val="none"/>
          <w:lang w:val="en-US" w:eastAsia="zh-CN"/>
        </w:rPr>
        <w:t>政府采购活动</w:t>
      </w:r>
      <w:r>
        <w:rPr>
          <w:rFonts w:hint="eastAsia" w:ascii="宋体" w:hAnsi="宋体" w:eastAsia="宋体" w:cs="宋体"/>
          <w:color w:val="auto"/>
          <w:szCs w:val="21"/>
          <w:highlight w:val="none"/>
          <w:lang w:val="en-US" w:eastAsia="zh-CN"/>
        </w:rPr>
        <w:t>前3年内在经营活动中没有重大违法记录书面声明</w:t>
      </w:r>
      <w:r>
        <w:rPr>
          <w:rFonts w:hint="eastAsia" w:ascii="宋体" w:hAnsi="宋体" w:cs="宋体"/>
          <w:color w:val="auto"/>
          <w:szCs w:val="21"/>
          <w:highlight w:val="none"/>
          <w:lang w:val="en-US" w:eastAsia="zh-CN"/>
        </w:rPr>
        <w:t>；</w:t>
      </w:r>
    </w:p>
    <w:p w14:paraId="685085C4">
      <w:pPr>
        <w:pStyle w:val="49"/>
        <w:keepNext w:val="0"/>
        <w:keepLines w:val="0"/>
        <w:pageBreakBefore w:val="0"/>
        <w:widowControl w:val="0"/>
        <w:numPr>
          <w:ilvl w:val="0"/>
          <w:numId w:val="4"/>
        </w:numPr>
        <w:kinsoku/>
        <w:wordWrap/>
        <w:overflowPunct/>
        <w:topLinePunct w:val="0"/>
        <w:autoSpaceDE/>
        <w:autoSpaceDN/>
        <w:bidi w:val="0"/>
        <w:adjustRightInd/>
        <w:snapToGrid/>
        <w:spacing w:line="384" w:lineRule="auto"/>
        <w:ind w:left="425" w:leftChars="0" w:hanging="425" w:firstLineChars="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特殊资格要求证明材料</w:t>
      </w:r>
      <w:r>
        <w:rPr>
          <w:rFonts w:hint="eastAsia" w:ascii="宋体" w:hAnsi="宋体" w:cs="宋体"/>
          <w:color w:val="auto"/>
          <w:szCs w:val="21"/>
          <w:highlight w:val="none"/>
          <w:lang w:val="en-US" w:eastAsia="zh-CN"/>
        </w:rPr>
        <w:t>；</w:t>
      </w:r>
    </w:p>
    <w:p w14:paraId="5095F2D9">
      <w:pPr>
        <w:pStyle w:val="49"/>
        <w:keepNext w:val="0"/>
        <w:keepLines w:val="0"/>
        <w:pageBreakBefore w:val="0"/>
        <w:widowControl w:val="0"/>
        <w:numPr>
          <w:ilvl w:val="0"/>
          <w:numId w:val="4"/>
        </w:numPr>
        <w:kinsoku/>
        <w:wordWrap/>
        <w:overflowPunct/>
        <w:topLinePunct w:val="0"/>
        <w:autoSpaceDE/>
        <w:autoSpaceDN/>
        <w:bidi w:val="0"/>
        <w:adjustRightInd/>
        <w:snapToGrid/>
        <w:spacing w:line="384" w:lineRule="auto"/>
        <w:ind w:left="425" w:leftChars="0" w:hanging="425" w:firstLineChars="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增值税一般纳税人资格登记表</w:t>
      </w:r>
    </w:p>
    <w:p w14:paraId="78DCC05F">
      <w:pPr>
        <w:pStyle w:val="49"/>
        <w:keepNext w:val="0"/>
        <w:keepLines w:val="0"/>
        <w:pageBreakBefore w:val="0"/>
        <w:widowControl w:val="0"/>
        <w:numPr>
          <w:ilvl w:val="0"/>
          <w:numId w:val="4"/>
        </w:numPr>
        <w:kinsoku/>
        <w:wordWrap/>
        <w:overflowPunct/>
        <w:topLinePunct w:val="0"/>
        <w:autoSpaceDE/>
        <w:autoSpaceDN/>
        <w:bidi w:val="0"/>
        <w:adjustRightInd/>
        <w:snapToGrid/>
        <w:spacing w:line="384" w:lineRule="auto"/>
        <w:ind w:left="425" w:leftChars="0" w:hanging="425"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技术要求偏离表</w:t>
      </w:r>
      <w:r>
        <w:rPr>
          <w:rFonts w:hint="eastAsia" w:ascii="宋体" w:hAnsi="宋体" w:eastAsia="宋体" w:cs="宋体"/>
          <w:color w:val="auto"/>
          <w:szCs w:val="21"/>
          <w:highlight w:val="none"/>
        </w:rPr>
        <w:t>；</w:t>
      </w:r>
    </w:p>
    <w:p w14:paraId="7E2C2328">
      <w:pPr>
        <w:pStyle w:val="49"/>
        <w:keepNext w:val="0"/>
        <w:keepLines w:val="0"/>
        <w:pageBreakBefore w:val="0"/>
        <w:widowControl w:val="0"/>
        <w:numPr>
          <w:ilvl w:val="0"/>
          <w:numId w:val="4"/>
        </w:numPr>
        <w:kinsoku/>
        <w:wordWrap/>
        <w:overflowPunct/>
        <w:topLinePunct w:val="0"/>
        <w:autoSpaceDE/>
        <w:autoSpaceDN/>
        <w:bidi w:val="0"/>
        <w:adjustRightInd/>
        <w:snapToGrid/>
        <w:spacing w:line="384" w:lineRule="auto"/>
        <w:ind w:left="425" w:leftChars="0" w:hanging="425"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供应商承诺；</w:t>
      </w:r>
    </w:p>
    <w:p w14:paraId="7801E020">
      <w:pPr>
        <w:pStyle w:val="49"/>
        <w:keepNext w:val="0"/>
        <w:keepLines w:val="0"/>
        <w:pageBreakBefore w:val="0"/>
        <w:widowControl w:val="0"/>
        <w:numPr>
          <w:ilvl w:val="0"/>
          <w:numId w:val="4"/>
        </w:numPr>
        <w:kinsoku/>
        <w:wordWrap/>
        <w:overflowPunct/>
        <w:topLinePunct w:val="0"/>
        <w:autoSpaceDE/>
        <w:autoSpaceDN/>
        <w:bidi w:val="0"/>
        <w:adjustRightInd/>
        <w:snapToGrid/>
        <w:spacing w:line="384" w:lineRule="auto"/>
        <w:ind w:left="425" w:leftChars="0" w:hanging="425" w:firstLineChars="0"/>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谈判保证金缴纳回执；</w:t>
      </w:r>
    </w:p>
    <w:p w14:paraId="6AF393A4">
      <w:pPr>
        <w:pStyle w:val="49"/>
        <w:keepNext w:val="0"/>
        <w:keepLines w:val="0"/>
        <w:pageBreakBefore w:val="0"/>
        <w:widowControl w:val="0"/>
        <w:numPr>
          <w:ilvl w:val="0"/>
          <w:numId w:val="4"/>
        </w:numPr>
        <w:kinsoku/>
        <w:wordWrap/>
        <w:overflowPunct/>
        <w:topLinePunct w:val="0"/>
        <w:autoSpaceDE/>
        <w:autoSpaceDN/>
        <w:bidi w:val="0"/>
        <w:adjustRightInd/>
        <w:snapToGrid/>
        <w:spacing w:line="384" w:lineRule="auto"/>
        <w:ind w:left="425" w:leftChars="0" w:hanging="425" w:firstLineChars="0"/>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履约保证金或同等价值燃煤说明。</w:t>
      </w:r>
    </w:p>
    <w:p w14:paraId="789D17A5">
      <w:pPr>
        <w:pStyle w:val="12"/>
        <w:rPr>
          <w:rFonts w:hint="eastAsia" w:ascii="宋体" w:hAnsi="宋体" w:eastAsia="宋体" w:cs="宋体"/>
          <w:color w:val="auto"/>
          <w:szCs w:val="21"/>
        </w:rPr>
      </w:pPr>
    </w:p>
    <w:p w14:paraId="3DCDD18D">
      <w:pPr>
        <w:pStyle w:val="12"/>
        <w:rPr>
          <w:rFonts w:hint="eastAsia" w:ascii="宋体" w:hAnsi="宋体" w:eastAsia="宋体" w:cs="宋体"/>
          <w:b/>
          <w:color w:val="auto"/>
          <w:sz w:val="32"/>
          <w:szCs w:val="32"/>
        </w:rPr>
      </w:pPr>
    </w:p>
    <w:p w14:paraId="10159A40">
      <w:pPr>
        <w:pStyle w:val="12"/>
        <w:rPr>
          <w:rFonts w:hint="eastAsia" w:ascii="宋体" w:hAnsi="宋体" w:eastAsia="宋体" w:cs="宋体"/>
          <w:b/>
          <w:color w:val="auto"/>
          <w:sz w:val="32"/>
          <w:szCs w:val="32"/>
        </w:rPr>
      </w:pPr>
    </w:p>
    <w:p w14:paraId="0FB0C57C">
      <w:pPr>
        <w:pStyle w:val="12"/>
        <w:rPr>
          <w:rFonts w:hint="eastAsia" w:ascii="宋体" w:hAnsi="宋体" w:eastAsia="宋体" w:cs="宋体"/>
          <w:b/>
          <w:color w:val="auto"/>
          <w:sz w:val="32"/>
          <w:szCs w:val="32"/>
        </w:rPr>
      </w:pPr>
    </w:p>
    <w:p w14:paraId="0D4A0F9E">
      <w:pPr>
        <w:pStyle w:val="12"/>
        <w:rPr>
          <w:rFonts w:hint="eastAsia" w:ascii="宋体" w:hAnsi="宋体" w:eastAsia="宋体" w:cs="宋体"/>
          <w:b/>
          <w:color w:val="auto"/>
          <w:sz w:val="32"/>
          <w:szCs w:val="32"/>
        </w:rPr>
      </w:pPr>
    </w:p>
    <w:p w14:paraId="1DDC98D5">
      <w:pPr>
        <w:pStyle w:val="50"/>
        <w:rPr>
          <w:rFonts w:hint="eastAsia" w:ascii="宋体" w:hAnsi="宋体" w:eastAsia="宋体" w:cs="宋体"/>
          <w:b/>
          <w:color w:val="auto"/>
          <w:sz w:val="32"/>
          <w:szCs w:val="32"/>
        </w:rPr>
      </w:pPr>
    </w:p>
    <w:p w14:paraId="2CD6D310">
      <w:pPr>
        <w:pStyle w:val="50"/>
        <w:rPr>
          <w:rFonts w:hint="eastAsia" w:ascii="宋体" w:hAnsi="宋体" w:eastAsia="宋体" w:cs="宋体"/>
          <w:b/>
          <w:color w:val="auto"/>
          <w:sz w:val="32"/>
          <w:szCs w:val="32"/>
        </w:rPr>
      </w:pPr>
    </w:p>
    <w:p w14:paraId="10279471">
      <w:pPr>
        <w:pStyle w:val="50"/>
        <w:rPr>
          <w:rFonts w:hint="eastAsia" w:ascii="宋体" w:hAnsi="宋体" w:eastAsia="宋体" w:cs="宋体"/>
          <w:b/>
          <w:color w:val="auto"/>
          <w:sz w:val="32"/>
          <w:szCs w:val="32"/>
        </w:rPr>
      </w:pPr>
    </w:p>
    <w:p w14:paraId="70C84540">
      <w:pPr>
        <w:pStyle w:val="50"/>
        <w:rPr>
          <w:rFonts w:hint="eastAsia" w:ascii="宋体" w:hAnsi="宋体" w:eastAsia="宋体" w:cs="宋体"/>
          <w:b/>
          <w:color w:val="auto"/>
          <w:sz w:val="32"/>
          <w:szCs w:val="32"/>
        </w:rPr>
      </w:pPr>
    </w:p>
    <w:p w14:paraId="260C0A04">
      <w:pPr>
        <w:pStyle w:val="50"/>
        <w:rPr>
          <w:rFonts w:hint="eastAsia" w:ascii="宋体" w:hAnsi="宋体" w:eastAsia="宋体" w:cs="宋体"/>
          <w:b/>
          <w:color w:val="auto"/>
          <w:sz w:val="32"/>
          <w:szCs w:val="32"/>
        </w:rPr>
      </w:pPr>
    </w:p>
    <w:p w14:paraId="1B582A9E">
      <w:pPr>
        <w:pStyle w:val="33"/>
        <w:rPr>
          <w:rFonts w:hint="eastAsia" w:ascii="宋体" w:hAnsi="宋体" w:eastAsia="宋体" w:cs="宋体"/>
        </w:rPr>
      </w:pPr>
    </w:p>
    <w:p w14:paraId="0E4F028A">
      <w:pPr>
        <w:jc w:val="both"/>
        <w:rPr>
          <w:rFonts w:hint="eastAsia" w:ascii="宋体" w:hAnsi="宋体" w:eastAsia="宋体" w:cs="宋体"/>
          <w:b/>
          <w:sz w:val="32"/>
          <w:szCs w:val="32"/>
          <w:lang w:val="en-US" w:eastAsia="zh-CN"/>
        </w:rPr>
      </w:pPr>
    </w:p>
    <w:p w14:paraId="13C64579">
      <w:pPr>
        <w:jc w:val="both"/>
        <w:rPr>
          <w:rFonts w:hint="eastAsia" w:ascii="宋体" w:hAnsi="宋体" w:eastAsia="宋体" w:cs="宋体"/>
          <w:b/>
          <w:sz w:val="32"/>
          <w:szCs w:val="32"/>
          <w:lang w:val="en-US" w:eastAsia="zh-CN"/>
        </w:rPr>
      </w:pPr>
    </w:p>
    <w:p w14:paraId="283CBC97">
      <w:pPr>
        <w:jc w:val="both"/>
        <w:rPr>
          <w:rFonts w:hint="eastAsia" w:ascii="宋体" w:hAnsi="宋体" w:eastAsia="宋体" w:cs="宋体"/>
          <w:b/>
          <w:sz w:val="32"/>
          <w:szCs w:val="32"/>
          <w:lang w:val="en-US" w:eastAsia="zh-CN"/>
        </w:rPr>
      </w:pPr>
    </w:p>
    <w:p w14:paraId="106FB3E8">
      <w:pPr>
        <w:jc w:val="both"/>
        <w:rPr>
          <w:rFonts w:hint="eastAsia" w:ascii="宋体" w:hAnsi="宋体" w:eastAsia="宋体" w:cs="宋体"/>
          <w:b/>
          <w:sz w:val="32"/>
          <w:szCs w:val="32"/>
          <w:lang w:val="en-US" w:eastAsia="zh-CN"/>
        </w:rPr>
      </w:pPr>
    </w:p>
    <w:p w14:paraId="1EE57A4C">
      <w:pPr>
        <w:jc w:val="both"/>
        <w:rPr>
          <w:rFonts w:hint="eastAsia" w:ascii="宋体" w:hAnsi="宋体" w:eastAsia="宋体" w:cs="宋体"/>
          <w:b/>
          <w:sz w:val="32"/>
          <w:szCs w:val="32"/>
          <w:lang w:val="en-US" w:eastAsia="zh-CN"/>
        </w:rPr>
      </w:pPr>
    </w:p>
    <w:p w14:paraId="0C426F56">
      <w:pPr>
        <w:jc w:val="center"/>
        <w:rPr>
          <w:rFonts w:hint="eastAsia" w:ascii="宋体" w:hAnsi="宋体" w:cs="宋体"/>
          <w:b/>
          <w:bCs/>
          <w:sz w:val="24"/>
          <w:u w:val="single"/>
          <w:lang w:val="en-US" w:eastAsia="zh-CN"/>
        </w:rPr>
      </w:pPr>
      <w:r>
        <w:rPr>
          <w:rFonts w:hint="eastAsia" w:ascii="宋体" w:hAnsi="宋体" w:eastAsia="宋体" w:cs="宋体"/>
          <w:b/>
          <w:sz w:val="32"/>
          <w:szCs w:val="32"/>
          <w:lang w:val="en-US" w:eastAsia="zh-CN"/>
        </w:rPr>
        <w:t>一</w:t>
      </w:r>
      <w:r>
        <w:rPr>
          <w:rFonts w:hint="eastAsia" w:ascii="宋体" w:hAnsi="宋体" w:eastAsia="宋体" w:cs="宋体"/>
          <w:b/>
          <w:bCs/>
          <w:sz w:val="32"/>
          <w:szCs w:val="32"/>
        </w:rPr>
        <w:t>、</w:t>
      </w:r>
      <w:r>
        <w:rPr>
          <w:rFonts w:hint="eastAsia" w:ascii="宋体" w:hAnsi="宋体" w:cs="宋体"/>
          <w:b/>
          <w:bCs/>
          <w:sz w:val="32"/>
          <w:szCs w:val="32"/>
          <w:lang w:eastAsia="zh-CN"/>
        </w:rPr>
        <w:t>谈判</w:t>
      </w:r>
      <w:r>
        <w:rPr>
          <w:rFonts w:hint="eastAsia" w:ascii="宋体" w:hAnsi="宋体" w:eastAsia="宋体" w:cs="宋体"/>
          <w:b/>
          <w:bCs/>
          <w:sz w:val="32"/>
          <w:szCs w:val="32"/>
        </w:rPr>
        <w:t>函</w:t>
      </w:r>
    </w:p>
    <w:p w14:paraId="44EB33BB">
      <w:pPr>
        <w:keepNext w:val="0"/>
        <w:keepLines w:val="0"/>
        <w:pageBreakBefore w:val="0"/>
        <w:widowControl w:val="0"/>
        <w:kinsoku/>
        <w:wordWrap/>
        <w:overflowPunct/>
        <w:topLinePunct w:val="0"/>
        <w:autoSpaceDE/>
        <w:autoSpaceDN/>
        <w:bidi w:val="0"/>
        <w:adjustRightInd/>
        <w:spacing w:line="360" w:lineRule="auto"/>
        <w:jc w:val="both"/>
        <w:textAlignment w:val="auto"/>
        <w:rPr>
          <w:rFonts w:hint="eastAsia" w:ascii="宋体" w:hAnsi="宋体" w:eastAsia="宋体" w:cs="宋体"/>
          <w:b/>
          <w:bCs/>
          <w:sz w:val="24"/>
          <w:u w:val="single"/>
        </w:rPr>
      </w:pPr>
      <w:r>
        <w:rPr>
          <w:rFonts w:hint="eastAsia" w:ascii="宋体" w:hAnsi="宋体" w:cs="宋体"/>
          <w:b/>
          <w:bCs/>
          <w:sz w:val="24"/>
          <w:u w:val="single"/>
          <w:lang w:val="en-US" w:eastAsia="zh-CN"/>
        </w:rPr>
        <w:t>贵州钟山野马寨热电有限责任公司</w:t>
      </w:r>
      <w:r>
        <w:rPr>
          <w:rFonts w:hint="eastAsia" w:ascii="宋体" w:hAnsi="宋体" w:eastAsia="宋体" w:cs="宋体"/>
          <w:b/>
          <w:bCs/>
          <w:sz w:val="24"/>
        </w:rPr>
        <w:t>：</w:t>
      </w:r>
    </w:p>
    <w:p w14:paraId="7E5287F2">
      <w:pPr>
        <w:keepNext w:val="0"/>
        <w:keepLines w:val="0"/>
        <w:pageBreakBefore w:val="0"/>
        <w:widowControl w:val="0"/>
        <w:kinsoku/>
        <w:wordWrap/>
        <w:overflowPunct/>
        <w:topLinePunct w:val="0"/>
        <w:autoSpaceDE/>
        <w:autoSpaceDN/>
        <w:bidi w:val="0"/>
        <w:adjustRightInd/>
        <w:spacing w:line="360" w:lineRule="auto"/>
        <w:ind w:firstLine="480" w:firstLineChars="200"/>
        <w:jc w:val="both"/>
        <w:textAlignment w:val="auto"/>
        <w:rPr>
          <w:rFonts w:hint="eastAsia" w:ascii="宋体" w:hAnsi="宋体" w:eastAsia="宋体" w:cs="宋体"/>
          <w:sz w:val="24"/>
          <w:lang w:eastAsia="zh-CN"/>
        </w:rPr>
      </w:pPr>
      <w:r>
        <w:rPr>
          <w:rFonts w:hint="eastAsia" w:ascii="宋体" w:hAnsi="宋体" w:eastAsia="宋体" w:cs="宋体"/>
          <w:sz w:val="24"/>
        </w:rPr>
        <w:t>根据贵方</w:t>
      </w:r>
      <w:r>
        <w:rPr>
          <w:rFonts w:hint="eastAsia" w:ascii="宋体" w:hAnsi="宋体" w:eastAsia="宋体" w:cs="宋体"/>
          <w:sz w:val="24"/>
          <w:u w:val="single"/>
          <w:lang w:val="en-US" w:eastAsia="zh-CN"/>
        </w:rPr>
        <w:t xml:space="preserve"> </w:t>
      </w:r>
      <w:r>
        <w:rPr>
          <w:rFonts w:hint="eastAsia" w:ascii="宋体" w:hAnsi="宋体" w:cs="宋体"/>
          <w:sz w:val="24"/>
          <w:u w:val="single"/>
          <w:lang w:val="en-US" w:eastAsia="zh-CN"/>
        </w:rPr>
        <w:t>2025年第十九批次燃煤采购</w:t>
      </w:r>
      <w:r>
        <w:rPr>
          <w:rFonts w:hint="eastAsia" w:ascii="宋体" w:hAnsi="宋体" w:eastAsia="宋体" w:cs="宋体"/>
          <w:sz w:val="24"/>
          <w:u w:val="single"/>
          <w:lang w:val="en-US" w:eastAsia="zh-CN"/>
        </w:rPr>
        <w:t xml:space="preserve"> </w:t>
      </w:r>
      <w:r>
        <w:rPr>
          <w:rFonts w:hint="eastAsia" w:ascii="宋体" w:hAnsi="宋体" w:eastAsia="宋体" w:cs="宋体"/>
          <w:sz w:val="24"/>
        </w:rPr>
        <w:t>项目采购</w:t>
      </w:r>
      <w:r>
        <w:rPr>
          <w:rFonts w:hint="eastAsia" w:ascii="宋体" w:hAnsi="宋体" w:eastAsia="宋体" w:cs="宋体"/>
          <w:sz w:val="24"/>
          <w:lang w:eastAsia="zh-CN"/>
        </w:rPr>
        <w:t>服务</w:t>
      </w:r>
      <w:r>
        <w:rPr>
          <w:rFonts w:hint="eastAsia" w:ascii="宋体" w:hAnsi="宋体" w:eastAsia="宋体" w:cs="宋体"/>
          <w:sz w:val="24"/>
        </w:rPr>
        <w:t>的</w:t>
      </w:r>
      <w:r>
        <w:rPr>
          <w:rFonts w:hint="eastAsia" w:ascii="宋体" w:hAnsi="宋体" w:cs="宋体"/>
          <w:sz w:val="24"/>
          <w:lang w:eastAsia="zh-CN"/>
        </w:rPr>
        <w:t>采购</w:t>
      </w:r>
      <w:r>
        <w:rPr>
          <w:rFonts w:hint="eastAsia" w:ascii="宋体" w:hAnsi="宋体" w:cs="宋体"/>
          <w:sz w:val="24"/>
          <w:lang w:val="en-US" w:eastAsia="zh-CN"/>
        </w:rPr>
        <w:t>通知</w:t>
      </w:r>
      <w:r>
        <w:rPr>
          <w:rFonts w:hint="eastAsia" w:ascii="宋体" w:hAnsi="宋体" w:eastAsia="宋体" w:cs="宋体"/>
          <w:sz w:val="24"/>
        </w:rPr>
        <w:t>，</w:t>
      </w:r>
      <w:r>
        <w:rPr>
          <w:rFonts w:hint="eastAsia" w:ascii="宋体" w:hAnsi="宋体" w:cs="宋体"/>
          <w:sz w:val="24"/>
          <w:lang w:val="en-US" w:eastAsia="zh-CN"/>
        </w:rPr>
        <w:t>我方</w:t>
      </w:r>
      <w:r>
        <w:rPr>
          <w:rFonts w:hint="eastAsia" w:ascii="宋体" w:hAnsi="宋体" w:eastAsia="宋体" w:cs="宋体"/>
          <w:sz w:val="24"/>
          <w:lang w:eastAsia="zh-CN"/>
        </w:rPr>
        <w:t>法定代表人</w:t>
      </w:r>
      <w:r>
        <w:rPr>
          <w:rFonts w:hint="eastAsia" w:ascii="宋体" w:hAnsi="宋体" w:eastAsia="宋体" w:cs="宋体"/>
          <w:sz w:val="24"/>
        </w:rPr>
        <w:t>或</w:t>
      </w:r>
      <w:r>
        <w:rPr>
          <w:rFonts w:hint="eastAsia" w:ascii="宋体" w:hAnsi="宋体" w:eastAsia="宋体" w:cs="宋体"/>
          <w:sz w:val="24"/>
          <w:lang w:eastAsia="zh-CN"/>
        </w:rPr>
        <w:t>法定代表人</w:t>
      </w:r>
      <w:r>
        <w:rPr>
          <w:rFonts w:hint="eastAsia" w:ascii="宋体" w:hAnsi="宋体" w:eastAsia="宋体" w:cs="宋体"/>
          <w:sz w:val="24"/>
        </w:rPr>
        <w:t>授权委托代理人提交响应文件正本一份和副本</w:t>
      </w:r>
      <w:r>
        <w:rPr>
          <w:rFonts w:hint="eastAsia" w:ascii="宋体" w:hAnsi="宋体" w:cs="宋体"/>
          <w:sz w:val="24"/>
          <w:lang w:val="en-US" w:eastAsia="zh-CN"/>
        </w:rPr>
        <w:t>一</w:t>
      </w:r>
      <w:r>
        <w:rPr>
          <w:rFonts w:hint="eastAsia" w:ascii="宋体" w:hAnsi="宋体" w:eastAsia="宋体" w:cs="宋体"/>
          <w:sz w:val="24"/>
        </w:rPr>
        <w:t>份</w:t>
      </w:r>
      <w:r>
        <w:rPr>
          <w:rFonts w:hint="eastAsia" w:ascii="宋体" w:hAnsi="宋体" w:cs="宋体"/>
          <w:sz w:val="24"/>
          <w:lang w:eastAsia="zh-CN"/>
        </w:rPr>
        <w:t>：</w:t>
      </w:r>
    </w:p>
    <w:p w14:paraId="2DB6716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105" w:rightChars="-50" w:firstLine="480" w:firstLineChars="200"/>
        <w:jc w:val="both"/>
        <w:textAlignment w:val="auto"/>
        <w:rPr>
          <w:rFonts w:hint="eastAsia" w:ascii="宋体" w:hAnsi="宋体" w:eastAsia="宋体" w:cs="宋体"/>
          <w:sz w:val="24"/>
          <w:highlight w:val="none"/>
        </w:rPr>
      </w:pPr>
      <w:r>
        <w:rPr>
          <w:rFonts w:hint="eastAsia" w:ascii="宋体" w:hAnsi="宋体" w:cs="宋体"/>
          <w:sz w:val="24"/>
          <w:lang w:val="en-US" w:eastAsia="zh-CN"/>
        </w:rPr>
        <w:t>1、</w:t>
      </w:r>
      <w:r>
        <w:rPr>
          <w:rFonts w:hint="eastAsia" w:ascii="宋体" w:hAnsi="宋体" w:eastAsia="宋体" w:cs="宋体"/>
          <w:sz w:val="24"/>
        </w:rPr>
        <w:t>愿按照</w:t>
      </w:r>
      <w:r>
        <w:rPr>
          <w:rFonts w:hint="eastAsia" w:ascii="宋体" w:hAnsi="宋体" w:cs="宋体"/>
          <w:sz w:val="24"/>
          <w:lang w:eastAsia="zh-CN"/>
        </w:rPr>
        <w:t>竞争性谈判</w:t>
      </w:r>
      <w:r>
        <w:rPr>
          <w:rFonts w:hint="eastAsia" w:ascii="宋体" w:hAnsi="宋体" w:eastAsia="宋体" w:cs="宋体"/>
          <w:sz w:val="24"/>
        </w:rPr>
        <w:t>文件中的供应商须知、合同条款、技术条件、</w:t>
      </w:r>
      <w:r>
        <w:rPr>
          <w:rFonts w:hint="eastAsia" w:ascii="宋体" w:hAnsi="宋体" w:eastAsia="宋体" w:cs="宋体"/>
          <w:sz w:val="24"/>
          <w:lang w:eastAsia="zh-CN"/>
        </w:rPr>
        <w:t>服务期</w:t>
      </w:r>
      <w:r>
        <w:rPr>
          <w:rFonts w:hint="eastAsia" w:ascii="宋体" w:hAnsi="宋体" w:eastAsia="宋体" w:cs="宋体"/>
          <w:sz w:val="24"/>
        </w:rPr>
        <w:t>等要求提供所需采购</w:t>
      </w:r>
      <w:r>
        <w:rPr>
          <w:rFonts w:hint="eastAsia" w:ascii="宋体" w:hAnsi="宋体" w:eastAsia="宋体" w:cs="宋体"/>
          <w:sz w:val="24"/>
          <w:lang w:val="en-US" w:eastAsia="zh-CN"/>
        </w:rPr>
        <w:t>服务</w:t>
      </w:r>
      <w:r>
        <w:rPr>
          <w:rFonts w:hint="eastAsia" w:ascii="宋体" w:hAnsi="宋体" w:eastAsia="宋体" w:cs="宋体"/>
          <w:sz w:val="24"/>
        </w:rPr>
        <w:t>，</w:t>
      </w:r>
      <w:r>
        <w:rPr>
          <w:rFonts w:hint="eastAsia" w:ascii="宋体" w:hAnsi="宋体" w:eastAsia="宋体" w:cs="宋体"/>
          <w:b/>
          <w:bCs/>
          <w:sz w:val="24"/>
          <w:highlight w:val="none"/>
          <w:u w:val="single"/>
          <w:lang w:val="en-US" w:eastAsia="zh-CN"/>
        </w:rPr>
        <w:t>热值</w:t>
      </w:r>
      <w:r>
        <w:rPr>
          <w:rFonts w:hint="eastAsia" w:ascii="宋体" w:hAnsi="宋体" w:eastAsia="宋体" w:cs="宋体"/>
          <w:b/>
          <w:bCs/>
          <w:i w:val="0"/>
          <w:iCs w:val="0"/>
          <w:color w:val="000000"/>
          <w:kern w:val="0"/>
          <w:sz w:val="24"/>
          <w:szCs w:val="24"/>
          <w:highlight w:val="none"/>
          <w:u w:val="single"/>
          <w:lang w:val="en-US" w:eastAsia="zh-CN" w:bidi="ar"/>
        </w:rPr>
        <w:t>基准</w:t>
      </w:r>
      <w:r>
        <w:rPr>
          <w:rFonts w:hint="eastAsia" w:ascii="宋体" w:hAnsi="宋体" w:cs="宋体"/>
          <w:b/>
          <w:bCs/>
          <w:i w:val="0"/>
          <w:iCs w:val="0"/>
          <w:color w:val="000000"/>
          <w:kern w:val="0"/>
          <w:sz w:val="24"/>
          <w:szCs w:val="24"/>
          <w:highlight w:val="none"/>
          <w:u w:val="single"/>
          <w:lang w:val="en-US" w:eastAsia="zh-CN" w:bidi="ar"/>
        </w:rPr>
        <w:t>单价</w:t>
      </w:r>
      <w:r>
        <w:rPr>
          <w:rFonts w:hint="eastAsia" w:ascii="宋体" w:hAnsi="宋体" w:eastAsia="宋体" w:cs="宋体"/>
          <w:b/>
          <w:bCs/>
          <w:sz w:val="24"/>
          <w:highlight w:val="none"/>
          <w:u w:val="single"/>
        </w:rPr>
        <w:t>报价</w:t>
      </w:r>
      <w:r>
        <w:rPr>
          <w:rFonts w:hint="eastAsia" w:ascii="宋体" w:hAnsi="宋体" w:eastAsia="宋体" w:cs="宋体"/>
          <w:b/>
          <w:bCs/>
          <w:sz w:val="24"/>
          <w:highlight w:val="none"/>
          <w:lang w:val="en-US" w:eastAsia="zh-CN"/>
        </w:rPr>
        <w:t>为</w:t>
      </w:r>
      <w:r>
        <w:rPr>
          <w:rFonts w:hint="eastAsia" w:ascii="宋体" w:hAnsi="宋体" w:eastAsia="宋体" w:cs="宋体"/>
          <w:b/>
          <w:bCs/>
          <w:sz w:val="24"/>
          <w:highlight w:val="none"/>
        </w:rPr>
        <w:t>人民币（</w:t>
      </w:r>
      <w:r>
        <w:rPr>
          <w:rFonts w:hint="eastAsia" w:ascii="宋体" w:hAnsi="宋体" w:cs="宋体"/>
          <w:b/>
          <w:bCs/>
          <w:sz w:val="24"/>
          <w:highlight w:val="none"/>
          <w:lang w:val="en-US" w:eastAsia="zh-CN"/>
        </w:rPr>
        <w:t>小</w:t>
      </w:r>
      <w:r>
        <w:rPr>
          <w:rFonts w:hint="eastAsia" w:ascii="宋体" w:hAnsi="宋体" w:eastAsia="宋体" w:cs="宋体"/>
          <w:b/>
          <w:bCs/>
          <w:sz w:val="24"/>
          <w:highlight w:val="none"/>
        </w:rPr>
        <w:t>写）</w:t>
      </w:r>
      <w:r>
        <w:rPr>
          <w:rFonts w:hint="eastAsia" w:ascii="宋体" w:hAnsi="宋体" w:cs="宋体"/>
          <w:b/>
          <w:bCs/>
          <w:sz w:val="24"/>
          <w:highlight w:val="none"/>
          <w:u w:val="none"/>
          <w:lang w:val="en-US" w:eastAsia="zh-CN"/>
        </w:rPr>
        <w:t>：</w:t>
      </w:r>
      <w:r>
        <w:rPr>
          <w:rFonts w:hint="eastAsia" w:ascii="宋体" w:hAnsi="宋体" w:cs="宋体"/>
          <w:b/>
          <w:bCs/>
          <w:sz w:val="24"/>
          <w:highlight w:val="none"/>
          <w:u w:val="single"/>
          <w:lang w:val="en-US" w:eastAsia="zh-CN"/>
        </w:rPr>
        <w:t xml:space="preserve">        元/ </w:t>
      </w:r>
      <w:r>
        <w:rPr>
          <w:rFonts w:hint="eastAsia" w:ascii="宋体" w:hAnsi="宋体" w:eastAsia="宋体" w:cs="宋体"/>
          <w:b/>
          <w:bCs/>
          <w:i w:val="0"/>
          <w:iCs w:val="0"/>
          <w:color w:val="auto"/>
          <w:kern w:val="0"/>
          <w:sz w:val="24"/>
          <w:szCs w:val="24"/>
          <w:highlight w:val="none"/>
          <w:u w:val="single"/>
          <w:lang w:val="en-US" w:eastAsia="zh-CN" w:bidi="ar"/>
        </w:rPr>
        <w:t>[(kcal/kg)</w:t>
      </w:r>
      <w:r>
        <w:rPr>
          <w:rFonts w:hint="default" w:ascii="Arial" w:hAnsi="Arial" w:eastAsia="宋体" w:cs="Arial"/>
          <w:b/>
          <w:bCs/>
          <w:i w:val="0"/>
          <w:iCs w:val="0"/>
          <w:color w:val="auto"/>
          <w:kern w:val="0"/>
          <w:sz w:val="24"/>
          <w:szCs w:val="24"/>
          <w:highlight w:val="none"/>
          <w:u w:val="single"/>
          <w:lang w:val="en-US" w:eastAsia="zh-CN" w:bidi="ar"/>
        </w:rPr>
        <w:t>×</w:t>
      </w:r>
      <w:r>
        <w:rPr>
          <w:rFonts w:hint="eastAsia" w:ascii="宋体" w:hAnsi="宋体" w:eastAsia="宋体" w:cs="宋体"/>
          <w:b/>
          <w:bCs/>
          <w:i w:val="0"/>
          <w:iCs w:val="0"/>
          <w:color w:val="auto"/>
          <w:kern w:val="0"/>
          <w:sz w:val="24"/>
          <w:szCs w:val="24"/>
          <w:highlight w:val="none"/>
          <w:u w:val="single"/>
          <w:lang w:val="en-US" w:eastAsia="zh-CN" w:bidi="ar"/>
        </w:rPr>
        <w:t>吨]</w:t>
      </w:r>
      <w:r>
        <w:rPr>
          <w:rFonts w:hint="eastAsia" w:ascii="宋体" w:hAnsi="宋体" w:cs="宋体"/>
          <w:sz w:val="24"/>
          <w:highlight w:val="none"/>
          <w:u w:val="none"/>
          <w:lang w:val="en-US" w:eastAsia="zh-CN"/>
        </w:rPr>
        <w:t>（报价的基准热值为Qnet,ar≥3000kcal/kg）（报价包含但不限于产品、运输、装卸、验收、税收（13%的增值税专用发票）、人工、利润等完成本次供货的所有费用）</w:t>
      </w:r>
      <w:r>
        <w:rPr>
          <w:rFonts w:hint="eastAsia" w:ascii="宋体" w:hAnsi="宋体" w:eastAsia="宋体" w:cs="宋体"/>
          <w:sz w:val="24"/>
          <w:highlight w:val="none"/>
        </w:rPr>
        <w:t>。</w:t>
      </w:r>
    </w:p>
    <w:p w14:paraId="260F024B">
      <w:pPr>
        <w:keepNext w:val="0"/>
        <w:keepLines w:val="0"/>
        <w:pageBreakBefore w:val="0"/>
        <w:widowControl w:val="0"/>
        <w:kinsoku/>
        <w:wordWrap/>
        <w:overflowPunct/>
        <w:topLinePunct w:val="0"/>
        <w:autoSpaceDE/>
        <w:autoSpaceDN/>
        <w:bidi w:val="0"/>
        <w:adjustRightInd/>
        <w:spacing w:line="360" w:lineRule="auto"/>
        <w:ind w:firstLine="480" w:firstLineChars="200"/>
        <w:jc w:val="both"/>
        <w:textAlignment w:val="auto"/>
        <w:rPr>
          <w:rFonts w:hint="eastAsia" w:ascii="宋体" w:hAnsi="宋体" w:eastAsia="宋体" w:cs="宋体"/>
          <w:sz w:val="24"/>
        </w:rPr>
      </w:pPr>
      <w:r>
        <w:rPr>
          <w:rFonts w:hint="eastAsia" w:ascii="宋体" w:hAnsi="宋体" w:eastAsia="宋体" w:cs="宋体"/>
          <w:sz w:val="24"/>
        </w:rPr>
        <w:t>2、我单位承诺遵守《中华人民共和国政府采购法》的有关规定，并已经具备《中华人民共和国政府采购法》和</w:t>
      </w:r>
      <w:r>
        <w:rPr>
          <w:rFonts w:hint="eastAsia" w:ascii="宋体" w:hAnsi="宋体" w:cs="宋体"/>
          <w:sz w:val="24"/>
          <w:lang w:eastAsia="zh-CN"/>
        </w:rPr>
        <w:t>竞争性谈判</w:t>
      </w:r>
      <w:r>
        <w:rPr>
          <w:rFonts w:hint="eastAsia" w:ascii="宋体" w:hAnsi="宋体" w:eastAsia="宋体" w:cs="宋体"/>
          <w:sz w:val="24"/>
        </w:rPr>
        <w:t>文件规定的参加政府采购活动的供应商应当具备的条件。</w:t>
      </w:r>
    </w:p>
    <w:p w14:paraId="1D61A4B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sz w:val="24"/>
        </w:rPr>
      </w:pPr>
      <w:r>
        <w:rPr>
          <w:rFonts w:hint="eastAsia" w:ascii="宋体" w:hAnsi="宋体" w:cs="宋体"/>
          <w:sz w:val="24"/>
          <w:lang w:val="en-US" w:eastAsia="zh-CN"/>
        </w:rPr>
        <w:t>3</w:t>
      </w:r>
      <w:r>
        <w:rPr>
          <w:rFonts w:hint="eastAsia" w:ascii="宋体" w:hAnsi="宋体" w:eastAsia="宋体" w:cs="宋体"/>
          <w:sz w:val="24"/>
        </w:rPr>
        <w:t>、我单位已详细审核全部</w:t>
      </w:r>
      <w:r>
        <w:rPr>
          <w:rFonts w:hint="eastAsia" w:ascii="宋体" w:hAnsi="宋体" w:cs="宋体"/>
          <w:sz w:val="24"/>
          <w:lang w:eastAsia="zh-CN"/>
        </w:rPr>
        <w:t>竞争性谈判</w:t>
      </w:r>
      <w:r>
        <w:rPr>
          <w:rFonts w:hint="eastAsia" w:ascii="宋体" w:hAnsi="宋体" w:eastAsia="宋体" w:cs="宋体"/>
          <w:sz w:val="24"/>
        </w:rPr>
        <w:t>文件，包括</w:t>
      </w:r>
      <w:r>
        <w:rPr>
          <w:rFonts w:hint="eastAsia" w:ascii="宋体" w:hAnsi="宋体" w:cs="宋体"/>
          <w:sz w:val="24"/>
          <w:lang w:eastAsia="zh-CN"/>
        </w:rPr>
        <w:t>竞争性谈判</w:t>
      </w:r>
      <w:r>
        <w:rPr>
          <w:rFonts w:hint="eastAsia" w:ascii="宋体" w:hAnsi="宋体" w:eastAsia="宋体" w:cs="宋体"/>
          <w:sz w:val="24"/>
        </w:rPr>
        <w:t>文件修改文件（如有）、参考资料及有关附件，确认无误。我单位承诺接受</w:t>
      </w:r>
      <w:r>
        <w:rPr>
          <w:rFonts w:hint="eastAsia" w:ascii="宋体" w:hAnsi="宋体" w:cs="宋体"/>
          <w:sz w:val="24"/>
          <w:lang w:eastAsia="zh-CN"/>
        </w:rPr>
        <w:t>竞争性谈判</w:t>
      </w:r>
      <w:r>
        <w:rPr>
          <w:rFonts w:hint="eastAsia" w:ascii="宋体" w:hAnsi="宋体" w:eastAsia="宋体" w:cs="宋体"/>
          <w:sz w:val="24"/>
        </w:rPr>
        <w:t>文件中的全部条款且无任何异议。</w:t>
      </w:r>
    </w:p>
    <w:p w14:paraId="5C8F2E6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sz w:val="24"/>
        </w:rPr>
      </w:pPr>
      <w:r>
        <w:rPr>
          <w:rFonts w:hint="eastAsia" w:ascii="宋体" w:hAnsi="宋体" w:cs="宋体"/>
          <w:sz w:val="24"/>
          <w:lang w:val="en-US" w:eastAsia="zh-CN"/>
        </w:rPr>
        <w:t>4</w:t>
      </w:r>
      <w:r>
        <w:rPr>
          <w:rFonts w:hint="eastAsia" w:ascii="宋体" w:hAnsi="宋体" w:eastAsia="宋体" w:cs="宋体"/>
          <w:sz w:val="24"/>
        </w:rPr>
        <w:t>、我单位保证响应文件提供的数据和材料是真实、准确的。</w:t>
      </w:r>
    </w:p>
    <w:p w14:paraId="561A5C9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sz w:val="24"/>
        </w:rPr>
      </w:pPr>
      <w:r>
        <w:rPr>
          <w:rFonts w:hint="eastAsia" w:ascii="宋体" w:hAnsi="宋体" w:cs="宋体"/>
          <w:sz w:val="24"/>
          <w:lang w:val="en-US" w:eastAsia="zh-CN"/>
        </w:rPr>
        <w:t>5</w:t>
      </w:r>
      <w:r>
        <w:rPr>
          <w:rFonts w:hint="eastAsia" w:ascii="宋体" w:hAnsi="宋体" w:eastAsia="宋体" w:cs="宋体"/>
          <w:sz w:val="24"/>
        </w:rPr>
        <w:t>、我单位愿意向贵方提供任何与本项采购有关的数据、情况和技术资料。若贵方需要，我单位愿意提供我单位作出的</w:t>
      </w:r>
      <w:r>
        <w:rPr>
          <w:rFonts w:hint="eastAsia" w:ascii="宋体" w:hAnsi="宋体" w:cs="宋体"/>
          <w:sz w:val="24"/>
          <w:lang w:eastAsia="zh-CN"/>
        </w:rPr>
        <w:t>谈判</w:t>
      </w:r>
      <w:r>
        <w:rPr>
          <w:rFonts w:hint="eastAsia" w:ascii="宋体" w:hAnsi="宋体" w:eastAsia="宋体" w:cs="宋体"/>
          <w:sz w:val="24"/>
        </w:rPr>
        <w:t>有关的一切数据或资料或承诺的证明材料。</w:t>
      </w:r>
    </w:p>
    <w:p w14:paraId="5874717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sz w:val="24"/>
        </w:rPr>
      </w:pPr>
      <w:r>
        <w:rPr>
          <w:rFonts w:hint="eastAsia" w:ascii="宋体" w:hAnsi="宋体" w:cs="宋体"/>
          <w:sz w:val="24"/>
          <w:lang w:val="en-US" w:eastAsia="zh-CN"/>
        </w:rPr>
        <w:t>6</w:t>
      </w:r>
      <w:r>
        <w:rPr>
          <w:rFonts w:hint="eastAsia" w:ascii="宋体" w:hAnsi="宋体" w:eastAsia="宋体" w:cs="宋体"/>
          <w:sz w:val="24"/>
        </w:rPr>
        <w:t>、如果我单位成交，我单位将按</w:t>
      </w:r>
      <w:r>
        <w:rPr>
          <w:rFonts w:hint="eastAsia" w:ascii="宋体" w:hAnsi="宋体" w:cs="宋体"/>
          <w:sz w:val="24"/>
          <w:lang w:eastAsia="zh-CN"/>
        </w:rPr>
        <w:t>竞争性谈判</w:t>
      </w:r>
      <w:r>
        <w:rPr>
          <w:rFonts w:hint="eastAsia" w:ascii="宋体" w:hAnsi="宋体" w:eastAsia="宋体" w:cs="宋体"/>
          <w:sz w:val="24"/>
        </w:rPr>
        <w:t>文件的规定履行合同责任和义务。</w:t>
      </w:r>
    </w:p>
    <w:p w14:paraId="558B42C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sz w:val="24"/>
        </w:rPr>
      </w:pPr>
      <w:r>
        <w:rPr>
          <w:rFonts w:hint="eastAsia" w:ascii="宋体" w:hAnsi="宋体" w:cs="宋体"/>
          <w:sz w:val="24"/>
          <w:lang w:val="en-US" w:eastAsia="zh-CN"/>
        </w:rPr>
        <w:t>7</w:t>
      </w:r>
      <w:r>
        <w:rPr>
          <w:rFonts w:hint="eastAsia" w:ascii="宋体" w:hAnsi="宋体" w:eastAsia="宋体" w:cs="宋体"/>
          <w:sz w:val="24"/>
        </w:rPr>
        <w:t>、我单位同意在本项目</w:t>
      </w:r>
      <w:r>
        <w:rPr>
          <w:rFonts w:hint="eastAsia" w:ascii="宋体" w:hAnsi="宋体" w:cs="宋体"/>
          <w:sz w:val="24"/>
          <w:lang w:eastAsia="zh-CN"/>
        </w:rPr>
        <w:t>竞争性谈判</w:t>
      </w:r>
      <w:r>
        <w:rPr>
          <w:rFonts w:hint="eastAsia" w:ascii="宋体" w:hAnsi="宋体" w:eastAsia="宋体" w:cs="宋体"/>
          <w:sz w:val="24"/>
        </w:rPr>
        <w:t>文件中规定的递交响应文件截止时间起</w:t>
      </w:r>
      <w:r>
        <w:rPr>
          <w:rFonts w:hint="eastAsia" w:ascii="宋体" w:hAnsi="宋体" w:eastAsia="宋体" w:cs="宋体"/>
          <w:sz w:val="24"/>
          <w:u w:val="single"/>
        </w:rPr>
        <w:t>90</w:t>
      </w:r>
      <w:r>
        <w:rPr>
          <w:rFonts w:hint="eastAsia" w:ascii="宋体" w:hAnsi="宋体" w:eastAsia="宋体" w:cs="宋体"/>
          <w:sz w:val="24"/>
        </w:rPr>
        <w:t>日内（响应文件有效期）遵守本响应文件中的承诺且在此期限期满之前均具有约束力。</w:t>
      </w:r>
    </w:p>
    <w:p w14:paraId="177DBDA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sz w:val="24"/>
        </w:rPr>
      </w:pPr>
      <w:r>
        <w:rPr>
          <w:rFonts w:hint="eastAsia" w:ascii="宋体" w:hAnsi="宋体" w:cs="宋体"/>
          <w:sz w:val="24"/>
          <w:lang w:val="en-US" w:eastAsia="zh-CN"/>
        </w:rPr>
        <w:t>8</w:t>
      </w:r>
      <w:r>
        <w:rPr>
          <w:rFonts w:hint="eastAsia" w:ascii="宋体" w:hAnsi="宋体" w:eastAsia="宋体" w:cs="宋体"/>
          <w:sz w:val="24"/>
        </w:rPr>
        <w:t>、我单位承诺在</w:t>
      </w:r>
      <w:r>
        <w:rPr>
          <w:rFonts w:hint="eastAsia" w:ascii="宋体" w:hAnsi="宋体" w:cs="宋体"/>
          <w:sz w:val="24"/>
          <w:lang w:eastAsia="zh-CN"/>
        </w:rPr>
        <w:t>谈判</w:t>
      </w:r>
      <w:r>
        <w:rPr>
          <w:rFonts w:hint="eastAsia" w:ascii="宋体" w:hAnsi="宋体" w:eastAsia="宋体" w:cs="宋体"/>
          <w:sz w:val="24"/>
        </w:rPr>
        <w:t>过程中，若出现《中华人民共和国政府采购法》第七十七条规定之违法情形，我单位同意</w:t>
      </w:r>
      <w:r>
        <w:rPr>
          <w:rFonts w:hint="eastAsia" w:ascii="宋体" w:hAnsi="宋体" w:eastAsia="宋体" w:cs="宋体"/>
          <w:sz w:val="24"/>
          <w:lang w:val="en-US" w:eastAsia="zh-CN"/>
        </w:rPr>
        <w:t>接受</w:t>
      </w:r>
      <w:r>
        <w:rPr>
          <w:rFonts w:hint="eastAsia" w:ascii="宋体" w:hAnsi="宋体" w:eastAsia="宋体" w:cs="宋体"/>
          <w:sz w:val="24"/>
        </w:rPr>
        <w:t>条款规定作出的处罚。</w:t>
      </w:r>
    </w:p>
    <w:p w14:paraId="1DFB4B9F">
      <w:pPr>
        <w:keepNext w:val="0"/>
        <w:keepLines w:val="0"/>
        <w:pageBreakBefore w:val="0"/>
        <w:widowControl w:val="0"/>
        <w:kinsoku/>
        <w:wordWrap/>
        <w:overflowPunct/>
        <w:topLinePunct w:val="0"/>
        <w:autoSpaceDE/>
        <w:autoSpaceDN/>
        <w:bidi w:val="0"/>
        <w:adjustRightInd/>
        <w:spacing w:line="360" w:lineRule="auto"/>
        <w:ind w:firstLine="480" w:firstLineChars="200"/>
        <w:jc w:val="both"/>
        <w:textAlignment w:val="auto"/>
        <w:rPr>
          <w:rFonts w:hint="eastAsia" w:ascii="宋体" w:hAnsi="宋体" w:eastAsia="宋体" w:cs="宋体"/>
          <w:sz w:val="24"/>
        </w:rPr>
      </w:pPr>
      <w:r>
        <w:rPr>
          <w:rFonts w:hint="eastAsia" w:ascii="宋体" w:hAnsi="宋体" w:cs="宋体"/>
          <w:sz w:val="24"/>
          <w:lang w:val="en-US" w:eastAsia="zh-CN"/>
        </w:rPr>
        <w:t>9</w:t>
      </w:r>
      <w:r>
        <w:rPr>
          <w:rFonts w:hint="eastAsia" w:ascii="宋体" w:hAnsi="宋体" w:eastAsia="宋体" w:cs="宋体"/>
          <w:sz w:val="24"/>
        </w:rPr>
        <w:t>、与本次</w:t>
      </w:r>
      <w:r>
        <w:rPr>
          <w:rFonts w:hint="eastAsia" w:ascii="宋体" w:hAnsi="宋体" w:cs="宋体"/>
          <w:sz w:val="24"/>
          <w:lang w:eastAsia="zh-CN"/>
        </w:rPr>
        <w:t>谈判</w:t>
      </w:r>
      <w:r>
        <w:rPr>
          <w:rFonts w:hint="eastAsia" w:ascii="宋体" w:hAnsi="宋体" w:eastAsia="宋体" w:cs="宋体"/>
          <w:sz w:val="24"/>
        </w:rPr>
        <w:t>有关的一切正式</w:t>
      </w:r>
      <w:r>
        <w:rPr>
          <w:rFonts w:hint="eastAsia" w:ascii="宋体" w:hAnsi="宋体" w:eastAsia="宋体" w:cs="宋体"/>
          <w:sz w:val="24"/>
          <w:lang w:eastAsia="zh-CN"/>
        </w:rPr>
        <w:t>往来通信请寄</w:t>
      </w:r>
      <w:r>
        <w:rPr>
          <w:rFonts w:hint="eastAsia" w:ascii="宋体" w:hAnsi="宋体" w:eastAsia="宋体" w:cs="宋体"/>
          <w:sz w:val="24"/>
        </w:rPr>
        <w:t>：</w:t>
      </w:r>
    </w:p>
    <w:p w14:paraId="37FA075F">
      <w:pPr>
        <w:keepNext w:val="0"/>
        <w:keepLines w:val="0"/>
        <w:pageBreakBefore w:val="0"/>
        <w:widowControl w:val="0"/>
        <w:kinsoku/>
        <w:wordWrap/>
        <w:overflowPunct/>
        <w:topLinePunct w:val="0"/>
        <w:autoSpaceDE/>
        <w:autoSpaceDN/>
        <w:bidi w:val="0"/>
        <w:adjustRightInd/>
        <w:spacing w:line="360" w:lineRule="auto"/>
        <w:ind w:left="1200" w:hanging="1200" w:hangingChars="500"/>
        <w:jc w:val="left"/>
        <w:textAlignment w:val="auto"/>
        <w:rPr>
          <w:rFonts w:hint="eastAsia" w:ascii="宋体" w:hAnsi="宋体" w:eastAsia="宋体" w:cs="宋体"/>
          <w:sz w:val="24"/>
          <w:lang w:val="en-US" w:eastAsia="zh-CN"/>
        </w:rPr>
      </w:pPr>
      <w:r>
        <w:rPr>
          <w:rFonts w:hint="eastAsia" w:ascii="宋体" w:hAnsi="宋体" w:eastAsia="宋体" w:cs="宋体"/>
          <w:sz w:val="24"/>
        </w:rPr>
        <w:t>地址：</w:t>
      </w:r>
      <w:r>
        <w:rPr>
          <w:rFonts w:hint="eastAsia" w:ascii="宋体" w:hAnsi="宋体" w:eastAsia="宋体" w:cs="宋体"/>
          <w:sz w:val="24"/>
          <w:u w:val="single"/>
          <w:lang w:val="en-US" w:eastAsia="zh-CN"/>
        </w:rPr>
        <w:t xml:space="preserve">                  </w:t>
      </w:r>
      <w:r>
        <w:rPr>
          <w:rFonts w:hint="eastAsia" w:ascii="宋体" w:hAnsi="宋体" w:eastAsia="宋体" w:cs="宋体"/>
          <w:sz w:val="24"/>
        </w:rPr>
        <w:t xml:space="preserve"> 邮编：</w:t>
      </w:r>
      <w:r>
        <w:rPr>
          <w:rFonts w:hint="eastAsia" w:ascii="宋体" w:hAnsi="宋体" w:eastAsia="宋体" w:cs="宋体"/>
          <w:sz w:val="24"/>
          <w:u w:val="single"/>
          <w:lang w:val="en-US" w:eastAsia="zh-CN"/>
        </w:rPr>
        <w:t xml:space="preserve">                 </w:t>
      </w:r>
      <w:r>
        <w:rPr>
          <w:rFonts w:hint="eastAsia" w:ascii="宋体" w:hAnsi="宋体" w:eastAsia="宋体" w:cs="宋体"/>
          <w:sz w:val="24"/>
          <w:lang w:val="en-US" w:eastAsia="zh-CN"/>
        </w:rPr>
        <w:t xml:space="preserve">                   </w:t>
      </w:r>
    </w:p>
    <w:p w14:paraId="7E9A286D">
      <w:pPr>
        <w:keepNext w:val="0"/>
        <w:keepLines w:val="0"/>
        <w:pageBreakBefore w:val="0"/>
        <w:widowControl w:val="0"/>
        <w:kinsoku/>
        <w:wordWrap/>
        <w:overflowPunct/>
        <w:topLinePunct w:val="0"/>
        <w:autoSpaceDE/>
        <w:autoSpaceDN/>
        <w:bidi w:val="0"/>
        <w:adjustRightInd/>
        <w:spacing w:line="360" w:lineRule="auto"/>
        <w:ind w:left="1200" w:hanging="1200" w:hangingChars="500"/>
        <w:jc w:val="left"/>
        <w:textAlignment w:val="auto"/>
        <w:rPr>
          <w:rFonts w:hint="eastAsia" w:ascii="宋体" w:hAnsi="宋体" w:eastAsia="宋体" w:cs="宋体"/>
        </w:rPr>
      </w:pPr>
      <w:r>
        <w:rPr>
          <w:rFonts w:hint="eastAsia" w:ascii="宋体" w:hAnsi="宋体" w:eastAsia="宋体" w:cs="宋体"/>
          <w:sz w:val="24"/>
        </w:rPr>
        <w:t>电话：</w:t>
      </w:r>
      <w:r>
        <w:rPr>
          <w:rFonts w:hint="eastAsia" w:ascii="宋体" w:hAnsi="宋体" w:eastAsia="宋体" w:cs="宋体"/>
          <w:sz w:val="24"/>
          <w:u w:val="single"/>
          <w:lang w:val="en-US" w:eastAsia="zh-CN"/>
        </w:rPr>
        <w:t xml:space="preserve">                  </w:t>
      </w:r>
      <w:r>
        <w:rPr>
          <w:rFonts w:hint="eastAsia" w:ascii="宋体" w:hAnsi="宋体" w:eastAsia="宋体" w:cs="宋体"/>
          <w:sz w:val="24"/>
        </w:rPr>
        <w:t xml:space="preserve"> 传真：</w:t>
      </w:r>
      <w:r>
        <w:rPr>
          <w:rFonts w:hint="eastAsia" w:ascii="宋体" w:hAnsi="宋体" w:eastAsia="宋体" w:cs="宋体"/>
          <w:sz w:val="24"/>
          <w:u w:val="single"/>
          <w:lang w:val="en-US" w:eastAsia="zh-CN"/>
        </w:rPr>
        <w:t xml:space="preserve">                  </w:t>
      </w:r>
    </w:p>
    <w:p w14:paraId="60799846">
      <w:pPr>
        <w:adjustRightInd w:val="0"/>
        <w:snapToGrid w:val="0"/>
        <w:spacing w:line="360" w:lineRule="auto"/>
        <w:ind w:firstLine="3600" w:firstLineChars="1500"/>
        <w:rPr>
          <w:rFonts w:hint="eastAsia" w:ascii="宋体" w:hAnsi="宋体" w:eastAsia="宋体" w:cs="宋体"/>
          <w:sz w:val="24"/>
        </w:rPr>
      </w:pPr>
    </w:p>
    <w:p w14:paraId="0F7D4A11">
      <w:pPr>
        <w:adjustRightInd w:val="0"/>
        <w:snapToGrid w:val="0"/>
        <w:spacing w:line="360" w:lineRule="auto"/>
        <w:ind w:firstLine="3600" w:firstLineChars="1500"/>
        <w:rPr>
          <w:rFonts w:hint="eastAsia" w:ascii="宋体" w:hAnsi="宋体" w:eastAsia="宋体" w:cs="宋体"/>
          <w:sz w:val="24"/>
          <w:u w:val="single"/>
        </w:rPr>
      </w:pPr>
      <w:r>
        <w:rPr>
          <w:rFonts w:hint="eastAsia" w:ascii="宋体" w:hAnsi="宋体" w:eastAsia="宋体" w:cs="宋体"/>
          <w:sz w:val="24"/>
        </w:rPr>
        <w:t>供应商名称（单位公章）：</w:t>
      </w:r>
    </w:p>
    <w:p w14:paraId="74C47420">
      <w:pPr>
        <w:adjustRightInd w:val="0"/>
        <w:snapToGrid w:val="0"/>
        <w:spacing w:line="360" w:lineRule="auto"/>
        <w:ind w:firstLine="240" w:firstLineChars="100"/>
        <w:rPr>
          <w:rFonts w:hint="eastAsia" w:ascii="宋体" w:hAnsi="宋体" w:eastAsia="宋体" w:cs="宋体"/>
          <w:sz w:val="24"/>
          <w:lang w:eastAsia="zh-CN"/>
        </w:rPr>
      </w:pPr>
    </w:p>
    <w:p w14:paraId="4615E813">
      <w:pPr>
        <w:adjustRightInd w:val="0"/>
        <w:snapToGrid w:val="0"/>
        <w:spacing w:line="360" w:lineRule="auto"/>
        <w:ind w:firstLine="240" w:firstLineChars="100"/>
        <w:rPr>
          <w:rFonts w:hint="eastAsia" w:ascii="宋体" w:hAnsi="宋体" w:eastAsia="宋体" w:cs="宋体"/>
          <w:sz w:val="24"/>
        </w:rPr>
      </w:pPr>
      <w:r>
        <w:rPr>
          <w:rFonts w:hint="eastAsia" w:ascii="宋体" w:hAnsi="宋体" w:eastAsia="宋体" w:cs="宋体"/>
          <w:sz w:val="24"/>
          <w:lang w:eastAsia="zh-CN"/>
        </w:rPr>
        <w:t>法定代表人或法定代表人授权委托代理人</w:t>
      </w:r>
      <w:r>
        <w:rPr>
          <w:rFonts w:hint="eastAsia" w:ascii="宋体" w:hAnsi="宋体" w:eastAsia="宋体" w:cs="宋体"/>
          <w:sz w:val="24"/>
        </w:rPr>
        <w:t>（签字或盖章）：</w:t>
      </w:r>
    </w:p>
    <w:p w14:paraId="21A20C6B">
      <w:pPr>
        <w:adjustRightInd w:val="0"/>
        <w:snapToGrid w:val="0"/>
        <w:spacing w:line="360" w:lineRule="auto"/>
        <w:ind w:firstLine="5760" w:firstLineChars="2400"/>
        <w:rPr>
          <w:rFonts w:hint="eastAsia" w:ascii="宋体" w:hAnsi="宋体" w:eastAsia="宋体" w:cs="宋体"/>
          <w:sz w:val="24"/>
        </w:rPr>
      </w:pPr>
    </w:p>
    <w:p w14:paraId="20021E3F">
      <w:pPr>
        <w:adjustRightInd w:val="0"/>
        <w:snapToGrid w:val="0"/>
        <w:spacing w:line="360" w:lineRule="auto"/>
        <w:ind w:firstLine="5760" w:firstLineChars="2400"/>
        <w:rPr>
          <w:rFonts w:hint="eastAsia" w:ascii="宋体" w:hAnsi="宋体" w:eastAsia="宋体" w:cs="宋体"/>
          <w:sz w:val="24"/>
          <w:lang w:val="en-US" w:eastAsia="zh-CN"/>
        </w:rPr>
      </w:pPr>
      <w:r>
        <w:rPr>
          <w:rFonts w:hint="eastAsia" w:ascii="宋体" w:hAnsi="宋体" w:eastAsia="宋体" w:cs="宋体"/>
          <w:sz w:val="24"/>
        </w:rPr>
        <w:t>日期：</w:t>
      </w:r>
      <w:r>
        <w:rPr>
          <w:rFonts w:hint="eastAsia" w:ascii="宋体" w:hAnsi="宋体" w:eastAsia="宋体" w:cs="宋体"/>
          <w:sz w:val="24"/>
          <w:lang w:val="en-US" w:eastAsia="zh-CN"/>
        </w:rPr>
        <w:t xml:space="preserve">  </w:t>
      </w:r>
    </w:p>
    <w:p w14:paraId="6C19EC4D">
      <w:pPr>
        <w:spacing w:line="400" w:lineRule="exact"/>
        <w:jc w:val="center"/>
        <w:rPr>
          <w:rFonts w:hint="eastAsia" w:ascii="宋体" w:hAnsi="宋体" w:eastAsia="宋体" w:cs="宋体"/>
          <w:b/>
          <w:bCs/>
          <w:sz w:val="32"/>
          <w:szCs w:val="32"/>
          <w:lang w:val="en-US" w:eastAsia="zh-CN"/>
        </w:rPr>
      </w:pPr>
    </w:p>
    <w:p w14:paraId="26B07BF4">
      <w:pPr>
        <w:spacing w:line="400" w:lineRule="exact"/>
        <w:jc w:val="center"/>
        <w:rPr>
          <w:rFonts w:hint="eastAsia" w:ascii="宋体" w:hAnsi="宋体" w:eastAsia="宋体" w:cs="宋体"/>
          <w:b/>
          <w:bCs/>
          <w:sz w:val="24"/>
          <w:lang w:val="en-US" w:eastAsia="zh-CN"/>
        </w:rPr>
      </w:pPr>
      <w:r>
        <w:rPr>
          <w:rFonts w:hint="eastAsia" w:ascii="宋体" w:hAnsi="宋体" w:eastAsia="宋体" w:cs="宋体"/>
          <w:b/>
          <w:bCs/>
          <w:sz w:val="32"/>
          <w:szCs w:val="32"/>
          <w:lang w:val="en-US" w:eastAsia="zh-CN"/>
        </w:rPr>
        <w:t>二</w:t>
      </w:r>
      <w:r>
        <w:rPr>
          <w:rFonts w:hint="eastAsia" w:ascii="宋体" w:hAnsi="宋体" w:eastAsia="宋体" w:cs="宋体"/>
          <w:b/>
          <w:bCs/>
          <w:sz w:val="32"/>
          <w:szCs w:val="32"/>
        </w:rPr>
        <w:t>、</w:t>
      </w:r>
      <w:r>
        <w:rPr>
          <w:rFonts w:hint="eastAsia" w:ascii="宋体" w:hAnsi="宋体" w:eastAsia="宋体" w:cs="宋体"/>
          <w:b/>
          <w:bCs/>
          <w:sz w:val="32"/>
          <w:szCs w:val="32"/>
          <w:lang w:val="en-US" w:eastAsia="zh-CN"/>
        </w:rPr>
        <w:t>分项报价表</w:t>
      </w:r>
    </w:p>
    <w:p w14:paraId="12435BC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rPr>
      </w:pPr>
    </w:p>
    <w:p w14:paraId="0D843F99">
      <w:pPr>
        <w:keepNext w:val="0"/>
        <w:keepLines w:val="0"/>
        <w:pageBreakBefore w:val="0"/>
        <w:widowControl w:val="0"/>
        <w:kinsoku/>
        <w:wordWrap/>
        <w:overflowPunct/>
        <w:topLinePunct w:val="0"/>
        <w:autoSpaceDE/>
        <w:autoSpaceDN/>
        <w:bidi w:val="0"/>
        <w:adjustRightInd/>
        <w:snapToGrid/>
        <w:spacing w:line="360" w:lineRule="auto"/>
        <w:textAlignment w:val="auto"/>
        <w:rPr>
          <w:rStyle w:val="89"/>
          <w:rFonts w:hint="default" w:ascii="宋体" w:hAnsi="宋体" w:eastAsia="宋体" w:cs="宋体"/>
          <w:color w:val="auto"/>
          <w:szCs w:val="22"/>
          <w:lang w:val="en-US" w:eastAsia="zh-CN"/>
        </w:rPr>
      </w:pPr>
      <w:r>
        <w:rPr>
          <w:rFonts w:hint="eastAsia" w:ascii="宋体" w:hAnsi="宋体" w:eastAsia="宋体" w:cs="宋体"/>
          <w:sz w:val="24"/>
        </w:rPr>
        <w:t>项目名称：</w:t>
      </w:r>
      <w:r>
        <w:rPr>
          <w:rFonts w:hint="eastAsia" w:ascii="宋体" w:hAnsi="宋体" w:cs="宋体"/>
          <w:sz w:val="24"/>
          <w:lang w:val="en-US" w:eastAsia="zh-CN"/>
        </w:rPr>
        <w:t>贵州钟山野马寨热电有限责任公司2025年第十九批次燃煤采购项目</w:t>
      </w:r>
    </w:p>
    <w:tbl>
      <w:tblPr>
        <w:tblStyle w:val="36"/>
        <w:tblW w:w="472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1044"/>
        <w:gridCol w:w="993"/>
        <w:gridCol w:w="1122"/>
        <w:gridCol w:w="1079"/>
        <w:gridCol w:w="975"/>
        <w:gridCol w:w="1500"/>
        <w:gridCol w:w="1462"/>
        <w:gridCol w:w="605"/>
      </w:tblGrid>
      <w:tr w14:paraId="13A5D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4" w:type="pct"/>
            <w:vMerge w:val="restart"/>
            <w:noWrap w:val="0"/>
            <w:vAlign w:val="center"/>
          </w:tcPr>
          <w:p w14:paraId="1B8D69B3">
            <w:pPr>
              <w:widowControl w:val="0"/>
              <w:numPr>
                <w:ilvl w:val="0"/>
                <w:numId w:val="0"/>
              </w:numPr>
              <w:tabs>
                <w:tab w:val="left" w:pos="1980"/>
                <w:tab w:val="left" w:pos="2340"/>
                <w:tab w:val="left" w:pos="5580"/>
                <w:tab w:val="left" w:pos="7560"/>
                <w:tab w:val="left" w:pos="8640"/>
                <w:tab w:val="left" w:pos="8820"/>
              </w:tabs>
              <w:spacing w:line="360" w:lineRule="auto"/>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煤种</w:t>
            </w:r>
          </w:p>
        </w:tc>
        <w:tc>
          <w:tcPr>
            <w:tcW w:w="2769" w:type="pct"/>
            <w:gridSpan w:val="5"/>
            <w:noWrap w:val="0"/>
            <w:vAlign w:val="center"/>
          </w:tcPr>
          <w:p w14:paraId="672B3556">
            <w:pPr>
              <w:widowControl w:val="0"/>
              <w:numPr>
                <w:ilvl w:val="0"/>
                <w:numId w:val="0"/>
              </w:numPr>
              <w:tabs>
                <w:tab w:val="left" w:pos="1980"/>
                <w:tab w:val="left" w:pos="2340"/>
                <w:tab w:val="left" w:pos="5580"/>
                <w:tab w:val="left" w:pos="7560"/>
                <w:tab w:val="left" w:pos="8640"/>
                <w:tab w:val="left" w:pos="8820"/>
              </w:tabs>
              <w:spacing w:line="360" w:lineRule="auto"/>
              <w:jc w:val="center"/>
              <w:rPr>
                <w:rFonts w:hint="eastAsia" w:ascii="宋体" w:hAnsi="宋体" w:eastAsia="宋体" w:cs="宋体"/>
                <w:sz w:val="21"/>
                <w:szCs w:val="21"/>
                <w:vertAlign w:val="baseline"/>
              </w:rPr>
            </w:pPr>
            <w:r>
              <w:rPr>
                <w:rFonts w:hint="eastAsia" w:ascii="宋体" w:hAnsi="宋体" w:eastAsia="宋体" w:cs="宋体"/>
                <w:kern w:val="0"/>
                <w:sz w:val="21"/>
                <w:szCs w:val="21"/>
              </w:rPr>
              <w:t>质量要求</w:t>
            </w:r>
          </w:p>
        </w:tc>
        <w:tc>
          <w:tcPr>
            <w:tcW w:w="797" w:type="pct"/>
            <w:vMerge w:val="restart"/>
            <w:noWrap w:val="0"/>
            <w:vAlign w:val="center"/>
          </w:tcPr>
          <w:p w14:paraId="781E6EB1">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eastAsia="zh-CN"/>
              </w:rPr>
              <w:t>供应</w:t>
            </w:r>
            <w:r>
              <w:rPr>
                <w:rFonts w:hint="eastAsia" w:ascii="宋体" w:hAnsi="宋体" w:eastAsia="宋体" w:cs="宋体"/>
                <w:kern w:val="0"/>
                <w:sz w:val="21"/>
                <w:szCs w:val="21"/>
              </w:rPr>
              <w:t>数量（吨）</w:t>
            </w:r>
          </w:p>
        </w:tc>
        <w:tc>
          <w:tcPr>
            <w:tcW w:w="776" w:type="pct"/>
            <w:vMerge w:val="restart"/>
            <w:noWrap w:val="0"/>
            <w:vAlign w:val="center"/>
          </w:tcPr>
          <w:p w14:paraId="745F711A">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报 价</w:t>
            </w:r>
          </w:p>
        </w:tc>
        <w:tc>
          <w:tcPr>
            <w:tcW w:w="321" w:type="pct"/>
            <w:vMerge w:val="restart"/>
            <w:noWrap w:val="0"/>
            <w:vAlign w:val="center"/>
          </w:tcPr>
          <w:p w14:paraId="3F31750F">
            <w:pPr>
              <w:widowControl/>
              <w:jc w:val="center"/>
              <w:rPr>
                <w:rFonts w:hint="default"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备注</w:t>
            </w:r>
          </w:p>
        </w:tc>
      </w:tr>
      <w:tr w14:paraId="16664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34" w:type="pct"/>
            <w:vMerge w:val="continue"/>
            <w:noWrap w:val="0"/>
            <w:vAlign w:val="center"/>
          </w:tcPr>
          <w:p w14:paraId="6DA14B42">
            <w:pPr>
              <w:widowControl w:val="0"/>
              <w:numPr>
                <w:ilvl w:val="0"/>
                <w:numId w:val="0"/>
              </w:numPr>
              <w:tabs>
                <w:tab w:val="left" w:pos="1980"/>
                <w:tab w:val="left" w:pos="2340"/>
                <w:tab w:val="left" w:pos="5580"/>
                <w:tab w:val="left" w:pos="7560"/>
                <w:tab w:val="left" w:pos="8640"/>
                <w:tab w:val="left" w:pos="8820"/>
              </w:tabs>
              <w:spacing w:line="360" w:lineRule="auto"/>
              <w:jc w:val="center"/>
              <w:rPr>
                <w:rFonts w:hint="eastAsia" w:ascii="宋体" w:hAnsi="宋体" w:eastAsia="宋体" w:cs="宋体"/>
                <w:sz w:val="21"/>
                <w:szCs w:val="21"/>
                <w:vertAlign w:val="baseline"/>
              </w:rPr>
            </w:pPr>
          </w:p>
        </w:tc>
        <w:tc>
          <w:tcPr>
            <w:tcW w:w="554" w:type="pct"/>
            <w:vMerge w:val="restart"/>
            <w:noWrap w:val="0"/>
            <w:vAlign w:val="center"/>
          </w:tcPr>
          <w:p w14:paraId="5A2D17A8">
            <w:pPr>
              <w:widowControl w:val="0"/>
              <w:numPr>
                <w:ilvl w:val="0"/>
                <w:numId w:val="0"/>
              </w:numPr>
              <w:tabs>
                <w:tab w:val="left" w:pos="1980"/>
                <w:tab w:val="left" w:pos="2340"/>
                <w:tab w:val="left" w:pos="5580"/>
                <w:tab w:val="left" w:pos="7560"/>
                <w:tab w:val="left" w:pos="8640"/>
                <w:tab w:val="left" w:pos="8820"/>
              </w:tabs>
              <w:spacing w:line="360" w:lineRule="auto"/>
              <w:jc w:val="center"/>
              <w:rPr>
                <w:rFonts w:hint="eastAsia" w:ascii="宋体" w:hAnsi="宋体" w:eastAsia="宋体" w:cs="宋体"/>
                <w:sz w:val="21"/>
                <w:szCs w:val="21"/>
                <w:vertAlign w:val="baseline"/>
              </w:rPr>
            </w:pPr>
            <w:r>
              <w:rPr>
                <w:rFonts w:hint="eastAsia" w:cs="Times New Roman"/>
                <w:sz w:val="24"/>
                <w:lang w:val="en-US" w:eastAsia="zh-CN"/>
              </w:rPr>
              <w:t>Qnet,ar</w:t>
            </w:r>
            <w:r>
              <w:rPr>
                <w:rFonts w:hint="eastAsia" w:ascii="Times New Roman" w:hAnsi="Times New Roman" w:eastAsia="宋体" w:cs="Times New Roman"/>
                <w:sz w:val="24"/>
                <w:lang w:val="en-US" w:eastAsia="zh-CN"/>
              </w:rPr>
              <w:t>(kcal/kg)</w:t>
            </w:r>
          </w:p>
        </w:tc>
        <w:tc>
          <w:tcPr>
            <w:tcW w:w="527" w:type="pct"/>
            <w:vMerge w:val="restart"/>
            <w:noWrap w:val="0"/>
            <w:vAlign w:val="center"/>
          </w:tcPr>
          <w:p w14:paraId="4920606B">
            <w:pPr>
              <w:widowControl/>
              <w:jc w:val="center"/>
              <w:rPr>
                <w:rFonts w:hint="eastAsia" w:ascii="宋体" w:hAnsi="宋体" w:eastAsia="宋体" w:cs="宋体"/>
                <w:kern w:val="0"/>
                <w:sz w:val="21"/>
                <w:szCs w:val="21"/>
                <w:lang w:val="en-US" w:eastAsia="zh-CN" w:bidi="ar-SA"/>
              </w:rPr>
            </w:pPr>
            <w:r>
              <w:rPr>
                <w:rFonts w:hint="eastAsia" w:ascii="Times New Roman" w:hAnsi="Times New Roman" w:eastAsia="宋体" w:cs="Times New Roman"/>
                <w:sz w:val="24"/>
                <w:lang w:val="en-US" w:eastAsia="zh-CN"/>
              </w:rPr>
              <w:t>Mt(%)</w:t>
            </w:r>
          </w:p>
        </w:tc>
        <w:tc>
          <w:tcPr>
            <w:tcW w:w="596" w:type="pct"/>
            <w:vMerge w:val="restart"/>
            <w:noWrap w:val="0"/>
            <w:vAlign w:val="center"/>
          </w:tcPr>
          <w:p w14:paraId="5FA5C423">
            <w:pPr>
              <w:widowControl/>
              <w:jc w:val="center"/>
              <w:rPr>
                <w:rFonts w:hint="eastAsia" w:ascii="宋体" w:hAnsi="宋体" w:eastAsia="宋体" w:cs="宋体"/>
                <w:kern w:val="0"/>
                <w:sz w:val="21"/>
                <w:szCs w:val="21"/>
                <w:lang w:val="en-US" w:eastAsia="zh-CN"/>
              </w:rPr>
            </w:pPr>
            <w:r>
              <w:rPr>
                <w:rFonts w:hint="eastAsia" w:cs="Times New Roman"/>
                <w:sz w:val="24"/>
                <w:lang w:val="en-US" w:eastAsia="zh-CN"/>
              </w:rPr>
              <w:t>Var</w:t>
            </w:r>
            <w:r>
              <w:rPr>
                <w:rFonts w:hint="eastAsia" w:ascii="Times New Roman" w:hAnsi="Times New Roman" w:eastAsia="宋体" w:cs="Times New Roman"/>
                <w:sz w:val="24"/>
                <w:lang w:val="en-US" w:eastAsia="zh-CN"/>
              </w:rPr>
              <w:t>(%)</w:t>
            </w:r>
          </w:p>
        </w:tc>
        <w:tc>
          <w:tcPr>
            <w:tcW w:w="573" w:type="pct"/>
            <w:vMerge w:val="restart"/>
            <w:noWrap w:val="0"/>
            <w:vAlign w:val="center"/>
          </w:tcPr>
          <w:p w14:paraId="10298965">
            <w:pPr>
              <w:widowControl w:val="0"/>
              <w:numPr>
                <w:ilvl w:val="0"/>
                <w:numId w:val="0"/>
              </w:numPr>
              <w:tabs>
                <w:tab w:val="left" w:pos="1980"/>
                <w:tab w:val="left" w:pos="2340"/>
                <w:tab w:val="left" w:pos="5580"/>
                <w:tab w:val="left" w:pos="7560"/>
                <w:tab w:val="left" w:pos="8640"/>
                <w:tab w:val="left" w:pos="8820"/>
              </w:tabs>
              <w:spacing w:line="360" w:lineRule="auto"/>
              <w:jc w:val="center"/>
              <w:rPr>
                <w:rFonts w:hint="eastAsia" w:ascii="宋体" w:hAnsi="宋体" w:eastAsia="宋体" w:cs="宋体"/>
                <w:sz w:val="21"/>
                <w:szCs w:val="21"/>
                <w:vertAlign w:val="baseline"/>
                <w:lang w:val="en-US" w:eastAsia="zh-CN"/>
              </w:rPr>
            </w:pPr>
            <w:r>
              <w:rPr>
                <w:rFonts w:hint="eastAsia" w:cs="Times New Roman"/>
                <w:sz w:val="24"/>
                <w:lang w:val="en-US" w:eastAsia="zh-CN"/>
              </w:rPr>
              <w:t>St，d</w:t>
            </w:r>
            <w:r>
              <w:rPr>
                <w:rFonts w:hint="eastAsia" w:ascii="Times New Roman" w:hAnsi="Times New Roman" w:eastAsia="宋体" w:cs="Times New Roman"/>
                <w:sz w:val="24"/>
                <w:lang w:val="en-US" w:eastAsia="zh-CN"/>
              </w:rPr>
              <w:t>(%)</w:t>
            </w:r>
          </w:p>
        </w:tc>
        <w:tc>
          <w:tcPr>
            <w:tcW w:w="518" w:type="pct"/>
            <w:vMerge w:val="restart"/>
            <w:noWrap w:val="0"/>
            <w:vAlign w:val="center"/>
          </w:tcPr>
          <w:p w14:paraId="6241C0A3">
            <w:pPr>
              <w:widowControl w:val="0"/>
              <w:numPr>
                <w:ilvl w:val="0"/>
                <w:numId w:val="0"/>
              </w:numPr>
              <w:tabs>
                <w:tab w:val="left" w:pos="1980"/>
                <w:tab w:val="left" w:pos="2340"/>
                <w:tab w:val="left" w:pos="5580"/>
                <w:tab w:val="left" w:pos="7560"/>
                <w:tab w:val="left" w:pos="8640"/>
                <w:tab w:val="left" w:pos="8820"/>
              </w:tabs>
              <w:spacing w:line="360" w:lineRule="auto"/>
              <w:jc w:val="center"/>
              <w:rPr>
                <w:rFonts w:hint="default" w:cs="Times New Roman"/>
                <w:sz w:val="24"/>
                <w:lang w:val="en-US" w:eastAsia="zh-CN"/>
              </w:rPr>
            </w:pPr>
            <w:r>
              <w:rPr>
                <w:rFonts w:hint="eastAsia" w:cs="Times New Roman"/>
                <w:sz w:val="24"/>
                <w:lang w:val="en-US" w:eastAsia="zh-CN"/>
              </w:rPr>
              <w:t>粒度（mm）</w:t>
            </w:r>
          </w:p>
        </w:tc>
        <w:tc>
          <w:tcPr>
            <w:tcW w:w="797" w:type="pct"/>
            <w:vMerge w:val="continue"/>
            <w:noWrap w:val="0"/>
            <w:vAlign w:val="center"/>
          </w:tcPr>
          <w:p w14:paraId="39AB5FF6">
            <w:pPr>
              <w:widowControl w:val="0"/>
              <w:numPr>
                <w:ilvl w:val="0"/>
                <w:numId w:val="0"/>
              </w:numPr>
              <w:tabs>
                <w:tab w:val="left" w:pos="1980"/>
                <w:tab w:val="left" w:pos="2340"/>
                <w:tab w:val="left" w:pos="5580"/>
                <w:tab w:val="left" w:pos="7560"/>
                <w:tab w:val="left" w:pos="8640"/>
                <w:tab w:val="left" w:pos="8820"/>
              </w:tabs>
              <w:spacing w:line="360" w:lineRule="auto"/>
              <w:jc w:val="center"/>
              <w:rPr>
                <w:rFonts w:hint="eastAsia" w:ascii="宋体" w:hAnsi="宋体" w:eastAsia="宋体" w:cs="宋体"/>
                <w:sz w:val="21"/>
                <w:szCs w:val="21"/>
                <w:vertAlign w:val="baseline"/>
              </w:rPr>
            </w:pPr>
          </w:p>
        </w:tc>
        <w:tc>
          <w:tcPr>
            <w:tcW w:w="776" w:type="pct"/>
            <w:vMerge w:val="continue"/>
            <w:noWrap w:val="0"/>
            <w:vAlign w:val="center"/>
          </w:tcPr>
          <w:p w14:paraId="502BF190">
            <w:pPr>
              <w:widowControl w:val="0"/>
              <w:numPr>
                <w:ilvl w:val="0"/>
                <w:numId w:val="0"/>
              </w:numPr>
              <w:tabs>
                <w:tab w:val="left" w:pos="1980"/>
                <w:tab w:val="left" w:pos="2340"/>
                <w:tab w:val="left" w:pos="5580"/>
                <w:tab w:val="left" w:pos="7560"/>
                <w:tab w:val="left" w:pos="8640"/>
                <w:tab w:val="left" w:pos="8820"/>
              </w:tabs>
              <w:spacing w:line="360" w:lineRule="auto"/>
              <w:jc w:val="center"/>
              <w:rPr>
                <w:rFonts w:hint="eastAsia" w:ascii="宋体" w:hAnsi="宋体" w:eastAsia="宋体" w:cs="宋体"/>
                <w:sz w:val="21"/>
                <w:szCs w:val="21"/>
                <w:vertAlign w:val="baseline"/>
              </w:rPr>
            </w:pPr>
          </w:p>
        </w:tc>
        <w:tc>
          <w:tcPr>
            <w:tcW w:w="321" w:type="pct"/>
            <w:vMerge w:val="continue"/>
            <w:noWrap w:val="0"/>
            <w:vAlign w:val="center"/>
          </w:tcPr>
          <w:p w14:paraId="64F337D0">
            <w:pPr>
              <w:widowControl w:val="0"/>
              <w:numPr>
                <w:ilvl w:val="0"/>
                <w:numId w:val="0"/>
              </w:numPr>
              <w:tabs>
                <w:tab w:val="left" w:pos="1980"/>
                <w:tab w:val="left" w:pos="2340"/>
                <w:tab w:val="left" w:pos="5580"/>
                <w:tab w:val="left" w:pos="7560"/>
                <w:tab w:val="left" w:pos="8640"/>
                <w:tab w:val="left" w:pos="8820"/>
              </w:tabs>
              <w:spacing w:line="360" w:lineRule="auto"/>
              <w:jc w:val="center"/>
              <w:rPr>
                <w:rFonts w:hint="eastAsia" w:ascii="宋体" w:hAnsi="宋体" w:eastAsia="宋体" w:cs="宋体"/>
                <w:sz w:val="21"/>
                <w:szCs w:val="21"/>
                <w:vertAlign w:val="baseline"/>
              </w:rPr>
            </w:pPr>
          </w:p>
        </w:tc>
      </w:tr>
      <w:tr w14:paraId="03625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2" w:hRule="atLeast"/>
          <w:jc w:val="center"/>
        </w:trPr>
        <w:tc>
          <w:tcPr>
            <w:tcW w:w="334" w:type="pct"/>
            <w:vMerge w:val="continue"/>
            <w:noWrap w:val="0"/>
            <w:vAlign w:val="center"/>
          </w:tcPr>
          <w:p w14:paraId="5BE10660">
            <w:pPr>
              <w:widowControl w:val="0"/>
              <w:numPr>
                <w:ilvl w:val="0"/>
                <w:numId w:val="0"/>
              </w:numPr>
              <w:tabs>
                <w:tab w:val="left" w:pos="1980"/>
                <w:tab w:val="left" w:pos="2340"/>
                <w:tab w:val="left" w:pos="5580"/>
                <w:tab w:val="left" w:pos="7560"/>
                <w:tab w:val="left" w:pos="8640"/>
                <w:tab w:val="left" w:pos="8820"/>
              </w:tabs>
              <w:spacing w:line="360" w:lineRule="auto"/>
              <w:jc w:val="center"/>
              <w:rPr>
                <w:rFonts w:hint="eastAsia" w:ascii="宋体" w:hAnsi="宋体" w:eastAsia="宋体" w:cs="宋体"/>
                <w:sz w:val="21"/>
                <w:szCs w:val="21"/>
                <w:vertAlign w:val="baseline"/>
              </w:rPr>
            </w:pPr>
          </w:p>
        </w:tc>
        <w:tc>
          <w:tcPr>
            <w:tcW w:w="554" w:type="pct"/>
            <w:vMerge w:val="continue"/>
            <w:noWrap w:val="0"/>
            <w:vAlign w:val="center"/>
          </w:tcPr>
          <w:p w14:paraId="2E92B329">
            <w:pPr>
              <w:widowControl w:val="0"/>
              <w:numPr>
                <w:ilvl w:val="0"/>
                <w:numId w:val="0"/>
              </w:numPr>
              <w:tabs>
                <w:tab w:val="left" w:pos="1980"/>
                <w:tab w:val="left" w:pos="2340"/>
                <w:tab w:val="left" w:pos="5580"/>
                <w:tab w:val="left" w:pos="7560"/>
                <w:tab w:val="left" w:pos="8640"/>
                <w:tab w:val="left" w:pos="8820"/>
              </w:tabs>
              <w:spacing w:line="360" w:lineRule="auto"/>
              <w:jc w:val="center"/>
              <w:rPr>
                <w:rFonts w:hint="eastAsia" w:ascii="宋体" w:hAnsi="宋体" w:eastAsia="宋体" w:cs="宋体"/>
                <w:sz w:val="21"/>
                <w:szCs w:val="21"/>
                <w:vertAlign w:val="baseline"/>
                <w:lang w:val="en-US" w:eastAsia="zh-CN"/>
              </w:rPr>
            </w:pPr>
          </w:p>
        </w:tc>
        <w:tc>
          <w:tcPr>
            <w:tcW w:w="527" w:type="pct"/>
            <w:vMerge w:val="continue"/>
            <w:noWrap w:val="0"/>
            <w:vAlign w:val="center"/>
          </w:tcPr>
          <w:p w14:paraId="085504D9">
            <w:pPr>
              <w:widowControl/>
              <w:jc w:val="center"/>
              <w:rPr>
                <w:rFonts w:hint="eastAsia" w:ascii="宋体" w:hAnsi="宋体" w:eastAsia="宋体" w:cs="宋体"/>
                <w:kern w:val="0"/>
                <w:sz w:val="21"/>
                <w:szCs w:val="21"/>
                <w:lang w:val="en-US" w:eastAsia="zh-CN"/>
              </w:rPr>
            </w:pPr>
          </w:p>
        </w:tc>
        <w:tc>
          <w:tcPr>
            <w:tcW w:w="596" w:type="pct"/>
            <w:vMerge w:val="continue"/>
            <w:noWrap w:val="0"/>
            <w:vAlign w:val="center"/>
          </w:tcPr>
          <w:p w14:paraId="51202477">
            <w:pPr>
              <w:widowControl/>
              <w:jc w:val="center"/>
              <w:rPr>
                <w:rFonts w:hint="eastAsia" w:ascii="宋体" w:hAnsi="宋体" w:eastAsia="宋体" w:cs="宋体"/>
                <w:sz w:val="21"/>
                <w:szCs w:val="21"/>
                <w:vertAlign w:val="baseline"/>
                <w:lang w:val="en-US" w:eastAsia="zh-CN"/>
              </w:rPr>
            </w:pPr>
          </w:p>
        </w:tc>
        <w:tc>
          <w:tcPr>
            <w:tcW w:w="573" w:type="pct"/>
            <w:vMerge w:val="continue"/>
            <w:noWrap w:val="0"/>
            <w:vAlign w:val="center"/>
          </w:tcPr>
          <w:p w14:paraId="22B64AF0">
            <w:pPr>
              <w:widowControl w:val="0"/>
              <w:tabs>
                <w:tab w:val="left" w:pos="1980"/>
                <w:tab w:val="left" w:pos="2340"/>
                <w:tab w:val="left" w:pos="5580"/>
                <w:tab w:val="left" w:pos="7560"/>
                <w:tab w:val="left" w:pos="8640"/>
                <w:tab w:val="left" w:pos="8820"/>
              </w:tabs>
              <w:spacing w:line="360" w:lineRule="auto"/>
              <w:jc w:val="center"/>
              <w:rPr>
                <w:rFonts w:hint="eastAsia" w:ascii="宋体" w:hAnsi="宋体" w:eastAsia="宋体" w:cs="宋体"/>
                <w:sz w:val="21"/>
                <w:szCs w:val="21"/>
                <w:vertAlign w:val="baseline"/>
                <w:lang w:val="en-US" w:eastAsia="zh-CN"/>
              </w:rPr>
            </w:pPr>
          </w:p>
        </w:tc>
        <w:tc>
          <w:tcPr>
            <w:tcW w:w="518" w:type="pct"/>
            <w:vMerge w:val="continue"/>
            <w:noWrap w:val="0"/>
            <w:vAlign w:val="center"/>
          </w:tcPr>
          <w:p w14:paraId="7E6FEEC4">
            <w:pPr>
              <w:widowControl w:val="0"/>
              <w:numPr>
                <w:ilvl w:val="0"/>
                <w:numId w:val="0"/>
              </w:numPr>
              <w:tabs>
                <w:tab w:val="left" w:pos="1980"/>
                <w:tab w:val="left" w:pos="2340"/>
                <w:tab w:val="left" w:pos="5580"/>
                <w:tab w:val="left" w:pos="7560"/>
                <w:tab w:val="left" w:pos="8640"/>
                <w:tab w:val="left" w:pos="8820"/>
              </w:tabs>
              <w:spacing w:line="360" w:lineRule="auto"/>
              <w:jc w:val="center"/>
              <w:rPr>
                <w:rFonts w:hint="eastAsia" w:ascii="宋体" w:hAnsi="宋体" w:eastAsia="宋体" w:cs="宋体"/>
                <w:sz w:val="21"/>
                <w:szCs w:val="21"/>
                <w:vertAlign w:val="baseline"/>
                <w:lang w:val="en-US" w:eastAsia="zh-CN"/>
              </w:rPr>
            </w:pPr>
          </w:p>
        </w:tc>
        <w:tc>
          <w:tcPr>
            <w:tcW w:w="797" w:type="pct"/>
            <w:vMerge w:val="continue"/>
            <w:noWrap w:val="0"/>
            <w:vAlign w:val="center"/>
          </w:tcPr>
          <w:p w14:paraId="592D8F0C">
            <w:pPr>
              <w:widowControl w:val="0"/>
              <w:numPr>
                <w:ilvl w:val="0"/>
                <w:numId w:val="0"/>
              </w:numPr>
              <w:tabs>
                <w:tab w:val="left" w:pos="1980"/>
                <w:tab w:val="left" w:pos="2340"/>
                <w:tab w:val="left" w:pos="5580"/>
                <w:tab w:val="left" w:pos="7560"/>
                <w:tab w:val="left" w:pos="8640"/>
                <w:tab w:val="left" w:pos="8820"/>
              </w:tabs>
              <w:spacing w:line="360" w:lineRule="auto"/>
              <w:jc w:val="center"/>
              <w:rPr>
                <w:rFonts w:hint="eastAsia" w:ascii="宋体" w:hAnsi="宋体" w:eastAsia="宋体" w:cs="宋体"/>
                <w:sz w:val="21"/>
                <w:szCs w:val="21"/>
                <w:vertAlign w:val="baseline"/>
              </w:rPr>
            </w:pPr>
          </w:p>
        </w:tc>
        <w:tc>
          <w:tcPr>
            <w:tcW w:w="776" w:type="pct"/>
            <w:noWrap w:val="0"/>
            <w:vAlign w:val="center"/>
          </w:tcPr>
          <w:p w14:paraId="68924E3B">
            <w:pPr>
              <w:widowControl/>
              <w:jc w:val="center"/>
              <w:rPr>
                <w:rFonts w:hint="eastAsia" w:ascii="宋体" w:hAnsi="宋体" w:eastAsia="宋体" w:cs="宋体"/>
                <w:kern w:val="0"/>
                <w:sz w:val="21"/>
                <w:szCs w:val="21"/>
                <w:lang w:val="en-US" w:eastAsia="zh-CN" w:bidi="ar-SA"/>
              </w:rPr>
            </w:pPr>
            <w:r>
              <w:rPr>
                <w:rFonts w:hint="eastAsia"/>
                <w:b w:val="0"/>
                <w:bCs w:val="0"/>
                <w:lang w:val="en-US" w:eastAsia="zh-CN"/>
              </w:rPr>
              <w:t>热值基准单价</w:t>
            </w:r>
            <w:r>
              <w:rPr>
                <w:rFonts w:hint="eastAsia" w:ascii="宋体" w:hAnsi="宋体" w:eastAsia="宋体" w:cs="宋体"/>
                <w:kern w:val="0"/>
                <w:sz w:val="21"/>
                <w:szCs w:val="21"/>
                <w:lang w:val="en-US" w:eastAsia="zh-CN"/>
              </w:rPr>
              <w:t xml:space="preserve"> </w:t>
            </w:r>
            <w:r>
              <w:rPr>
                <w:rFonts w:hint="eastAsia" w:ascii="宋体" w:hAnsi="宋体" w:eastAsia="宋体" w:cs="宋体"/>
                <w:i w:val="0"/>
                <w:iCs w:val="0"/>
                <w:color w:val="auto"/>
                <w:kern w:val="0"/>
                <w:sz w:val="24"/>
                <w:szCs w:val="24"/>
                <w:highlight w:val="none"/>
                <w:u w:val="none"/>
                <w:lang w:val="en-US" w:eastAsia="zh-CN" w:bidi="ar"/>
              </w:rPr>
              <w:t>（元 /[(kcal/kg)</w:t>
            </w:r>
            <w:r>
              <w:rPr>
                <w:rFonts w:hint="default" w:ascii="Arial" w:hAnsi="Arial" w:cs="Arial"/>
                <w:color w:val="auto"/>
                <w:sz w:val="21"/>
                <w:szCs w:val="21"/>
                <w:highlight w:val="none"/>
                <w:lang w:val="en-US" w:eastAsia="zh-CN"/>
              </w:rPr>
              <w:t>×</w:t>
            </w:r>
            <w:r>
              <w:rPr>
                <w:rFonts w:hint="eastAsia" w:ascii="宋体" w:hAnsi="宋体" w:eastAsia="宋体" w:cs="宋体"/>
                <w:i w:val="0"/>
                <w:iCs w:val="0"/>
                <w:color w:val="auto"/>
                <w:kern w:val="0"/>
                <w:sz w:val="24"/>
                <w:szCs w:val="24"/>
                <w:highlight w:val="none"/>
                <w:u w:val="none"/>
                <w:lang w:val="en-US" w:eastAsia="zh-CN" w:bidi="ar"/>
              </w:rPr>
              <w:t>吨]</w:t>
            </w:r>
            <w:r>
              <w:rPr>
                <w:rFonts w:hint="eastAsia" w:ascii="宋体" w:hAnsi="宋体" w:eastAsia="宋体" w:cs="宋体"/>
                <w:color w:val="auto"/>
                <w:kern w:val="0"/>
                <w:sz w:val="21"/>
                <w:szCs w:val="21"/>
                <w:highlight w:val="none"/>
              </w:rPr>
              <w:t>）</w:t>
            </w:r>
          </w:p>
        </w:tc>
        <w:tc>
          <w:tcPr>
            <w:tcW w:w="321" w:type="pct"/>
            <w:noWrap w:val="0"/>
            <w:vAlign w:val="center"/>
          </w:tcPr>
          <w:p w14:paraId="34F450EB">
            <w:pPr>
              <w:widowControl/>
              <w:jc w:val="center"/>
              <w:rPr>
                <w:rFonts w:hint="default"/>
                <w:b w:val="0"/>
                <w:bCs w:val="0"/>
                <w:lang w:val="en-US" w:eastAsia="zh-CN"/>
              </w:rPr>
            </w:pPr>
          </w:p>
        </w:tc>
      </w:tr>
      <w:tr w14:paraId="0D7BB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jc w:val="center"/>
        </w:trPr>
        <w:tc>
          <w:tcPr>
            <w:tcW w:w="334" w:type="pct"/>
            <w:shd w:val="clear" w:color="auto" w:fill="auto"/>
            <w:noWrap w:val="0"/>
            <w:vAlign w:val="center"/>
          </w:tcPr>
          <w:p w14:paraId="606D28C2">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烟煤</w:t>
            </w:r>
          </w:p>
        </w:tc>
        <w:tc>
          <w:tcPr>
            <w:tcW w:w="554" w:type="pct"/>
            <w:shd w:val="clear" w:color="auto" w:fill="auto"/>
            <w:noWrap w:val="0"/>
            <w:vAlign w:val="center"/>
          </w:tcPr>
          <w:p w14:paraId="586848D0">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rPr>
              <w:t>≥</w:t>
            </w:r>
            <w:r>
              <w:rPr>
                <w:rFonts w:hint="eastAsia" w:ascii="宋体" w:hAnsi="宋体" w:cs="宋体"/>
                <w:sz w:val="21"/>
                <w:szCs w:val="21"/>
                <w:vertAlign w:val="baseline"/>
                <w:lang w:val="en-US" w:eastAsia="zh-CN"/>
              </w:rPr>
              <w:t>30</w:t>
            </w:r>
            <w:r>
              <w:rPr>
                <w:rFonts w:hint="eastAsia" w:ascii="宋体" w:hAnsi="宋体" w:eastAsia="宋体" w:cs="宋体"/>
                <w:sz w:val="21"/>
                <w:szCs w:val="21"/>
                <w:vertAlign w:val="baseline"/>
                <w:lang w:val="en-US" w:eastAsia="zh-CN"/>
              </w:rPr>
              <w:t>00</w:t>
            </w:r>
          </w:p>
        </w:tc>
        <w:tc>
          <w:tcPr>
            <w:tcW w:w="527" w:type="pct"/>
            <w:shd w:val="clear" w:color="auto" w:fill="auto"/>
            <w:noWrap w:val="0"/>
            <w:vAlign w:val="center"/>
          </w:tcPr>
          <w:p w14:paraId="6B7800C3">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rPr>
              <w:t>≤</w:t>
            </w:r>
            <w:r>
              <w:rPr>
                <w:rFonts w:hint="eastAsia" w:ascii="宋体" w:hAnsi="宋体" w:eastAsia="宋体" w:cs="宋体"/>
                <w:sz w:val="21"/>
                <w:szCs w:val="21"/>
                <w:vertAlign w:val="baseline"/>
                <w:lang w:val="en-US" w:eastAsia="zh-CN"/>
              </w:rPr>
              <w:t>1</w:t>
            </w:r>
            <w:r>
              <w:rPr>
                <w:rFonts w:hint="eastAsia" w:ascii="宋体" w:hAnsi="宋体" w:cs="宋体"/>
                <w:sz w:val="21"/>
                <w:szCs w:val="21"/>
                <w:vertAlign w:val="baseline"/>
                <w:lang w:val="en-US" w:eastAsia="zh-CN"/>
              </w:rPr>
              <w:t>5</w:t>
            </w:r>
            <w:r>
              <w:rPr>
                <w:rFonts w:hint="eastAsia" w:ascii="宋体" w:hAnsi="宋体" w:eastAsia="宋体" w:cs="宋体"/>
                <w:sz w:val="21"/>
                <w:szCs w:val="21"/>
                <w:vertAlign w:val="baseline"/>
                <w:lang w:val="en-US" w:eastAsia="zh-CN"/>
              </w:rPr>
              <w:t>.0</w:t>
            </w:r>
          </w:p>
        </w:tc>
        <w:tc>
          <w:tcPr>
            <w:tcW w:w="596" w:type="pct"/>
            <w:shd w:val="clear" w:color="auto" w:fill="auto"/>
            <w:noWrap w:val="0"/>
            <w:vAlign w:val="center"/>
          </w:tcPr>
          <w:p w14:paraId="09F8EB68">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cs="宋体"/>
                <w:sz w:val="21"/>
                <w:szCs w:val="21"/>
                <w:vertAlign w:val="baseline"/>
                <w:lang w:val="en-US" w:eastAsia="zh-CN"/>
              </w:rPr>
              <w:t>13.00≤Var(%)≤25.00</w:t>
            </w:r>
          </w:p>
        </w:tc>
        <w:tc>
          <w:tcPr>
            <w:tcW w:w="573" w:type="pct"/>
            <w:shd w:val="clear" w:color="auto" w:fill="auto"/>
            <w:noWrap w:val="0"/>
            <w:vAlign w:val="center"/>
          </w:tcPr>
          <w:p w14:paraId="5CFEBD05">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rPr>
              <w:t>≤</w:t>
            </w:r>
            <w:r>
              <w:rPr>
                <w:rFonts w:hint="eastAsia" w:ascii="宋体" w:hAnsi="宋体" w:eastAsia="宋体" w:cs="宋体"/>
                <w:sz w:val="21"/>
                <w:szCs w:val="21"/>
                <w:vertAlign w:val="baseline"/>
                <w:lang w:val="en-US" w:eastAsia="zh-CN"/>
              </w:rPr>
              <w:t>3.00</w:t>
            </w:r>
          </w:p>
        </w:tc>
        <w:tc>
          <w:tcPr>
            <w:tcW w:w="518" w:type="pct"/>
            <w:shd w:val="clear" w:color="auto" w:fill="auto"/>
            <w:noWrap w:val="0"/>
            <w:vAlign w:val="center"/>
          </w:tcPr>
          <w:p w14:paraId="6B76AB7A">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cs="宋体"/>
                <w:sz w:val="21"/>
                <w:szCs w:val="21"/>
                <w:vertAlign w:val="baseline"/>
                <w:lang w:val="en-US" w:eastAsia="zh-CN"/>
              </w:rPr>
              <w:t>≤50</w:t>
            </w:r>
          </w:p>
        </w:tc>
        <w:tc>
          <w:tcPr>
            <w:tcW w:w="797" w:type="pct"/>
            <w:shd w:val="clear" w:color="auto" w:fill="auto"/>
            <w:noWrap w:val="0"/>
            <w:vAlign w:val="center"/>
          </w:tcPr>
          <w:p w14:paraId="1D547313">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cs="宋体"/>
                <w:sz w:val="21"/>
                <w:szCs w:val="21"/>
                <w:vertAlign w:val="baseline"/>
                <w:lang w:val="en-US" w:eastAsia="zh-CN"/>
              </w:rPr>
              <w:t>≥10000</w:t>
            </w:r>
          </w:p>
        </w:tc>
        <w:tc>
          <w:tcPr>
            <w:tcW w:w="776" w:type="pct"/>
            <w:shd w:val="clear" w:color="auto" w:fill="auto"/>
            <w:noWrap w:val="0"/>
            <w:vAlign w:val="center"/>
          </w:tcPr>
          <w:p w14:paraId="5C1FA83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cs="宋体" w:eastAsiaTheme="minorEastAsia"/>
                <w:color w:val="auto"/>
                <w:kern w:val="2"/>
                <w:sz w:val="20"/>
                <w:szCs w:val="20"/>
                <w:lang w:val="en-US" w:eastAsia="zh-CN" w:bidi="ar-SA"/>
              </w:rPr>
            </w:pPr>
          </w:p>
        </w:tc>
        <w:tc>
          <w:tcPr>
            <w:tcW w:w="321" w:type="pct"/>
            <w:noWrap w:val="0"/>
            <w:vAlign w:val="center"/>
          </w:tcPr>
          <w:p w14:paraId="7AB0BA08">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jc w:val="center"/>
              <w:textAlignment w:val="auto"/>
              <w:rPr>
                <w:rFonts w:hint="default" w:ascii="宋体" w:hAnsi="宋体" w:eastAsia="宋体" w:cs="宋体"/>
                <w:sz w:val="21"/>
                <w:szCs w:val="21"/>
                <w:vertAlign w:val="baseline"/>
                <w:lang w:val="en-US" w:eastAsia="zh-CN"/>
              </w:rPr>
            </w:pPr>
          </w:p>
        </w:tc>
      </w:tr>
    </w:tbl>
    <w:p w14:paraId="7CDF5E4F">
      <w:pPr>
        <w:adjustRightInd/>
        <w:snapToGrid/>
        <w:spacing w:after="0" w:line="360" w:lineRule="auto"/>
        <w:rPr>
          <w:rFonts w:hint="default" w:ascii="宋体" w:hAnsi="宋体" w:eastAsia="宋体" w:cs="宋体"/>
          <w:sz w:val="28"/>
          <w:szCs w:val="28"/>
          <w:lang w:val="en-US" w:eastAsia="zh-CN"/>
        </w:rPr>
      </w:pPr>
    </w:p>
    <w:p w14:paraId="060A8FBF">
      <w:pPr>
        <w:adjustRightInd/>
        <w:snapToGrid/>
        <w:spacing w:after="0" w:line="360" w:lineRule="auto"/>
        <w:rPr>
          <w:rFonts w:hint="eastAsia" w:ascii="宋体" w:hAnsi="宋体" w:eastAsia="宋体" w:cs="宋体"/>
          <w:sz w:val="21"/>
          <w:szCs w:val="21"/>
        </w:rPr>
      </w:pPr>
      <w:r>
        <w:rPr>
          <w:rFonts w:hint="eastAsia" w:ascii="宋体" w:hAnsi="宋体" w:eastAsia="宋体" w:cs="宋体"/>
          <w:sz w:val="21"/>
          <w:szCs w:val="21"/>
        </w:rPr>
        <w:t>本表</w:t>
      </w:r>
      <w:r>
        <w:rPr>
          <w:rFonts w:hint="eastAsia" w:ascii="宋体" w:hAnsi="宋体" w:eastAsia="宋体" w:cs="宋体"/>
          <w:sz w:val="21"/>
          <w:szCs w:val="21"/>
          <w:lang w:eastAsia="zh-CN"/>
        </w:rPr>
        <w:t>供应商</w:t>
      </w:r>
      <w:r>
        <w:rPr>
          <w:rFonts w:hint="eastAsia" w:ascii="宋体" w:hAnsi="宋体" w:eastAsia="宋体" w:cs="宋体"/>
          <w:sz w:val="21"/>
          <w:szCs w:val="21"/>
        </w:rPr>
        <w:t>可自行扩展。</w:t>
      </w:r>
    </w:p>
    <w:p w14:paraId="7A8FF836">
      <w:pPr>
        <w:adjustRightInd/>
        <w:snapToGrid/>
        <w:spacing w:after="0" w:line="360" w:lineRule="auto"/>
        <w:rPr>
          <w:rFonts w:hint="eastAsia" w:ascii="宋体" w:hAnsi="宋体" w:eastAsia="宋体" w:cs="宋体"/>
          <w:sz w:val="21"/>
          <w:szCs w:val="21"/>
        </w:rPr>
      </w:pPr>
      <w:r>
        <w:rPr>
          <w:rFonts w:hint="eastAsia" w:ascii="宋体" w:hAnsi="宋体" w:eastAsia="宋体" w:cs="宋体"/>
          <w:b/>
          <w:bCs/>
          <w:sz w:val="21"/>
          <w:szCs w:val="21"/>
        </w:rPr>
        <w:t>说明</w:t>
      </w:r>
      <w:r>
        <w:rPr>
          <w:rFonts w:hint="eastAsia" w:ascii="宋体" w:hAnsi="宋体" w:eastAsia="宋体" w:cs="宋体"/>
          <w:sz w:val="21"/>
          <w:szCs w:val="21"/>
        </w:rPr>
        <w:t>：</w:t>
      </w:r>
    </w:p>
    <w:p w14:paraId="50CF361A">
      <w:pPr>
        <w:adjustRightInd/>
        <w:snapToGrid/>
        <w:spacing w:after="0" w:line="360" w:lineRule="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所有价格均系用人民币。</w:t>
      </w:r>
    </w:p>
    <w:p w14:paraId="336054A8">
      <w:pPr>
        <w:adjustRightInd/>
        <w:snapToGrid/>
        <w:spacing w:after="0" w:line="360" w:lineRule="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2.热值基准单价（元 /[(kcal/kg)</w:t>
      </w:r>
      <w:r>
        <w:rPr>
          <w:rFonts w:hint="default" w:ascii="Arial" w:hAnsi="Arial" w:cs="Arial"/>
          <w:sz w:val="21"/>
          <w:szCs w:val="21"/>
          <w:lang w:val="en-US" w:eastAsia="zh-CN"/>
        </w:rPr>
        <w:t>×</w:t>
      </w:r>
      <w:r>
        <w:rPr>
          <w:rFonts w:hint="eastAsia" w:ascii="宋体" w:hAnsi="宋体" w:eastAsia="宋体" w:cs="宋体"/>
          <w:sz w:val="21"/>
          <w:szCs w:val="21"/>
          <w:lang w:val="en-US" w:eastAsia="zh-CN"/>
        </w:rPr>
        <w:t>吨]</w:t>
      </w:r>
      <w:r>
        <w:rPr>
          <w:rFonts w:hint="eastAsia" w:ascii="宋体" w:hAnsi="宋体" w:eastAsia="宋体" w:cs="宋体"/>
          <w:sz w:val="21"/>
          <w:szCs w:val="21"/>
        </w:rPr>
        <w:t>）</w:t>
      </w:r>
      <w:r>
        <w:rPr>
          <w:rFonts w:hint="eastAsia" w:ascii="宋体" w:hAnsi="宋体" w:eastAsia="宋体" w:cs="宋体"/>
          <w:sz w:val="21"/>
          <w:szCs w:val="21"/>
          <w:lang w:val="en-US" w:eastAsia="zh-CN"/>
        </w:rPr>
        <w:t>报价保留</w:t>
      </w:r>
      <w:r>
        <w:rPr>
          <w:rFonts w:hint="eastAsia" w:ascii="宋体" w:hAnsi="宋体" w:cs="宋体"/>
          <w:sz w:val="21"/>
          <w:szCs w:val="21"/>
          <w:lang w:val="en-US" w:eastAsia="zh-CN"/>
        </w:rPr>
        <w:t>3</w:t>
      </w:r>
      <w:r>
        <w:rPr>
          <w:rFonts w:hint="eastAsia" w:ascii="宋体" w:hAnsi="宋体" w:eastAsia="宋体" w:cs="宋体"/>
          <w:sz w:val="21"/>
          <w:szCs w:val="21"/>
          <w:lang w:val="en-US" w:eastAsia="zh-CN"/>
        </w:rPr>
        <w:t>位小数（若有第三轮报价，报价可保留4位小数）。</w:t>
      </w:r>
    </w:p>
    <w:p w14:paraId="56427B48">
      <w:pPr>
        <w:adjustRightInd/>
        <w:snapToGrid/>
        <w:spacing w:after="0" w:line="360" w:lineRule="auto"/>
        <w:rPr>
          <w:rFonts w:hint="eastAsia" w:ascii="宋体" w:hAnsi="宋体" w:eastAsia="宋体" w:cs="宋体"/>
          <w:sz w:val="21"/>
          <w:szCs w:val="21"/>
        </w:rPr>
      </w:pPr>
      <w:r>
        <w:rPr>
          <w:rFonts w:hint="eastAsia" w:ascii="宋体" w:hAnsi="宋体" w:eastAsia="宋体" w:cs="宋体"/>
          <w:sz w:val="21"/>
          <w:szCs w:val="21"/>
          <w:lang w:val="en-US" w:eastAsia="zh-CN"/>
        </w:rPr>
        <w:t>3.货物单价（元/吨）报价=热值基准单价报价</w:t>
      </w:r>
      <w:r>
        <w:rPr>
          <w:rFonts w:hint="default" w:ascii="Arial" w:hAnsi="Arial" w:cs="Arial"/>
          <w:sz w:val="21"/>
          <w:szCs w:val="21"/>
          <w:lang w:val="en-US" w:eastAsia="zh-CN"/>
        </w:rPr>
        <w:t>×</w:t>
      </w:r>
      <w:r>
        <w:rPr>
          <w:rFonts w:hint="eastAsia" w:ascii="宋体" w:hAnsi="宋体" w:cs="宋体"/>
          <w:sz w:val="21"/>
          <w:szCs w:val="21"/>
          <w:lang w:val="en-US" w:eastAsia="zh-CN"/>
        </w:rPr>
        <w:t>3000（保留2位小数）。</w:t>
      </w:r>
    </w:p>
    <w:p w14:paraId="2DB938D1">
      <w:pPr>
        <w:adjustRightInd w:val="0"/>
        <w:snapToGrid w:val="0"/>
        <w:spacing w:line="360" w:lineRule="auto"/>
        <w:rPr>
          <w:rFonts w:hint="eastAsia" w:ascii="宋体" w:hAnsi="宋体" w:eastAsia="宋体" w:cs="宋体"/>
          <w:sz w:val="24"/>
        </w:rPr>
      </w:pPr>
    </w:p>
    <w:p w14:paraId="2A1105A1">
      <w:pPr>
        <w:adjustRightInd w:val="0"/>
        <w:snapToGrid w:val="0"/>
        <w:spacing w:line="360" w:lineRule="auto"/>
        <w:rPr>
          <w:rFonts w:hint="eastAsia" w:ascii="宋体" w:hAnsi="宋体" w:eastAsia="宋体" w:cs="宋体"/>
          <w:sz w:val="24"/>
        </w:rPr>
      </w:pPr>
    </w:p>
    <w:p w14:paraId="2C4AD974">
      <w:pPr>
        <w:adjustRightInd w:val="0"/>
        <w:snapToGrid w:val="0"/>
        <w:spacing w:line="360" w:lineRule="auto"/>
        <w:ind w:firstLine="3600" w:firstLineChars="1500"/>
        <w:rPr>
          <w:rFonts w:hint="eastAsia" w:ascii="宋体" w:hAnsi="宋体" w:eastAsia="宋体" w:cs="宋体"/>
          <w:sz w:val="24"/>
        </w:rPr>
      </w:pPr>
    </w:p>
    <w:p w14:paraId="3920CDE3">
      <w:pPr>
        <w:adjustRightInd w:val="0"/>
        <w:snapToGrid w:val="0"/>
        <w:spacing w:line="360" w:lineRule="auto"/>
        <w:ind w:firstLine="3600" w:firstLineChars="1500"/>
        <w:rPr>
          <w:rFonts w:hint="eastAsia" w:ascii="宋体" w:hAnsi="宋体" w:eastAsia="宋体" w:cs="宋体"/>
          <w:sz w:val="24"/>
          <w:u w:val="single"/>
        </w:rPr>
      </w:pPr>
      <w:r>
        <w:rPr>
          <w:rFonts w:hint="eastAsia" w:ascii="宋体" w:hAnsi="宋体" w:eastAsia="宋体" w:cs="宋体"/>
          <w:sz w:val="24"/>
        </w:rPr>
        <w:t>供应商名称（单位公章）：</w:t>
      </w:r>
    </w:p>
    <w:p w14:paraId="11C97F6C">
      <w:pPr>
        <w:adjustRightInd w:val="0"/>
        <w:snapToGrid w:val="0"/>
        <w:spacing w:line="360" w:lineRule="auto"/>
        <w:rPr>
          <w:rFonts w:hint="eastAsia" w:ascii="宋体" w:hAnsi="宋体" w:eastAsia="宋体" w:cs="宋体"/>
          <w:sz w:val="24"/>
          <w:lang w:eastAsia="zh-CN"/>
        </w:rPr>
      </w:pPr>
    </w:p>
    <w:p w14:paraId="734BFFD1">
      <w:pPr>
        <w:adjustRightInd w:val="0"/>
        <w:snapToGrid w:val="0"/>
        <w:spacing w:line="360" w:lineRule="auto"/>
        <w:ind w:firstLine="240" w:firstLineChars="100"/>
        <w:rPr>
          <w:rFonts w:hint="eastAsia" w:ascii="宋体" w:hAnsi="宋体" w:eastAsia="宋体" w:cs="宋体"/>
          <w:sz w:val="24"/>
        </w:rPr>
      </w:pPr>
      <w:r>
        <w:rPr>
          <w:rFonts w:hint="eastAsia" w:ascii="宋体" w:hAnsi="宋体" w:eastAsia="宋体" w:cs="宋体"/>
          <w:sz w:val="24"/>
          <w:lang w:eastAsia="zh-CN"/>
        </w:rPr>
        <w:t>法定代表人或法定代表人授权委托代理人</w:t>
      </w:r>
      <w:r>
        <w:rPr>
          <w:rFonts w:hint="eastAsia" w:ascii="宋体" w:hAnsi="宋体" w:eastAsia="宋体" w:cs="宋体"/>
          <w:sz w:val="24"/>
        </w:rPr>
        <w:t>（签字或盖章）：</w:t>
      </w:r>
    </w:p>
    <w:p w14:paraId="3114D73C">
      <w:pPr>
        <w:adjustRightInd w:val="0"/>
        <w:snapToGrid w:val="0"/>
        <w:spacing w:line="360" w:lineRule="auto"/>
        <w:ind w:firstLine="2880" w:firstLineChars="1200"/>
        <w:rPr>
          <w:rFonts w:hint="eastAsia" w:ascii="宋体" w:hAnsi="宋体" w:eastAsia="宋体" w:cs="宋体"/>
          <w:sz w:val="24"/>
        </w:rPr>
      </w:pPr>
    </w:p>
    <w:p w14:paraId="6ADC51D9">
      <w:pPr>
        <w:adjustRightInd w:val="0"/>
        <w:snapToGrid w:val="0"/>
        <w:spacing w:line="360" w:lineRule="auto"/>
        <w:ind w:firstLine="5760" w:firstLineChars="2400"/>
        <w:rPr>
          <w:rFonts w:hint="eastAsia" w:ascii="宋体" w:hAnsi="宋体" w:eastAsia="宋体" w:cs="宋体"/>
          <w:sz w:val="24"/>
        </w:rPr>
      </w:pPr>
      <w:r>
        <w:rPr>
          <w:rFonts w:hint="eastAsia" w:ascii="宋体" w:hAnsi="宋体" w:eastAsia="宋体" w:cs="宋体"/>
          <w:sz w:val="24"/>
        </w:rPr>
        <w:t>日期：</w:t>
      </w:r>
      <w:r>
        <w:rPr>
          <w:rFonts w:hint="eastAsia" w:ascii="宋体" w:hAnsi="宋体" w:eastAsia="宋体" w:cs="宋体"/>
          <w:sz w:val="24"/>
          <w:lang w:val="en-US" w:eastAsia="zh-CN"/>
        </w:rPr>
        <w:t xml:space="preserve">   </w:t>
      </w:r>
    </w:p>
    <w:p w14:paraId="6AC4FD57">
      <w:pPr>
        <w:rPr>
          <w:rFonts w:hint="eastAsia" w:ascii="宋体" w:hAnsi="宋体" w:eastAsia="宋体" w:cs="宋体"/>
          <w:b/>
          <w:sz w:val="32"/>
          <w:szCs w:val="32"/>
        </w:rPr>
      </w:pPr>
    </w:p>
    <w:p w14:paraId="6241E47C">
      <w:pPr>
        <w:rPr>
          <w:rFonts w:hint="eastAsia" w:ascii="宋体" w:hAnsi="宋体" w:eastAsia="宋体" w:cs="宋体"/>
          <w:b/>
          <w:sz w:val="32"/>
          <w:szCs w:val="32"/>
        </w:rPr>
      </w:pPr>
    </w:p>
    <w:p w14:paraId="68513B4D">
      <w:pPr>
        <w:rPr>
          <w:rFonts w:hint="eastAsia" w:ascii="宋体" w:hAnsi="宋体" w:eastAsia="宋体" w:cs="宋体"/>
          <w:b/>
          <w:sz w:val="32"/>
          <w:szCs w:val="32"/>
        </w:rPr>
      </w:pPr>
    </w:p>
    <w:p w14:paraId="7421AD62">
      <w:pPr>
        <w:rPr>
          <w:rFonts w:hint="eastAsia" w:ascii="宋体" w:hAnsi="宋体" w:eastAsia="宋体" w:cs="宋体"/>
          <w:b/>
          <w:sz w:val="32"/>
          <w:szCs w:val="32"/>
        </w:rPr>
      </w:pPr>
    </w:p>
    <w:p w14:paraId="0E268FF7">
      <w:pPr>
        <w:rPr>
          <w:rFonts w:hint="eastAsia" w:ascii="宋体" w:hAnsi="宋体" w:eastAsia="宋体" w:cs="宋体"/>
          <w:b/>
          <w:sz w:val="32"/>
          <w:szCs w:val="32"/>
        </w:rPr>
      </w:pPr>
    </w:p>
    <w:p w14:paraId="18E53691">
      <w:pPr>
        <w:rPr>
          <w:rFonts w:hint="eastAsia" w:ascii="宋体" w:hAnsi="宋体" w:eastAsia="宋体" w:cs="宋体"/>
          <w:b/>
          <w:sz w:val="32"/>
          <w:szCs w:val="32"/>
        </w:rPr>
      </w:pPr>
    </w:p>
    <w:p w14:paraId="224C5FD4">
      <w:pPr>
        <w:spacing w:after="100" w:afterAutospacing="1" w:line="360" w:lineRule="auto"/>
        <w:jc w:val="center"/>
        <w:rPr>
          <w:rFonts w:hint="eastAsia" w:ascii="宋体" w:hAnsi="宋体" w:eastAsia="宋体" w:cs="宋体"/>
          <w:b/>
          <w:sz w:val="32"/>
          <w:szCs w:val="32"/>
        </w:rPr>
      </w:pPr>
      <w:r>
        <w:rPr>
          <w:rFonts w:hint="eastAsia" w:ascii="宋体" w:hAnsi="宋体" w:eastAsia="宋体" w:cs="宋体"/>
          <w:b/>
          <w:sz w:val="32"/>
          <w:szCs w:val="32"/>
          <w:lang w:val="en-US" w:eastAsia="zh-CN"/>
        </w:rPr>
        <w:t>三、</w:t>
      </w:r>
      <w:r>
        <w:rPr>
          <w:rFonts w:hint="eastAsia" w:ascii="宋体" w:hAnsi="宋体" w:eastAsia="宋体" w:cs="宋体"/>
          <w:b/>
          <w:sz w:val="32"/>
          <w:szCs w:val="32"/>
          <w:lang w:eastAsia="zh-CN"/>
        </w:rPr>
        <w:t>法定代表人</w:t>
      </w:r>
      <w:r>
        <w:rPr>
          <w:rFonts w:hint="eastAsia" w:ascii="宋体" w:hAnsi="宋体" w:eastAsia="宋体" w:cs="宋体"/>
          <w:b/>
          <w:sz w:val="32"/>
          <w:szCs w:val="32"/>
        </w:rPr>
        <w:t>身份证明</w:t>
      </w:r>
    </w:p>
    <w:p w14:paraId="329EBA56">
      <w:pPr>
        <w:spacing w:line="360" w:lineRule="auto"/>
        <w:ind w:firstLine="480" w:firstLineChars="200"/>
        <w:rPr>
          <w:rFonts w:hint="eastAsia" w:ascii="宋体" w:hAnsi="宋体" w:eastAsia="宋体" w:cs="宋体"/>
          <w:sz w:val="24"/>
          <w:szCs w:val="20"/>
          <w:u w:val="single"/>
          <w:lang w:val="en-US" w:eastAsia="zh-CN"/>
        </w:rPr>
      </w:pPr>
      <w:r>
        <w:rPr>
          <w:rFonts w:hint="eastAsia" w:ascii="宋体" w:hAnsi="宋体" w:eastAsia="宋体" w:cs="宋体"/>
          <w:sz w:val="24"/>
        </w:rPr>
        <w:t>单位名称：</w:t>
      </w:r>
      <w:r>
        <w:rPr>
          <w:rFonts w:hint="eastAsia" w:ascii="宋体" w:hAnsi="宋体" w:eastAsia="宋体" w:cs="宋体"/>
          <w:sz w:val="24"/>
          <w:lang w:val="en-US" w:eastAsia="zh-CN"/>
        </w:rPr>
        <w:t xml:space="preserve"> </w:t>
      </w:r>
      <w:r>
        <w:rPr>
          <w:rFonts w:hint="eastAsia" w:ascii="宋体" w:hAnsi="宋体" w:eastAsia="宋体" w:cs="宋体"/>
          <w:sz w:val="24"/>
          <w:u w:val="single"/>
          <w:lang w:val="en-US" w:eastAsia="zh-CN"/>
        </w:rPr>
        <w:t xml:space="preserve">                              </w:t>
      </w:r>
    </w:p>
    <w:p w14:paraId="1A48DFB1">
      <w:pPr>
        <w:spacing w:line="360" w:lineRule="auto"/>
        <w:ind w:firstLine="480" w:firstLineChars="200"/>
        <w:rPr>
          <w:rFonts w:hint="eastAsia" w:ascii="宋体" w:hAnsi="宋体" w:eastAsia="宋体" w:cs="宋体"/>
          <w:sz w:val="24"/>
        </w:rPr>
      </w:pPr>
    </w:p>
    <w:p w14:paraId="6FAE6C3A">
      <w:pPr>
        <w:spacing w:line="360" w:lineRule="auto"/>
        <w:ind w:firstLine="480" w:firstLineChars="200"/>
        <w:rPr>
          <w:rFonts w:hint="eastAsia" w:ascii="宋体" w:hAnsi="宋体" w:eastAsia="宋体" w:cs="宋体"/>
          <w:sz w:val="24"/>
          <w:u w:val="single"/>
          <w:lang w:val="en-US" w:eastAsia="zh-CN"/>
        </w:rPr>
      </w:pPr>
      <w:r>
        <w:rPr>
          <w:rFonts w:hint="eastAsia" w:ascii="宋体" w:hAnsi="宋体" w:eastAsia="宋体" w:cs="宋体"/>
          <w:sz w:val="24"/>
        </w:rPr>
        <w:t>地    址：</w:t>
      </w:r>
      <w:r>
        <w:rPr>
          <w:rFonts w:hint="eastAsia" w:ascii="宋体" w:hAnsi="宋体" w:eastAsia="宋体" w:cs="宋体"/>
          <w:sz w:val="24"/>
          <w:lang w:val="en-US" w:eastAsia="zh-CN"/>
        </w:rPr>
        <w:t xml:space="preserve"> </w:t>
      </w:r>
      <w:r>
        <w:rPr>
          <w:rFonts w:hint="eastAsia" w:ascii="宋体" w:hAnsi="宋体" w:eastAsia="宋体" w:cs="宋体"/>
          <w:sz w:val="24"/>
          <w:u w:val="single"/>
          <w:lang w:val="en-US" w:eastAsia="zh-CN"/>
        </w:rPr>
        <w:t xml:space="preserve">                                       </w:t>
      </w:r>
    </w:p>
    <w:p w14:paraId="7C2F6071">
      <w:pPr>
        <w:spacing w:line="360" w:lineRule="auto"/>
        <w:ind w:firstLine="480" w:firstLineChars="200"/>
        <w:rPr>
          <w:rFonts w:hint="eastAsia" w:ascii="宋体" w:hAnsi="宋体" w:eastAsia="宋体" w:cs="宋体"/>
          <w:sz w:val="24"/>
        </w:rPr>
      </w:pPr>
    </w:p>
    <w:p w14:paraId="1D43533B">
      <w:pPr>
        <w:spacing w:line="360" w:lineRule="auto"/>
        <w:ind w:firstLine="480" w:firstLineChars="200"/>
        <w:rPr>
          <w:rFonts w:hint="eastAsia" w:ascii="宋体" w:hAnsi="宋体" w:eastAsia="宋体" w:cs="宋体"/>
          <w:sz w:val="24"/>
          <w:u w:val="single"/>
        </w:rPr>
      </w:pPr>
      <w:r>
        <w:rPr>
          <w:rFonts w:hint="eastAsia" w:ascii="宋体" w:hAnsi="宋体" w:eastAsia="宋体" w:cs="宋体"/>
          <w:sz w:val="24"/>
        </w:rPr>
        <w:t>姓    名：</w:t>
      </w:r>
      <w:r>
        <w:rPr>
          <w:rFonts w:hint="eastAsia" w:ascii="宋体" w:hAnsi="宋体" w:eastAsia="宋体" w:cs="宋体"/>
          <w:sz w:val="24"/>
          <w:u w:val="single"/>
          <w:lang w:val="en-US" w:eastAsia="zh-CN"/>
        </w:rPr>
        <w:t xml:space="preserve">      </w:t>
      </w:r>
      <w:r>
        <w:rPr>
          <w:rFonts w:hint="eastAsia" w:ascii="宋体" w:hAnsi="宋体" w:eastAsia="宋体" w:cs="宋体"/>
          <w:sz w:val="24"/>
          <w:u w:val="none"/>
          <w:lang w:val="en-US" w:eastAsia="zh-CN"/>
        </w:rPr>
        <w:t xml:space="preserve">    </w:t>
      </w:r>
      <w:r>
        <w:rPr>
          <w:rFonts w:hint="eastAsia" w:ascii="宋体" w:hAnsi="宋体" w:eastAsia="宋体" w:cs="宋体"/>
          <w:sz w:val="24"/>
        </w:rPr>
        <w:tab/>
      </w:r>
      <w:r>
        <w:rPr>
          <w:rFonts w:hint="eastAsia" w:ascii="宋体" w:hAnsi="宋体" w:eastAsia="宋体" w:cs="宋体"/>
          <w:sz w:val="24"/>
        </w:rPr>
        <w:t>性别：</w:t>
      </w:r>
      <w:r>
        <w:rPr>
          <w:rFonts w:hint="eastAsia" w:ascii="宋体" w:hAnsi="宋体" w:eastAsia="宋体" w:cs="宋体"/>
          <w:sz w:val="24"/>
          <w:u w:val="single"/>
          <w:lang w:val="en-US" w:eastAsia="zh-CN"/>
        </w:rPr>
        <w:t xml:space="preserve">      </w:t>
      </w:r>
      <w:r>
        <w:rPr>
          <w:rFonts w:hint="eastAsia" w:ascii="宋体" w:hAnsi="宋体" w:eastAsia="宋体" w:cs="宋体"/>
          <w:sz w:val="24"/>
        </w:rPr>
        <w:tab/>
      </w:r>
      <w:r>
        <w:rPr>
          <w:rFonts w:hint="eastAsia" w:ascii="宋体" w:hAnsi="宋体" w:eastAsia="宋体" w:cs="宋体"/>
          <w:sz w:val="24"/>
          <w:lang w:val="en-US" w:eastAsia="zh-CN"/>
        </w:rPr>
        <w:t xml:space="preserve"> </w:t>
      </w:r>
      <w:r>
        <w:rPr>
          <w:rFonts w:hint="eastAsia" w:ascii="宋体" w:hAnsi="宋体" w:eastAsia="宋体" w:cs="宋体"/>
          <w:sz w:val="24"/>
        </w:rPr>
        <w:t>职务：</w:t>
      </w:r>
      <w:r>
        <w:rPr>
          <w:rFonts w:hint="eastAsia" w:ascii="宋体" w:hAnsi="宋体" w:eastAsia="宋体" w:cs="宋体"/>
          <w:sz w:val="24"/>
          <w:u w:val="single"/>
          <w:lang w:val="en-US" w:eastAsia="zh-CN"/>
        </w:rPr>
        <w:t xml:space="preserve">      </w:t>
      </w:r>
    </w:p>
    <w:p w14:paraId="769FDBBB">
      <w:pPr>
        <w:spacing w:line="360" w:lineRule="auto"/>
        <w:ind w:firstLine="480" w:firstLineChars="200"/>
        <w:rPr>
          <w:rFonts w:hint="eastAsia" w:ascii="宋体" w:hAnsi="宋体" w:eastAsia="宋体" w:cs="宋体"/>
          <w:sz w:val="24"/>
        </w:rPr>
      </w:pPr>
    </w:p>
    <w:p w14:paraId="11C3A8E7">
      <w:pPr>
        <w:spacing w:line="360" w:lineRule="auto"/>
        <w:ind w:firstLine="480" w:firstLineChars="200"/>
        <w:rPr>
          <w:rFonts w:hint="eastAsia" w:ascii="宋体" w:hAnsi="宋体" w:eastAsia="宋体" w:cs="宋体"/>
          <w:sz w:val="24"/>
          <w:u w:val="single"/>
          <w:lang w:val="en-US" w:eastAsia="zh-CN"/>
        </w:rPr>
      </w:pPr>
      <w:r>
        <w:rPr>
          <w:rFonts w:hint="eastAsia" w:ascii="宋体" w:hAnsi="宋体" w:eastAsia="宋体" w:cs="宋体"/>
          <w:sz w:val="24"/>
        </w:rPr>
        <w:t>身份证号码：</w:t>
      </w:r>
      <w:r>
        <w:rPr>
          <w:rFonts w:hint="eastAsia" w:ascii="宋体" w:hAnsi="宋体" w:eastAsia="宋体" w:cs="宋体"/>
          <w:sz w:val="24"/>
          <w:u w:val="single"/>
          <w:lang w:val="en-US" w:eastAsia="zh-CN"/>
        </w:rPr>
        <w:t xml:space="preserve">                                       </w:t>
      </w:r>
    </w:p>
    <w:p w14:paraId="109ECE2D">
      <w:pPr>
        <w:pStyle w:val="52"/>
        <w:rPr>
          <w:rFonts w:hint="eastAsia" w:ascii="宋体" w:hAnsi="宋体" w:eastAsia="宋体" w:cs="宋体"/>
          <w:lang w:val="en-US" w:eastAsia="zh-CN"/>
        </w:rPr>
      </w:pPr>
    </w:p>
    <w:p w14:paraId="4EBD0D73">
      <w:pPr>
        <w:spacing w:line="360" w:lineRule="auto"/>
        <w:ind w:firstLine="480" w:firstLineChars="200"/>
        <w:rPr>
          <w:rFonts w:hint="eastAsia" w:ascii="宋体" w:hAnsi="宋体" w:eastAsia="宋体" w:cs="宋体"/>
          <w:sz w:val="24"/>
        </w:rPr>
      </w:pPr>
      <w:r>
        <w:rPr>
          <w:rFonts w:hint="eastAsia" w:ascii="宋体" w:hAnsi="宋体" w:eastAsia="宋体" w:cs="宋体"/>
          <w:sz w:val="24"/>
        </w:rPr>
        <w:t>系</w:t>
      </w:r>
      <w:r>
        <w:rPr>
          <w:rFonts w:hint="eastAsia" w:ascii="宋体" w:hAnsi="宋体" w:eastAsia="宋体" w:cs="宋体"/>
          <w:sz w:val="24"/>
          <w:u w:val="single"/>
          <w:lang w:val="en-US" w:eastAsia="zh-CN"/>
        </w:rPr>
        <w:t xml:space="preserve">                             </w:t>
      </w:r>
      <w:r>
        <w:rPr>
          <w:rFonts w:hint="eastAsia" w:ascii="宋体" w:hAnsi="宋体" w:eastAsia="宋体" w:cs="宋体"/>
          <w:sz w:val="24"/>
        </w:rPr>
        <w:t>的</w:t>
      </w:r>
      <w:r>
        <w:rPr>
          <w:rFonts w:hint="eastAsia" w:ascii="宋体" w:hAnsi="宋体" w:eastAsia="宋体" w:cs="宋体"/>
          <w:sz w:val="24"/>
          <w:lang w:eastAsia="zh-CN"/>
        </w:rPr>
        <w:t>法定代表人</w:t>
      </w:r>
      <w:r>
        <w:rPr>
          <w:rFonts w:hint="eastAsia" w:ascii="宋体" w:hAnsi="宋体" w:eastAsia="宋体" w:cs="宋体"/>
          <w:sz w:val="24"/>
        </w:rPr>
        <w:t>。</w:t>
      </w:r>
    </w:p>
    <w:p w14:paraId="32762F4E">
      <w:pPr>
        <w:spacing w:line="360" w:lineRule="auto"/>
        <w:rPr>
          <w:rFonts w:hint="eastAsia" w:ascii="宋体" w:hAnsi="宋体" w:eastAsia="宋体" w:cs="宋体"/>
          <w:sz w:val="24"/>
        </w:rPr>
      </w:pPr>
    </w:p>
    <w:p w14:paraId="5EDBB917">
      <w:pPr>
        <w:spacing w:line="360" w:lineRule="auto"/>
        <w:ind w:firstLine="480" w:firstLineChars="200"/>
        <w:rPr>
          <w:rFonts w:hint="eastAsia" w:ascii="宋体" w:hAnsi="宋体" w:eastAsia="宋体" w:cs="宋体"/>
          <w:sz w:val="24"/>
        </w:rPr>
      </w:pPr>
      <w:r>
        <w:rPr>
          <w:rFonts w:hint="eastAsia" w:ascii="宋体" w:hAnsi="宋体" w:eastAsia="宋体" w:cs="宋体"/>
          <w:sz w:val="24"/>
        </w:rPr>
        <w:t>特此证明。</w:t>
      </w:r>
    </w:p>
    <w:p w14:paraId="24991BA1">
      <w:pPr>
        <w:spacing w:line="360" w:lineRule="auto"/>
        <w:rPr>
          <w:rFonts w:hint="eastAsia" w:ascii="宋体" w:hAnsi="宋体" w:eastAsia="宋体" w:cs="宋体"/>
          <w:sz w:val="24"/>
        </w:rPr>
      </w:pPr>
    </w:p>
    <w:p w14:paraId="1F13A034">
      <w:pPr>
        <w:spacing w:line="480" w:lineRule="auto"/>
        <w:jc w:val="left"/>
        <w:rPr>
          <w:rFonts w:hint="eastAsia" w:ascii="宋体" w:hAnsi="宋体" w:eastAsia="宋体" w:cs="宋体"/>
          <w:sz w:val="24"/>
        </w:rPr>
      </w:pPr>
      <w:r>
        <w:rPr>
          <w:rFonts w:hint="eastAsia" w:ascii="宋体" w:hAnsi="宋体" w:eastAsia="宋体" w:cs="宋体"/>
          <w:b w:val="0"/>
          <w:bCs/>
          <w:sz w:val="24"/>
          <w:lang w:eastAsia="zh-CN"/>
        </w:rPr>
        <w:t>法定代表人</w:t>
      </w:r>
      <w:r>
        <w:rPr>
          <w:rFonts w:hint="eastAsia" w:ascii="宋体" w:hAnsi="宋体" w:eastAsia="宋体" w:cs="宋体"/>
          <w:b w:val="0"/>
          <w:bCs/>
          <w:sz w:val="24"/>
        </w:rPr>
        <w:t>身份证复印件或扫描件（</w:t>
      </w:r>
      <w:r>
        <w:rPr>
          <w:rFonts w:hint="eastAsia" w:ascii="宋体" w:hAnsi="宋体" w:eastAsia="宋体" w:cs="宋体"/>
          <w:sz w:val="24"/>
        </w:rPr>
        <w:t>正反两面）粘贴处：</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7"/>
        <w:gridCol w:w="4679"/>
      </w:tblGrid>
      <w:tr w14:paraId="59855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6" w:hRule="atLeast"/>
          <w:jc w:val="center"/>
        </w:trPr>
        <w:tc>
          <w:tcPr>
            <w:tcW w:w="4927" w:type="dxa"/>
            <w:noWrap/>
          </w:tcPr>
          <w:p w14:paraId="2D44E274">
            <w:pPr>
              <w:spacing w:line="500" w:lineRule="exact"/>
              <w:rPr>
                <w:rFonts w:hint="eastAsia" w:ascii="宋体" w:hAnsi="宋体" w:eastAsia="宋体" w:cs="宋体"/>
                <w:sz w:val="24"/>
              </w:rPr>
            </w:pPr>
          </w:p>
          <w:p w14:paraId="66C13334">
            <w:pPr>
              <w:spacing w:line="500" w:lineRule="exact"/>
              <w:rPr>
                <w:rFonts w:hint="eastAsia" w:ascii="宋体" w:hAnsi="宋体" w:eastAsia="宋体" w:cs="宋体"/>
                <w:sz w:val="24"/>
              </w:rPr>
            </w:pPr>
          </w:p>
          <w:p w14:paraId="1482DC2E">
            <w:pPr>
              <w:spacing w:line="500" w:lineRule="exact"/>
              <w:ind w:firstLine="240" w:firstLineChars="100"/>
              <w:rPr>
                <w:rFonts w:hint="eastAsia" w:ascii="宋体" w:hAnsi="宋体" w:eastAsia="宋体" w:cs="宋体"/>
                <w:sz w:val="24"/>
              </w:rPr>
            </w:pPr>
            <w:r>
              <w:rPr>
                <w:rFonts w:hint="eastAsia" w:ascii="宋体" w:hAnsi="宋体" w:eastAsia="宋体" w:cs="宋体"/>
                <w:sz w:val="24"/>
              </w:rPr>
              <w:t xml:space="preserve">   身份证复印件或扫描件正面</w:t>
            </w:r>
          </w:p>
        </w:tc>
        <w:tc>
          <w:tcPr>
            <w:tcW w:w="4679" w:type="dxa"/>
            <w:noWrap/>
          </w:tcPr>
          <w:p w14:paraId="4D7978D8">
            <w:pPr>
              <w:spacing w:line="500" w:lineRule="exact"/>
              <w:rPr>
                <w:rFonts w:hint="eastAsia" w:ascii="宋体" w:hAnsi="宋体" w:eastAsia="宋体" w:cs="宋体"/>
                <w:sz w:val="24"/>
              </w:rPr>
            </w:pPr>
          </w:p>
          <w:p w14:paraId="5A6DB25D">
            <w:pPr>
              <w:spacing w:line="500" w:lineRule="exact"/>
              <w:rPr>
                <w:rFonts w:hint="eastAsia" w:ascii="宋体" w:hAnsi="宋体" w:eastAsia="宋体" w:cs="宋体"/>
                <w:sz w:val="24"/>
              </w:rPr>
            </w:pPr>
          </w:p>
          <w:p w14:paraId="656C002B">
            <w:pPr>
              <w:spacing w:line="500" w:lineRule="exact"/>
              <w:ind w:firstLine="720" w:firstLineChars="300"/>
              <w:rPr>
                <w:rFonts w:hint="eastAsia" w:ascii="宋体" w:hAnsi="宋体" w:eastAsia="宋体" w:cs="宋体"/>
                <w:sz w:val="24"/>
              </w:rPr>
            </w:pPr>
            <w:r>
              <w:rPr>
                <w:rFonts w:hint="eastAsia" w:ascii="宋体" w:hAnsi="宋体" w:eastAsia="宋体" w:cs="宋体"/>
                <w:sz w:val="24"/>
              </w:rPr>
              <w:t xml:space="preserve">   身份证复印件或扫描件反面</w:t>
            </w:r>
          </w:p>
          <w:p w14:paraId="64EAAB49">
            <w:pPr>
              <w:spacing w:line="500" w:lineRule="exact"/>
              <w:rPr>
                <w:rFonts w:hint="eastAsia" w:ascii="宋体" w:hAnsi="宋体" w:eastAsia="宋体" w:cs="宋体"/>
                <w:sz w:val="24"/>
              </w:rPr>
            </w:pPr>
          </w:p>
        </w:tc>
      </w:tr>
    </w:tbl>
    <w:p w14:paraId="70185C26">
      <w:pPr>
        <w:spacing w:line="400" w:lineRule="exact"/>
        <w:jc w:val="center"/>
        <w:rPr>
          <w:rFonts w:hint="eastAsia" w:ascii="宋体" w:hAnsi="宋体" w:eastAsia="宋体" w:cs="宋体"/>
          <w:b/>
          <w:sz w:val="36"/>
        </w:rPr>
      </w:pPr>
    </w:p>
    <w:p w14:paraId="5AD42508">
      <w:pPr>
        <w:adjustRightInd w:val="0"/>
        <w:snapToGrid w:val="0"/>
        <w:spacing w:line="300" w:lineRule="auto"/>
        <w:rPr>
          <w:rFonts w:hint="eastAsia" w:ascii="宋体" w:hAnsi="宋体" w:eastAsia="宋体" w:cs="宋体"/>
          <w:szCs w:val="21"/>
        </w:rPr>
      </w:pPr>
    </w:p>
    <w:p w14:paraId="380D5404">
      <w:pPr>
        <w:adjustRightInd w:val="0"/>
        <w:snapToGrid w:val="0"/>
        <w:spacing w:line="300" w:lineRule="auto"/>
        <w:rPr>
          <w:rFonts w:hint="eastAsia" w:ascii="宋体" w:hAnsi="宋体" w:eastAsia="宋体" w:cs="宋体"/>
          <w:szCs w:val="21"/>
        </w:rPr>
      </w:pPr>
    </w:p>
    <w:p w14:paraId="2DADF40E">
      <w:pPr>
        <w:adjustRightInd w:val="0"/>
        <w:snapToGrid w:val="0"/>
        <w:spacing w:line="360" w:lineRule="auto"/>
        <w:ind w:firstLine="4200" w:firstLineChars="1750"/>
        <w:rPr>
          <w:rFonts w:hint="eastAsia" w:ascii="宋体" w:hAnsi="宋体" w:eastAsia="宋体" w:cs="宋体"/>
          <w:sz w:val="24"/>
          <w:u w:val="single"/>
        </w:rPr>
      </w:pPr>
      <w:r>
        <w:rPr>
          <w:rFonts w:hint="eastAsia" w:ascii="宋体" w:hAnsi="宋体" w:eastAsia="宋体" w:cs="宋体"/>
          <w:sz w:val="24"/>
        </w:rPr>
        <w:t>供应商名称（单位公章）：</w:t>
      </w:r>
    </w:p>
    <w:p w14:paraId="589F15CE">
      <w:pPr>
        <w:adjustRightInd w:val="0"/>
        <w:snapToGrid w:val="0"/>
        <w:spacing w:line="360" w:lineRule="auto"/>
        <w:ind w:firstLine="3960" w:firstLineChars="1650"/>
        <w:rPr>
          <w:rFonts w:hint="eastAsia" w:ascii="宋体" w:hAnsi="宋体" w:eastAsia="宋体" w:cs="宋体"/>
          <w:sz w:val="24"/>
        </w:rPr>
      </w:pPr>
      <w:r>
        <w:rPr>
          <w:rFonts w:hint="eastAsia" w:ascii="宋体" w:hAnsi="宋体" w:eastAsia="宋体" w:cs="宋体"/>
          <w:sz w:val="24"/>
          <w:lang w:eastAsia="zh-CN"/>
        </w:rPr>
        <w:t>法定代表人</w:t>
      </w:r>
      <w:r>
        <w:rPr>
          <w:rFonts w:hint="eastAsia" w:ascii="宋体" w:hAnsi="宋体" w:eastAsia="宋体" w:cs="宋体"/>
          <w:sz w:val="24"/>
        </w:rPr>
        <w:t>（签字或盖章）：</w:t>
      </w:r>
    </w:p>
    <w:p w14:paraId="55B62983">
      <w:pPr>
        <w:adjustRightInd w:val="0"/>
        <w:snapToGrid w:val="0"/>
        <w:spacing w:line="360" w:lineRule="auto"/>
        <w:ind w:firstLine="6360" w:firstLineChars="2650"/>
        <w:rPr>
          <w:rFonts w:hint="eastAsia" w:ascii="宋体" w:hAnsi="宋体" w:eastAsia="宋体" w:cs="宋体"/>
          <w:sz w:val="24"/>
        </w:rPr>
      </w:pPr>
      <w:r>
        <w:rPr>
          <w:rFonts w:hint="eastAsia" w:ascii="宋体" w:hAnsi="宋体" w:eastAsia="宋体" w:cs="宋体"/>
          <w:sz w:val="24"/>
        </w:rPr>
        <w:t>日期：</w:t>
      </w:r>
      <w:r>
        <w:rPr>
          <w:rFonts w:hint="eastAsia" w:ascii="宋体" w:hAnsi="宋体" w:eastAsia="宋体" w:cs="宋体"/>
          <w:sz w:val="24"/>
          <w:lang w:val="en-US" w:eastAsia="zh-CN"/>
        </w:rPr>
        <w:t xml:space="preserve">  </w:t>
      </w:r>
    </w:p>
    <w:p w14:paraId="76CDE7D5">
      <w:pPr>
        <w:spacing w:line="360" w:lineRule="auto"/>
        <w:jc w:val="center"/>
        <w:rPr>
          <w:rFonts w:hint="eastAsia" w:ascii="宋体" w:hAnsi="宋体" w:eastAsia="宋体" w:cs="宋体"/>
          <w:bCs/>
          <w:sz w:val="30"/>
          <w:szCs w:val="30"/>
        </w:rPr>
      </w:pPr>
    </w:p>
    <w:p w14:paraId="6B5DEEDC">
      <w:pPr>
        <w:pStyle w:val="12"/>
        <w:rPr>
          <w:rFonts w:hint="eastAsia" w:ascii="宋体" w:hAnsi="宋体" w:eastAsia="宋体" w:cs="宋体"/>
        </w:rPr>
      </w:pPr>
    </w:p>
    <w:p w14:paraId="0DE1AF45">
      <w:pPr>
        <w:spacing w:line="400" w:lineRule="exact"/>
        <w:jc w:val="both"/>
        <w:rPr>
          <w:rFonts w:hint="eastAsia" w:ascii="宋体" w:hAnsi="宋体" w:eastAsia="宋体" w:cs="宋体"/>
        </w:rPr>
      </w:pPr>
    </w:p>
    <w:p w14:paraId="077C69EA">
      <w:pPr>
        <w:spacing w:line="400" w:lineRule="exact"/>
        <w:jc w:val="center"/>
        <w:rPr>
          <w:rFonts w:hint="eastAsia" w:ascii="宋体" w:hAnsi="宋体" w:eastAsia="宋体" w:cs="宋体"/>
          <w:b/>
          <w:bCs/>
          <w:sz w:val="32"/>
          <w:szCs w:val="32"/>
        </w:rPr>
      </w:pPr>
      <w:r>
        <w:rPr>
          <w:rFonts w:hint="eastAsia" w:ascii="宋体" w:hAnsi="宋体" w:cs="宋体"/>
          <w:b/>
          <w:bCs/>
          <w:sz w:val="32"/>
          <w:szCs w:val="32"/>
          <w:lang w:val="en-US" w:eastAsia="zh-CN"/>
        </w:rPr>
        <w:t>法人</w:t>
      </w:r>
      <w:r>
        <w:rPr>
          <w:rFonts w:hint="eastAsia" w:ascii="宋体" w:hAnsi="宋体" w:eastAsia="宋体" w:cs="宋体"/>
          <w:b/>
          <w:bCs/>
          <w:sz w:val="32"/>
          <w:szCs w:val="32"/>
        </w:rPr>
        <w:t>授权委托书</w:t>
      </w:r>
    </w:p>
    <w:p w14:paraId="3F25B4D8">
      <w:pPr>
        <w:spacing w:line="400" w:lineRule="exact"/>
        <w:jc w:val="center"/>
        <w:rPr>
          <w:rFonts w:hint="eastAsia" w:ascii="宋体" w:hAnsi="宋体" w:eastAsia="宋体" w:cs="宋体"/>
          <w:b/>
          <w:bCs/>
          <w:sz w:val="36"/>
          <w:szCs w:val="36"/>
        </w:rPr>
      </w:pPr>
    </w:p>
    <w:p w14:paraId="26481B08">
      <w:pPr>
        <w:spacing w:line="400" w:lineRule="exact"/>
        <w:jc w:val="center"/>
        <w:rPr>
          <w:rFonts w:hint="eastAsia" w:ascii="宋体" w:hAnsi="宋体" w:eastAsia="宋体" w:cs="宋体"/>
          <w:b/>
          <w:bCs/>
          <w:sz w:val="36"/>
          <w:szCs w:val="36"/>
        </w:rPr>
      </w:pPr>
    </w:p>
    <w:p w14:paraId="4F90747C">
      <w:pPr>
        <w:spacing w:line="400" w:lineRule="exact"/>
        <w:rPr>
          <w:rFonts w:hint="eastAsia" w:ascii="宋体" w:hAnsi="宋体" w:eastAsia="宋体" w:cs="宋体"/>
          <w:sz w:val="24"/>
          <w:u w:val="single"/>
        </w:rPr>
      </w:pPr>
      <w:r>
        <w:rPr>
          <w:rFonts w:hint="eastAsia" w:ascii="宋体" w:hAnsi="宋体" w:cs="宋体"/>
          <w:sz w:val="24"/>
          <w:u w:val="single"/>
          <w:lang w:val="en-US" w:eastAsia="zh-CN"/>
        </w:rPr>
        <w:t>贵州钟山野马寨热电有限责任公司</w:t>
      </w:r>
      <w:r>
        <w:rPr>
          <w:rFonts w:hint="eastAsia" w:ascii="宋体" w:hAnsi="宋体" w:eastAsia="宋体" w:cs="宋体"/>
          <w:sz w:val="24"/>
        </w:rPr>
        <w:t>：</w:t>
      </w:r>
    </w:p>
    <w:p w14:paraId="4A68A778">
      <w:pPr>
        <w:pStyle w:val="12"/>
        <w:rPr>
          <w:rFonts w:hint="eastAsia" w:ascii="宋体" w:hAnsi="宋体" w:eastAsia="宋体" w:cs="宋体"/>
        </w:rPr>
      </w:pPr>
    </w:p>
    <w:p w14:paraId="2F2D2C5F">
      <w:pPr>
        <w:pStyle w:val="12"/>
        <w:spacing w:line="360" w:lineRule="auto"/>
        <w:ind w:firstLine="480" w:firstLineChars="200"/>
        <w:rPr>
          <w:rFonts w:hint="eastAsia" w:ascii="宋体" w:hAnsi="宋体" w:eastAsia="宋体" w:cs="宋体"/>
          <w:sz w:val="24"/>
        </w:rPr>
      </w:pPr>
      <w:r>
        <w:rPr>
          <w:rFonts w:hint="eastAsia" w:ascii="宋体" w:hAnsi="宋体" w:eastAsia="宋体" w:cs="宋体"/>
          <w:sz w:val="24"/>
        </w:rPr>
        <w:t>兹授权姓名：</w:t>
      </w:r>
      <w:r>
        <w:rPr>
          <w:rFonts w:hint="eastAsia" w:ascii="宋体" w:hAnsi="宋体" w:eastAsia="宋体" w:cs="宋体"/>
          <w:sz w:val="24"/>
          <w:u w:val="single"/>
          <w:lang w:val="en-US" w:eastAsia="zh-CN"/>
        </w:rPr>
        <w:t xml:space="preserve">          </w:t>
      </w:r>
      <w:r>
        <w:rPr>
          <w:rFonts w:hint="eastAsia" w:ascii="宋体" w:hAnsi="宋体" w:eastAsia="宋体" w:cs="宋体"/>
          <w:sz w:val="24"/>
        </w:rPr>
        <w:t>，身份证号码：</w:t>
      </w:r>
      <w:r>
        <w:rPr>
          <w:rFonts w:hint="eastAsia" w:ascii="宋体" w:hAnsi="宋体" w:eastAsia="宋体" w:cs="宋体"/>
          <w:sz w:val="24"/>
          <w:u w:val="single"/>
          <w:lang w:val="en-US" w:eastAsia="zh-CN"/>
        </w:rPr>
        <w:t xml:space="preserve">                 </w:t>
      </w:r>
      <w:r>
        <w:rPr>
          <w:rFonts w:hint="eastAsia" w:ascii="宋体" w:hAnsi="宋体" w:eastAsia="宋体" w:cs="宋体"/>
          <w:sz w:val="24"/>
        </w:rPr>
        <w:t>作为合法委托代理人，授权其代表我单位参加贵方组织的</w:t>
      </w:r>
      <w:r>
        <w:rPr>
          <w:rFonts w:hint="eastAsia" w:ascii="宋体" w:hAnsi="宋体" w:eastAsia="宋体" w:cs="宋体"/>
          <w:sz w:val="24"/>
          <w:u w:val="single"/>
          <w:lang w:val="en-US" w:eastAsia="zh-CN"/>
        </w:rPr>
        <w:t xml:space="preserve"> </w:t>
      </w:r>
      <w:r>
        <w:rPr>
          <w:rFonts w:hint="eastAsia" w:ascii="宋体" w:hAnsi="宋体" w:cs="宋体"/>
          <w:sz w:val="24"/>
          <w:u w:val="single"/>
          <w:lang w:val="en-US" w:eastAsia="zh-CN"/>
        </w:rPr>
        <w:t>2025年第十九批次燃煤采购</w:t>
      </w:r>
      <w:r>
        <w:rPr>
          <w:rFonts w:hint="eastAsia" w:ascii="宋体" w:hAnsi="宋体" w:eastAsia="宋体" w:cs="宋体"/>
          <w:sz w:val="24"/>
          <w:u w:val="single"/>
          <w:lang w:val="en-US" w:eastAsia="zh-CN"/>
        </w:rPr>
        <w:t xml:space="preserve"> </w:t>
      </w:r>
      <w:r>
        <w:rPr>
          <w:rFonts w:hint="eastAsia" w:ascii="宋体" w:hAnsi="宋体" w:eastAsia="宋体" w:cs="宋体"/>
          <w:sz w:val="24"/>
        </w:rPr>
        <w:t>项目</w:t>
      </w:r>
      <w:r>
        <w:rPr>
          <w:rFonts w:hint="eastAsia" w:ascii="宋体" w:hAnsi="宋体" w:cs="宋体"/>
          <w:sz w:val="24"/>
          <w:lang w:eastAsia="zh-CN"/>
        </w:rPr>
        <w:t>谈判</w:t>
      </w:r>
      <w:r>
        <w:rPr>
          <w:rFonts w:hint="eastAsia" w:ascii="宋体" w:hAnsi="宋体" w:eastAsia="宋体" w:cs="宋体"/>
          <w:sz w:val="24"/>
        </w:rPr>
        <w:t>活动。该委托代理人的授权范围为：代表我公司参与贵方组织采购签署、澄清、说明、补正、递交、撤回、修改及处理本次</w:t>
      </w:r>
      <w:r>
        <w:rPr>
          <w:rFonts w:hint="eastAsia" w:ascii="宋体" w:hAnsi="宋体" w:cs="宋体"/>
          <w:sz w:val="24"/>
          <w:lang w:eastAsia="zh-CN"/>
        </w:rPr>
        <w:t>竞争性谈判</w:t>
      </w:r>
      <w:r>
        <w:rPr>
          <w:rFonts w:hint="eastAsia" w:ascii="宋体" w:hAnsi="宋体" w:eastAsia="宋体" w:cs="宋体"/>
          <w:sz w:val="24"/>
        </w:rPr>
        <w:t>活动有关的事务。在整个过程中，该代理人的一切行为，均代表本公司，与本公司的行为具有同等法律效力。本公司将承担该代理人行为的全部法律后果和法律责任。</w:t>
      </w:r>
    </w:p>
    <w:p w14:paraId="66834E00">
      <w:pPr>
        <w:spacing w:line="360" w:lineRule="auto"/>
        <w:rPr>
          <w:rFonts w:hint="eastAsia" w:ascii="宋体" w:hAnsi="宋体" w:eastAsia="宋体" w:cs="宋体"/>
          <w:sz w:val="24"/>
        </w:rPr>
      </w:pPr>
      <w:r>
        <w:rPr>
          <w:rFonts w:hint="eastAsia" w:ascii="宋体" w:hAnsi="宋体" w:eastAsia="宋体" w:cs="宋体"/>
          <w:sz w:val="24"/>
        </w:rPr>
        <w:t>授权期限：自_____年_____月______日起至_____年_____月______日止</w:t>
      </w:r>
      <w:r>
        <w:rPr>
          <w:rFonts w:hint="eastAsia" w:ascii="宋体" w:hAnsi="宋体" w:cs="宋体"/>
          <w:sz w:val="24"/>
          <w:lang w:eastAsia="zh-CN"/>
        </w:rPr>
        <w:t>（</w:t>
      </w:r>
      <w:r>
        <w:rPr>
          <w:rFonts w:hint="eastAsia" w:ascii="宋体" w:hAnsi="宋体" w:cs="宋体"/>
          <w:sz w:val="24"/>
          <w:lang w:val="en-US" w:eastAsia="zh-CN"/>
        </w:rPr>
        <w:t>90天</w:t>
      </w:r>
      <w:r>
        <w:rPr>
          <w:rFonts w:hint="eastAsia" w:ascii="宋体" w:hAnsi="宋体" w:cs="宋体"/>
          <w:sz w:val="24"/>
          <w:lang w:eastAsia="zh-CN"/>
        </w:rPr>
        <w:t>）</w:t>
      </w:r>
      <w:r>
        <w:rPr>
          <w:rFonts w:hint="eastAsia" w:ascii="宋体" w:hAnsi="宋体" w:eastAsia="宋体" w:cs="宋体"/>
          <w:sz w:val="24"/>
        </w:rPr>
        <w:t>。</w:t>
      </w:r>
    </w:p>
    <w:p w14:paraId="408304A8">
      <w:pPr>
        <w:spacing w:line="360" w:lineRule="auto"/>
        <w:rPr>
          <w:rFonts w:hint="eastAsia" w:ascii="宋体" w:hAnsi="宋体" w:eastAsia="宋体" w:cs="宋体"/>
          <w:sz w:val="24"/>
        </w:rPr>
      </w:pPr>
      <w:r>
        <w:rPr>
          <w:rFonts w:hint="eastAsia" w:ascii="宋体" w:hAnsi="宋体" w:eastAsia="宋体" w:cs="宋体"/>
          <w:sz w:val="24"/>
        </w:rPr>
        <w:t>委托代理人无转委托权。</w:t>
      </w:r>
    </w:p>
    <w:p w14:paraId="744643DE">
      <w:pPr>
        <w:spacing w:line="400" w:lineRule="exact"/>
        <w:jc w:val="left"/>
        <w:rPr>
          <w:rFonts w:hint="eastAsia" w:ascii="宋体" w:hAnsi="宋体" w:eastAsia="宋体" w:cs="宋体"/>
          <w:sz w:val="24"/>
        </w:rPr>
      </w:pPr>
    </w:p>
    <w:p w14:paraId="5F076777">
      <w:pPr>
        <w:spacing w:line="400" w:lineRule="exact"/>
        <w:ind w:left="1200" w:hanging="1200" w:hangingChars="500"/>
        <w:jc w:val="left"/>
        <w:rPr>
          <w:rFonts w:hint="eastAsia" w:ascii="宋体" w:hAnsi="宋体" w:eastAsia="宋体" w:cs="宋体"/>
          <w:sz w:val="24"/>
        </w:rPr>
      </w:pPr>
    </w:p>
    <w:p w14:paraId="1A9FE375">
      <w:pPr>
        <w:spacing w:line="400" w:lineRule="exact"/>
        <w:ind w:left="1200" w:hanging="1200" w:hangingChars="500"/>
        <w:jc w:val="left"/>
        <w:rPr>
          <w:rFonts w:hint="eastAsia" w:ascii="宋体" w:hAnsi="宋体" w:eastAsia="宋体" w:cs="宋体"/>
          <w:sz w:val="24"/>
        </w:rPr>
      </w:pPr>
    </w:p>
    <w:p w14:paraId="3D4CF38C">
      <w:pPr>
        <w:spacing w:line="400" w:lineRule="exact"/>
        <w:ind w:left="1198" w:leftChars="456" w:hanging="240" w:hangingChars="100"/>
        <w:jc w:val="left"/>
        <w:rPr>
          <w:rFonts w:hint="eastAsia" w:ascii="宋体" w:hAnsi="宋体" w:eastAsia="宋体" w:cs="宋体"/>
          <w:sz w:val="24"/>
        </w:rPr>
      </w:pPr>
      <w:r>
        <w:rPr>
          <w:rFonts w:hint="eastAsia" w:ascii="宋体" w:hAnsi="宋体" w:eastAsia="宋体" w:cs="宋体"/>
          <w:sz w:val="24"/>
        </w:rPr>
        <w:t xml:space="preserve">供应商（盖章）：                        </w:t>
      </w:r>
      <w:r>
        <w:rPr>
          <w:rFonts w:hint="eastAsia" w:ascii="宋体" w:hAnsi="宋体" w:eastAsia="宋体" w:cs="宋体"/>
          <w:sz w:val="24"/>
          <w:lang w:eastAsia="zh-CN"/>
        </w:rPr>
        <w:t>法定代表人</w:t>
      </w:r>
      <w:r>
        <w:rPr>
          <w:rFonts w:hint="eastAsia" w:ascii="宋体" w:hAnsi="宋体" w:eastAsia="宋体" w:cs="宋体"/>
          <w:sz w:val="24"/>
        </w:rPr>
        <w:t>（签字或盖章）：</w:t>
      </w:r>
    </w:p>
    <w:p w14:paraId="57D644E2">
      <w:pPr>
        <w:spacing w:line="400" w:lineRule="exact"/>
        <w:jc w:val="left"/>
        <w:rPr>
          <w:rFonts w:hint="eastAsia" w:ascii="宋体" w:hAnsi="宋体" w:eastAsia="宋体" w:cs="宋体"/>
          <w:sz w:val="24"/>
          <w:u w:val="single"/>
        </w:rPr>
      </w:pPr>
    </w:p>
    <w:p w14:paraId="2E55728F">
      <w:pPr>
        <w:spacing w:line="480" w:lineRule="auto"/>
        <w:ind w:firstLine="960" w:firstLineChars="400"/>
        <w:jc w:val="left"/>
        <w:rPr>
          <w:rFonts w:hint="eastAsia" w:ascii="宋体" w:hAnsi="宋体" w:eastAsia="宋体" w:cs="宋体"/>
          <w:sz w:val="24"/>
        </w:rPr>
      </w:pPr>
      <w:r>
        <w:rPr>
          <w:rFonts w:hint="eastAsia" w:ascii="宋体" w:hAnsi="宋体" w:cs="宋体"/>
          <w:sz w:val="24"/>
          <w:lang w:val="en-US" w:eastAsia="zh-CN"/>
        </w:rPr>
        <w:t>日期：</w:t>
      </w:r>
      <w:r>
        <w:rPr>
          <w:rFonts w:hint="eastAsia" w:ascii="宋体" w:hAnsi="宋体" w:eastAsia="宋体" w:cs="宋体"/>
          <w:sz w:val="24"/>
        </w:rPr>
        <w:t xml:space="preserve">年   月   日                               </w:t>
      </w:r>
    </w:p>
    <w:p w14:paraId="19ECC6C2">
      <w:pPr>
        <w:spacing w:line="480" w:lineRule="auto"/>
        <w:jc w:val="left"/>
        <w:rPr>
          <w:rFonts w:hint="eastAsia" w:ascii="宋体" w:hAnsi="宋体" w:eastAsia="宋体" w:cs="宋体"/>
          <w:sz w:val="24"/>
        </w:rPr>
      </w:pPr>
      <w:r>
        <w:rPr>
          <w:rFonts w:hint="eastAsia" w:ascii="宋体" w:hAnsi="宋体" w:eastAsia="宋体" w:cs="宋体"/>
          <w:sz w:val="24"/>
        </w:rPr>
        <w:t>被授权</w:t>
      </w:r>
      <w:r>
        <w:rPr>
          <w:rFonts w:hint="eastAsia" w:ascii="宋体" w:hAnsi="宋体" w:eastAsia="宋体" w:cs="宋体"/>
          <w:sz w:val="24"/>
          <w:lang w:val="en-US" w:eastAsia="zh-CN"/>
        </w:rPr>
        <w:t>委托代理人</w:t>
      </w:r>
      <w:r>
        <w:rPr>
          <w:rFonts w:hint="eastAsia" w:ascii="宋体" w:hAnsi="宋体" w:eastAsia="宋体" w:cs="宋体"/>
          <w:sz w:val="24"/>
        </w:rPr>
        <w:t>身份证复印件或扫描件（正反两面）：</w:t>
      </w:r>
    </w:p>
    <w:tbl>
      <w:tblPr>
        <w:tblStyle w:val="35"/>
        <w:tblW w:w="10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04"/>
        <w:gridCol w:w="5310"/>
      </w:tblGrid>
      <w:tr w14:paraId="33C9A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jc w:val="center"/>
        </w:trPr>
        <w:tc>
          <w:tcPr>
            <w:tcW w:w="4904" w:type="dxa"/>
            <w:noWrap/>
          </w:tcPr>
          <w:p w14:paraId="54C352BD">
            <w:pPr>
              <w:spacing w:line="500" w:lineRule="exact"/>
              <w:rPr>
                <w:rFonts w:hint="eastAsia" w:ascii="宋体" w:hAnsi="宋体" w:eastAsia="宋体" w:cs="宋体"/>
                <w:sz w:val="24"/>
              </w:rPr>
            </w:pPr>
          </w:p>
          <w:p w14:paraId="6A31FB42">
            <w:pPr>
              <w:spacing w:line="500" w:lineRule="exact"/>
              <w:rPr>
                <w:rFonts w:hint="eastAsia" w:ascii="宋体" w:hAnsi="宋体" w:eastAsia="宋体" w:cs="宋体"/>
                <w:sz w:val="24"/>
              </w:rPr>
            </w:pPr>
          </w:p>
          <w:p w14:paraId="44DB816F">
            <w:pPr>
              <w:spacing w:line="500" w:lineRule="exact"/>
              <w:ind w:firstLine="240" w:firstLineChars="100"/>
              <w:rPr>
                <w:rFonts w:hint="eastAsia" w:ascii="宋体" w:hAnsi="宋体" w:eastAsia="宋体" w:cs="宋体"/>
                <w:sz w:val="24"/>
              </w:rPr>
            </w:pPr>
            <w:r>
              <w:rPr>
                <w:rFonts w:hint="eastAsia" w:ascii="宋体" w:hAnsi="宋体" w:eastAsia="宋体" w:cs="宋体"/>
                <w:sz w:val="24"/>
              </w:rPr>
              <w:t xml:space="preserve">   身份证复印件或扫描件正面</w:t>
            </w:r>
          </w:p>
        </w:tc>
        <w:tc>
          <w:tcPr>
            <w:tcW w:w="5310" w:type="dxa"/>
            <w:noWrap/>
          </w:tcPr>
          <w:p w14:paraId="4DBE75FB">
            <w:pPr>
              <w:spacing w:line="500" w:lineRule="exact"/>
              <w:rPr>
                <w:rFonts w:hint="eastAsia" w:ascii="宋体" w:hAnsi="宋体" w:eastAsia="宋体" w:cs="宋体"/>
                <w:sz w:val="24"/>
              </w:rPr>
            </w:pPr>
          </w:p>
          <w:p w14:paraId="626CF025">
            <w:pPr>
              <w:spacing w:line="500" w:lineRule="exact"/>
              <w:rPr>
                <w:rFonts w:hint="eastAsia" w:ascii="宋体" w:hAnsi="宋体" w:eastAsia="宋体" w:cs="宋体"/>
                <w:sz w:val="24"/>
              </w:rPr>
            </w:pPr>
          </w:p>
          <w:p w14:paraId="281D9A22">
            <w:pPr>
              <w:spacing w:line="500" w:lineRule="exact"/>
              <w:ind w:firstLine="720" w:firstLineChars="300"/>
              <w:rPr>
                <w:rFonts w:hint="eastAsia" w:ascii="宋体" w:hAnsi="宋体" w:eastAsia="宋体" w:cs="宋体"/>
                <w:sz w:val="24"/>
              </w:rPr>
            </w:pPr>
            <w:r>
              <w:rPr>
                <w:rFonts w:hint="eastAsia" w:ascii="宋体" w:hAnsi="宋体" w:eastAsia="宋体" w:cs="宋体"/>
                <w:sz w:val="24"/>
              </w:rPr>
              <w:t xml:space="preserve">   身份证复印件或扫描件反面</w:t>
            </w:r>
          </w:p>
          <w:p w14:paraId="4B2C5739">
            <w:pPr>
              <w:spacing w:line="500" w:lineRule="exact"/>
              <w:rPr>
                <w:rFonts w:hint="eastAsia" w:ascii="宋体" w:hAnsi="宋体" w:eastAsia="宋体" w:cs="宋体"/>
                <w:sz w:val="24"/>
              </w:rPr>
            </w:pPr>
          </w:p>
        </w:tc>
      </w:tr>
    </w:tbl>
    <w:p w14:paraId="772FC4C3">
      <w:pPr>
        <w:widowControl/>
        <w:jc w:val="center"/>
        <w:rPr>
          <w:rFonts w:hint="eastAsia" w:ascii="宋体" w:hAnsi="宋体" w:eastAsia="宋体" w:cs="宋体"/>
        </w:rPr>
      </w:pPr>
    </w:p>
    <w:p w14:paraId="5BA7DF91">
      <w:pPr>
        <w:spacing w:line="400" w:lineRule="exact"/>
        <w:jc w:val="center"/>
        <w:rPr>
          <w:rFonts w:hint="default" w:ascii="宋体" w:hAnsi="宋体" w:eastAsia="宋体" w:cs="宋体"/>
          <w:b/>
          <w:bCs/>
          <w:sz w:val="36"/>
          <w:szCs w:val="36"/>
          <w:lang w:val="en-US" w:eastAsia="zh-CN"/>
        </w:rPr>
      </w:pPr>
      <w:r>
        <w:rPr>
          <w:rFonts w:hint="eastAsia" w:ascii="宋体" w:hAnsi="宋体" w:cs="宋体"/>
          <w:b/>
          <w:bCs/>
          <w:sz w:val="24"/>
          <w:szCs w:val="24"/>
          <w:lang w:val="en-US" w:eastAsia="zh-CN"/>
        </w:rPr>
        <w:t>注：法定代表人参与竞谈的无需提供法人授权委托书。</w:t>
      </w:r>
    </w:p>
    <w:p w14:paraId="2BC4EC44">
      <w:pPr>
        <w:pStyle w:val="33"/>
        <w:rPr>
          <w:rFonts w:hint="eastAsia" w:ascii="宋体" w:hAnsi="宋体" w:eastAsia="宋体" w:cs="宋体"/>
        </w:rPr>
      </w:pPr>
    </w:p>
    <w:p w14:paraId="7DAA6D35">
      <w:pPr>
        <w:pStyle w:val="33"/>
        <w:rPr>
          <w:rFonts w:hint="eastAsia" w:ascii="宋体" w:hAnsi="宋体" w:eastAsia="宋体" w:cs="宋体"/>
        </w:rPr>
      </w:pPr>
    </w:p>
    <w:p w14:paraId="5FBFA82A">
      <w:pP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br w:type="page"/>
      </w:r>
    </w:p>
    <w:p w14:paraId="17289968">
      <w:pPr>
        <w:spacing w:line="400" w:lineRule="exact"/>
        <w:jc w:val="center"/>
        <w:rPr>
          <w:rFonts w:hint="eastAsia" w:ascii="宋体" w:hAnsi="宋体" w:eastAsia="宋体" w:cs="宋体"/>
          <w:b/>
          <w:bCs/>
          <w:sz w:val="32"/>
          <w:szCs w:val="32"/>
        </w:rPr>
      </w:pPr>
      <w:r>
        <w:rPr>
          <w:rFonts w:hint="eastAsia" w:ascii="宋体" w:hAnsi="宋体" w:eastAsia="宋体" w:cs="宋体"/>
          <w:b/>
          <w:bCs/>
          <w:sz w:val="32"/>
          <w:szCs w:val="32"/>
          <w:lang w:val="en-US" w:eastAsia="zh-CN"/>
        </w:rPr>
        <w:t>四、</w:t>
      </w:r>
      <w:r>
        <w:rPr>
          <w:rFonts w:hint="eastAsia" w:ascii="宋体" w:hAnsi="宋体" w:eastAsia="宋体" w:cs="宋体"/>
          <w:b/>
          <w:bCs/>
          <w:sz w:val="32"/>
          <w:szCs w:val="32"/>
        </w:rPr>
        <w:t>营业执照</w:t>
      </w:r>
    </w:p>
    <w:p w14:paraId="2E1C86A9">
      <w:pPr>
        <w:rPr>
          <w:rFonts w:hint="eastAsia" w:ascii="宋体" w:hAnsi="宋体" w:eastAsia="宋体" w:cs="宋体"/>
          <w:b/>
          <w:bCs/>
          <w:sz w:val="32"/>
          <w:szCs w:val="32"/>
        </w:rPr>
      </w:pPr>
      <w:r>
        <w:rPr>
          <w:rFonts w:hint="eastAsia" w:ascii="宋体" w:hAnsi="宋体" w:eastAsia="宋体" w:cs="宋体"/>
          <w:b/>
          <w:bCs/>
          <w:sz w:val="32"/>
          <w:szCs w:val="32"/>
        </w:rPr>
        <w:br w:type="page"/>
      </w:r>
    </w:p>
    <w:p w14:paraId="6FF802A0">
      <w:pPr>
        <w:spacing w:line="400" w:lineRule="exact"/>
        <w:jc w:val="center"/>
        <w:rPr>
          <w:rFonts w:hint="eastAsia" w:ascii="宋体" w:hAnsi="宋体" w:eastAsia="宋体" w:cs="宋体"/>
          <w:b/>
          <w:bCs/>
          <w:sz w:val="32"/>
          <w:szCs w:val="32"/>
        </w:rPr>
      </w:pPr>
      <w:r>
        <w:rPr>
          <w:rFonts w:hint="eastAsia" w:ascii="宋体" w:hAnsi="宋体" w:cs="宋体"/>
          <w:b/>
          <w:bCs/>
          <w:sz w:val="32"/>
          <w:szCs w:val="32"/>
          <w:lang w:val="en-US" w:eastAsia="zh-CN"/>
        </w:rPr>
        <w:t>五</w:t>
      </w:r>
      <w:r>
        <w:rPr>
          <w:rFonts w:hint="eastAsia" w:ascii="宋体" w:hAnsi="宋体" w:eastAsia="宋体" w:cs="宋体"/>
          <w:b/>
          <w:bCs/>
          <w:sz w:val="32"/>
          <w:szCs w:val="32"/>
          <w:lang w:val="en-US" w:eastAsia="zh-CN"/>
        </w:rPr>
        <w:t>、</w:t>
      </w:r>
      <w:r>
        <w:rPr>
          <w:rFonts w:hint="eastAsia" w:ascii="宋体" w:hAnsi="宋体" w:eastAsia="宋体" w:cs="宋体"/>
          <w:b/>
          <w:bCs/>
          <w:sz w:val="32"/>
          <w:szCs w:val="32"/>
        </w:rPr>
        <w:t>具备履行合同所必需的设备和专业技术能力的证明材料</w:t>
      </w:r>
    </w:p>
    <w:p w14:paraId="101CE6C0">
      <w:pPr>
        <w:spacing w:line="400" w:lineRule="exact"/>
        <w:ind w:firstLine="600" w:firstLineChars="200"/>
        <w:jc w:val="both"/>
        <w:rPr>
          <w:rFonts w:hint="eastAsia" w:ascii="宋体" w:hAnsi="宋体" w:eastAsia="宋体" w:cs="宋体"/>
          <w:sz w:val="30"/>
          <w:szCs w:val="30"/>
          <w:highlight w:val="none"/>
        </w:rPr>
      </w:pPr>
    </w:p>
    <w:p w14:paraId="4AAE01E7">
      <w:pPr>
        <w:spacing w:line="400" w:lineRule="exact"/>
        <w:ind w:firstLine="1500" w:firstLineChars="500"/>
        <w:jc w:val="both"/>
        <w:rPr>
          <w:rFonts w:hint="eastAsia" w:ascii="宋体" w:hAnsi="宋体" w:eastAsia="宋体" w:cs="宋体"/>
          <w:sz w:val="30"/>
          <w:szCs w:val="30"/>
          <w:highlight w:val="none"/>
        </w:rPr>
      </w:pPr>
      <w:r>
        <w:rPr>
          <w:rFonts w:hint="eastAsia" w:ascii="宋体" w:hAnsi="宋体" w:eastAsia="宋体" w:cs="宋体"/>
          <w:sz w:val="30"/>
          <w:szCs w:val="30"/>
          <w:highlight w:val="none"/>
        </w:rPr>
        <w:t>履行合同所必需的设备和专业技术能力的承诺函</w:t>
      </w:r>
    </w:p>
    <w:p w14:paraId="120C7162">
      <w:pPr>
        <w:spacing w:line="400" w:lineRule="exact"/>
        <w:jc w:val="center"/>
        <w:rPr>
          <w:rFonts w:hint="eastAsia" w:ascii="宋体" w:hAnsi="宋体" w:eastAsia="宋体" w:cs="宋体"/>
          <w:sz w:val="32"/>
          <w:szCs w:val="32"/>
          <w:highlight w:val="none"/>
        </w:rPr>
      </w:pPr>
    </w:p>
    <w:p w14:paraId="2E2AB0F1">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z w:val="28"/>
          <w:szCs w:val="28"/>
          <w:highlight w:val="none"/>
          <w:u w:val="single"/>
        </w:rPr>
      </w:pPr>
      <w:r>
        <w:rPr>
          <w:rFonts w:hint="eastAsia" w:ascii="宋体" w:hAnsi="宋体" w:cs="宋体"/>
          <w:sz w:val="28"/>
          <w:szCs w:val="28"/>
          <w:highlight w:val="none"/>
          <w:u w:val="single"/>
          <w:lang w:val="en-US" w:eastAsia="zh-CN"/>
        </w:rPr>
        <w:t>贵州钟山野马寨热电有限责任公司</w:t>
      </w:r>
      <w:r>
        <w:rPr>
          <w:rFonts w:hint="eastAsia" w:ascii="宋体" w:hAnsi="宋体" w:eastAsia="宋体" w:cs="宋体"/>
          <w:sz w:val="28"/>
          <w:szCs w:val="28"/>
          <w:highlight w:val="none"/>
        </w:rPr>
        <w:t>：</w:t>
      </w:r>
    </w:p>
    <w:p w14:paraId="50DF0314">
      <w:pPr>
        <w:keepNext w:val="0"/>
        <w:keepLines w:val="0"/>
        <w:pageBreakBefore w:val="0"/>
        <w:widowControl w:val="0"/>
        <w:kinsoku/>
        <w:wordWrap/>
        <w:overflowPunct/>
        <w:topLinePunct w:val="0"/>
        <w:autoSpaceDE/>
        <w:autoSpaceDN/>
        <w:bidi w:val="0"/>
        <w:spacing w:line="360" w:lineRule="auto"/>
        <w:ind w:firstLine="560" w:firstLineChars="200"/>
        <w:jc w:val="lef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我单位参加贵单位组织</w:t>
      </w:r>
      <w:r>
        <w:rPr>
          <w:rFonts w:hint="eastAsia" w:ascii="宋体" w:hAnsi="宋体" w:eastAsia="宋体" w:cs="宋体"/>
          <w:sz w:val="28"/>
          <w:szCs w:val="28"/>
          <w:highlight w:val="none"/>
          <w:u w:val="single"/>
        </w:rPr>
        <w:t xml:space="preserve"> </w:t>
      </w:r>
      <w:r>
        <w:rPr>
          <w:rFonts w:hint="eastAsia" w:ascii="宋体" w:hAnsi="宋体" w:cs="宋体"/>
          <w:sz w:val="28"/>
          <w:szCs w:val="28"/>
          <w:highlight w:val="none"/>
          <w:u w:val="single"/>
          <w:lang w:val="en-US" w:eastAsia="zh-CN"/>
        </w:rPr>
        <w:t>2025年第十九批次燃煤采购项目</w:t>
      </w:r>
      <w:r>
        <w:rPr>
          <w:rFonts w:hint="eastAsia" w:ascii="宋体" w:hAnsi="宋体" w:eastAsia="宋体" w:cs="宋体"/>
          <w:sz w:val="28"/>
          <w:szCs w:val="28"/>
          <w:highlight w:val="none"/>
        </w:rPr>
        <w:t>，根据</w:t>
      </w:r>
      <w:r>
        <w:rPr>
          <w:rFonts w:hint="eastAsia" w:ascii="宋体" w:hAnsi="宋体" w:eastAsia="宋体" w:cs="宋体"/>
          <w:sz w:val="28"/>
          <w:szCs w:val="28"/>
          <w:highlight w:val="none"/>
          <w:lang w:val="en-US" w:eastAsia="zh-CN"/>
        </w:rPr>
        <w:t>本项目供应商资格要求规定</w:t>
      </w:r>
      <w:r>
        <w:rPr>
          <w:rFonts w:hint="eastAsia" w:ascii="宋体" w:hAnsi="宋体" w:eastAsia="宋体" w:cs="宋体"/>
          <w:sz w:val="28"/>
          <w:szCs w:val="28"/>
          <w:highlight w:val="none"/>
        </w:rPr>
        <w:t>，我单位履行合同所必需的设备和专业技术能力的承诺如下：</w:t>
      </w:r>
    </w:p>
    <w:p w14:paraId="55470455">
      <w:pPr>
        <w:keepNext w:val="0"/>
        <w:keepLines w:val="0"/>
        <w:pageBreakBefore w:val="0"/>
        <w:widowControl w:val="0"/>
        <w:kinsoku/>
        <w:wordWrap/>
        <w:overflowPunct/>
        <w:topLinePunct w:val="0"/>
        <w:autoSpaceDE/>
        <w:autoSpaceDN/>
        <w:bidi w:val="0"/>
        <w:spacing w:line="360" w:lineRule="auto"/>
        <w:jc w:val="lef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1、我单位具有履行合同所必需的设备和专业技术能力；</w:t>
      </w:r>
    </w:p>
    <w:p w14:paraId="6295EAEE">
      <w:pPr>
        <w:keepNext w:val="0"/>
        <w:keepLines w:val="0"/>
        <w:pageBreakBefore w:val="0"/>
        <w:widowControl w:val="0"/>
        <w:kinsoku/>
        <w:wordWrap/>
        <w:overflowPunct/>
        <w:topLinePunct w:val="0"/>
        <w:autoSpaceDE/>
        <w:autoSpaceDN/>
        <w:bidi w:val="0"/>
        <w:spacing w:line="360" w:lineRule="auto"/>
        <w:jc w:val="lef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2、若我单位成交在本项目实施及服务过程中，我单位承诺完全按照响应文件中的履行合同所必需的设备和专业技术能力的配备情况配置人员及设备，同时根据项目实施情况及采购人的要求增补相关人员及设备以保障项目顺利实施。</w:t>
      </w:r>
    </w:p>
    <w:p w14:paraId="5D571793">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sz w:val="28"/>
          <w:szCs w:val="28"/>
          <w:highlight w:val="none"/>
        </w:rPr>
      </w:pPr>
    </w:p>
    <w:p w14:paraId="1375603F">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sz w:val="28"/>
          <w:szCs w:val="28"/>
          <w:highlight w:val="none"/>
        </w:rPr>
      </w:pPr>
    </w:p>
    <w:p w14:paraId="7E990A69">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rPr>
        <w:t>特此承诺</w:t>
      </w:r>
      <w:r>
        <w:rPr>
          <w:rFonts w:hint="eastAsia" w:ascii="宋体" w:hAnsi="宋体" w:cs="宋体"/>
          <w:sz w:val="28"/>
          <w:szCs w:val="28"/>
          <w:highlight w:val="none"/>
          <w:lang w:eastAsia="zh-CN"/>
        </w:rPr>
        <w:t>！</w:t>
      </w:r>
    </w:p>
    <w:p w14:paraId="15B6A24F">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8"/>
          <w:szCs w:val="28"/>
          <w:highlight w:val="none"/>
        </w:rPr>
      </w:pPr>
    </w:p>
    <w:p w14:paraId="071B50E7">
      <w:pPr>
        <w:keepNext w:val="0"/>
        <w:keepLines w:val="0"/>
        <w:pageBreakBefore w:val="0"/>
        <w:widowControl w:val="0"/>
        <w:kinsoku/>
        <w:wordWrap/>
        <w:overflowPunct/>
        <w:topLinePunct w:val="0"/>
        <w:autoSpaceDE/>
        <w:autoSpaceDN/>
        <w:bidi w:val="0"/>
        <w:adjustRightInd w:val="0"/>
        <w:snapToGrid w:val="0"/>
        <w:spacing w:line="360" w:lineRule="auto"/>
        <w:ind w:firstLine="1680" w:firstLineChars="600"/>
        <w:jc w:val="center"/>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供应商名称（单位公章）：</w:t>
      </w:r>
    </w:p>
    <w:p w14:paraId="60C29737">
      <w:pPr>
        <w:keepNext w:val="0"/>
        <w:keepLines w:val="0"/>
        <w:pageBreakBefore w:val="0"/>
        <w:widowControl w:val="0"/>
        <w:kinsoku/>
        <w:wordWrap/>
        <w:overflowPunct/>
        <w:topLinePunct w:val="0"/>
        <w:autoSpaceDE/>
        <w:autoSpaceDN/>
        <w:bidi w:val="0"/>
        <w:adjustRightInd w:val="0"/>
        <w:snapToGrid w:val="0"/>
        <w:spacing w:line="360" w:lineRule="auto"/>
        <w:ind w:firstLine="1680" w:firstLineChars="600"/>
        <w:jc w:val="center"/>
        <w:textAlignment w:val="auto"/>
        <w:rPr>
          <w:rFonts w:hint="eastAsia" w:ascii="宋体" w:hAnsi="宋体" w:cs="宋体"/>
          <w:sz w:val="28"/>
          <w:szCs w:val="28"/>
          <w:highlight w:val="none"/>
          <w:lang w:val="en-US" w:eastAsia="zh-CN"/>
        </w:rPr>
      </w:pPr>
      <w:r>
        <w:rPr>
          <w:rFonts w:hint="eastAsia" w:ascii="宋体" w:hAnsi="宋体" w:cs="宋体"/>
          <w:sz w:val="28"/>
          <w:szCs w:val="28"/>
          <w:highlight w:val="none"/>
          <w:lang w:val="en-US" w:eastAsia="zh-CN"/>
        </w:rPr>
        <w:t xml:space="preserve"> </w:t>
      </w:r>
    </w:p>
    <w:p w14:paraId="1E25B734">
      <w:pPr>
        <w:keepNext w:val="0"/>
        <w:keepLines w:val="0"/>
        <w:pageBreakBefore w:val="0"/>
        <w:widowControl w:val="0"/>
        <w:kinsoku/>
        <w:wordWrap/>
        <w:overflowPunct/>
        <w:topLinePunct w:val="0"/>
        <w:autoSpaceDE/>
        <w:autoSpaceDN/>
        <w:bidi w:val="0"/>
        <w:adjustRightInd w:val="0"/>
        <w:snapToGrid w:val="0"/>
        <w:spacing w:line="360" w:lineRule="auto"/>
        <w:ind w:firstLine="1680" w:firstLineChars="600"/>
        <w:jc w:val="center"/>
        <w:textAlignment w:val="auto"/>
        <w:rPr>
          <w:rFonts w:hint="eastAsia" w:ascii="宋体" w:hAnsi="宋体" w:eastAsia="宋体" w:cs="宋体"/>
          <w:sz w:val="28"/>
          <w:szCs w:val="28"/>
          <w:highlight w:val="none"/>
          <w:lang w:eastAsia="zh-CN"/>
        </w:rPr>
      </w:pPr>
      <w:r>
        <w:rPr>
          <w:rFonts w:hint="eastAsia" w:ascii="宋体" w:hAnsi="宋体" w:cs="宋体"/>
          <w:sz w:val="28"/>
          <w:szCs w:val="28"/>
          <w:highlight w:val="none"/>
          <w:lang w:val="en-US" w:eastAsia="zh-CN"/>
        </w:rPr>
        <w:t xml:space="preserve">  </w:t>
      </w:r>
      <w:r>
        <w:rPr>
          <w:rFonts w:hint="eastAsia" w:ascii="宋体" w:hAnsi="宋体" w:eastAsia="宋体" w:cs="宋体"/>
          <w:sz w:val="28"/>
          <w:szCs w:val="28"/>
          <w:highlight w:val="none"/>
        </w:rPr>
        <w:t>法定代表人签字或盖章</w:t>
      </w:r>
      <w:r>
        <w:rPr>
          <w:rFonts w:hint="eastAsia" w:ascii="宋体" w:hAnsi="宋体" w:cs="宋体"/>
          <w:sz w:val="28"/>
          <w:szCs w:val="28"/>
          <w:highlight w:val="none"/>
          <w:lang w:eastAsia="zh-CN"/>
        </w:rPr>
        <w:t>：</w:t>
      </w:r>
    </w:p>
    <w:p w14:paraId="34845170">
      <w:pPr>
        <w:keepNext w:val="0"/>
        <w:keepLines w:val="0"/>
        <w:pageBreakBefore w:val="0"/>
        <w:widowControl w:val="0"/>
        <w:kinsoku/>
        <w:wordWrap/>
        <w:overflowPunct/>
        <w:topLinePunct w:val="0"/>
        <w:autoSpaceDE/>
        <w:autoSpaceDN/>
        <w:bidi w:val="0"/>
        <w:adjustRightInd w:val="0"/>
        <w:snapToGrid w:val="0"/>
        <w:spacing w:line="360" w:lineRule="auto"/>
        <w:ind w:firstLine="1680" w:firstLineChars="600"/>
        <w:jc w:val="center"/>
        <w:textAlignment w:val="auto"/>
        <w:rPr>
          <w:rFonts w:hint="eastAsia" w:ascii="宋体" w:hAnsi="宋体" w:cs="宋体"/>
          <w:sz w:val="28"/>
          <w:szCs w:val="28"/>
          <w:highlight w:val="none"/>
          <w:lang w:val="en-US" w:eastAsia="zh-CN"/>
        </w:rPr>
      </w:pPr>
      <w:r>
        <w:rPr>
          <w:rFonts w:hint="eastAsia" w:ascii="宋体" w:hAnsi="宋体" w:cs="宋体"/>
          <w:sz w:val="28"/>
          <w:szCs w:val="28"/>
          <w:highlight w:val="none"/>
          <w:lang w:val="en-US" w:eastAsia="zh-CN"/>
        </w:rPr>
        <w:t xml:space="preserve">                 </w:t>
      </w:r>
    </w:p>
    <w:p w14:paraId="6B2277BC">
      <w:pPr>
        <w:keepNext w:val="0"/>
        <w:keepLines w:val="0"/>
        <w:pageBreakBefore w:val="0"/>
        <w:widowControl w:val="0"/>
        <w:kinsoku/>
        <w:wordWrap/>
        <w:overflowPunct/>
        <w:topLinePunct w:val="0"/>
        <w:autoSpaceDE/>
        <w:autoSpaceDN/>
        <w:bidi w:val="0"/>
        <w:adjustRightInd w:val="0"/>
        <w:snapToGrid w:val="0"/>
        <w:spacing w:line="360" w:lineRule="auto"/>
        <w:ind w:firstLine="1680" w:firstLineChars="600"/>
        <w:jc w:val="center"/>
        <w:textAlignment w:val="auto"/>
        <w:rPr>
          <w:rFonts w:hint="eastAsia" w:ascii="宋体" w:hAnsi="宋体" w:eastAsia="宋体" w:cs="宋体"/>
          <w:sz w:val="28"/>
          <w:szCs w:val="28"/>
          <w:highlight w:val="none"/>
        </w:rPr>
      </w:pPr>
      <w:r>
        <w:rPr>
          <w:rFonts w:hint="eastAsia" w:ascii="宋体" w:hAnsi="宋体" w:cs="宋体"/>
          <w:sz w:val="28"/>
          <w:szCs w:val="28"/>
          <w:highlight w:val="none"/>
          <w:lang w:val="en-US" w:eastAsia="zh-CN"/>
        </w:rPr>
        <w:t xml:space="preserve">                  </w:t>
      </w:r>
      <w:r>
        <w:rPr>
          <w:rFonts w:hint="eastAsia" w:ascii="宋体" w:hAnsi="宋体" w:eastAsia="宋体" w:cs="宋体"/>
          <w:sz w:val="28"/>
          <w:szCs w:val="28"/>
          <w:highlight w:val="none"/>
        </w:rPr>
        <w:t xml:space="preserve">日期：  </w:t>
      </w:r>
    </w:p>
    <w:p w14:paraId="01A9FB56">
      <w:pPr>
        <w:rPr>
          <w:rFonts w:hint="eastAsia" w:ascii="宋体" w:hAnsi="宋体" w:eastAsia="宋体" w:cs="宋体"/>
        </w:rPr>
      </w:pPr>
      <w:r>
        <w:rPr>
          <w:rFonts w:hint="eastAsia" w:ascii="宋体" w:hAnsi="宋体" w:eastAsia="宋体" w:cs="宋体"/>
          <w:sz w:val="28"/>
          <w:szCs w:val="28"/>
          <w:highlight w:val="none"/>
        </w:rPr>
        <w:br w:type="page"/>
      </w:r>
    </w:p>
    <w:p w14:paraId="3ECD780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363" w:leftChars="0"/>
        <w:jc w:val="center"/>
        <w:textAlignment w:val="auto"/>
        <w:rPr>
          <w:rFonts w:hint="eastAsia" w:ascii="宋体" w:hAnsi="宋体" w:eastAsia="宋体" w:cs="宋体"/>
          <w:b/>
          <w:bCs/>
          <w:sz w:val="32"/>
          <w:szCs w:val="32"/>
        </w:rPr>
      </w:pPr>
      <w:r>
        <w:rPr>
          <w:rFonts w:hint="eastAsia" w:ascii="宋体" w:hAnsi="宋体" w:cs="宋体"/>
          <w:b/>
          <w:bCs/>
          <w:sz w:val="32"/>
          <w:szCs w:val="32"/>
          <w:lang w:val="en-US" w:eastAsia="zh-CN"/>
        </w:rPr>
        <w:t>六、</w:t>
      </w:r>
      <w:r>
        <w:rPr>
          <w:rFonts w:hint="eastAsia" w:ascii="宋体" w:hAnsi="宋体" w:eastAsia="宋体" w:cs="宋体"/>
          <w:b/>
          <w:bCs/>
          <w:sz w:val="32"/>
          <w:szCs w:val="32"/>
        </w:rPr>
        <w:t>参加</w:t>
      </w:r>
      <w:r>
        <w:rPr>
          <w:rFonts w:hint="eastAsia" w:ascii="宋体" w:hAnsi="宋体" w:cs="宋体"/>
          <w:b/>
          <w:bCs/>
          <w:sz w:val="32"/>
          <w:szCs w:val="32"/>
          <w:lang w:eastAsia="zh-CN"/>
        </w:rPr>
        <w:t>政府采购活动</w:t>
      </w:r>
      <w:r>
        <w:rPr>
          <w:rFonts w:hint="eastAsia" w:ascii="宋体" w:hAnsi="宋体" w:eastAsia="宋体" w:cs="宋体"/>
          <w:b/>
          <w:bCs/>
          <w:sz w:val="32"/>
          <w:szCs w:val="32"/>
        </w:rPr>
        <w:t>前3年内在经营活动中没有重大违法记录</w:t>
      </w:r>
    </w:p>
    <w:p w14:paraId="3E4AA8E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363" w:leftChars="0"/>
        <w:jc w:val="center"/>
        <w:textAlignment w:val="auto"/>
        <w:rPr>
          <w:rFonts w:hint="eastAsia" w:ascii="宋体" w:hAnsi="宋体" w:eastAsia="宋体" w:cs="宋体"/>
          <w:b/>
          <w:bCs/>
          <w:sz w:val="32"/>
          <w:szCs w:val="32"/>
        </w:rPr>
      </w:pPr>
      <w:r>
        <w:rPr>
          <w:rFonts w:hint="eastAsia" w:ascii="宋体" w:hAnsi="宋体" w:eastAsia="宋体" w:cs="宋体"/>
          <w:b/>
          <w:bCs/>
          <w:sz w:val="32"/>
          <w:szCs w:val="32"/>
        </w:rPr>
        <w:t>书面声明</w:t>
      </w:r>
    </w:p>
    <w:p w14:paraId="50914FCC">
      <w:pPr>
        <w:spacing w:line="480" w:lineRule="auto"/>
        <w:rPr>
          <w:rFonts w:hint="eastAsia" w:ascii="宋体" w:hAnsi="宋体" w:cs="宋体"/>
          <w:sz w:val="28"/>
          <w:szCs w:val="28"/>
          <w:highlight w:val="none"/>
          <w:u w:val="single"/>
          <w:lang w:val="en-US" w:eastAsia="zh-CN"/>
        </w:rPr>
      </w:pPr>
    </w:p>
    <w:p w14:paraId="0363719F">
      <w:pPr>
        <w:spacing w:line="480" w:lineRule="auto"/>
        <w:rPr>
          <w:rFonts w:hint="eastAsia" w:ascii="宋体" w:hAnsi="宋体" w:eastAsia="宋体" w:cs="宋体"/>
          <w:sz w:val="28"/>
          <w:szCs w:val="28"/>
          <w:highlight w:val="none"/>
          <w:u w:val="single"/>
        </w:rPr>
      </w:pPr>
      <w:r>
        <w:rPr>
          <w:rFonts w:hint="eastAsia" w:ascii="宋体" w:hAnsi="宋体" w:cs="宋体"/>
          <w:sz w:val="28"/>
          <w:szCs w:val="28"/>
          <w:highlight w:val="none"/>
          <w:u w:val="single"/>
          <w:lang w:val="en-US" w:eastAsia="zh-CN"/>
        </w:rPr>
        <w:t>贵州钟山野马寨热电有限责任公司</w:t>
      </w:r>
      <w:r>
        <w:rPr>
          <w:rFonts w:hint="eastAsia" w:ascii="宋体" w:hAnsi="宋体" w:eastAsia="宋体" w:cs="宋体"/>
          <w:sz w:val="28"/>
          <w:szCs w:val="28"/>
          <w:highlight w:val="none"/>
          <w:u w:val="single"/>
        </w:rPr>
        <w:t>：</w:t>
      </w:r>
    </w:p>
    <w:p w14:paraId="7F0EC9C6">
      <w:pPr>
        <w:spacing w:line="480" w:lineRule="auto"/>
        <w:ind w:firstLine="720"/>
        <w:rPr>
          <w:rFonts w:hint="eastAsia" w:ascii="宋体" w:hAnsi="宋体" w:eastAsia="宋体" w:cs="宋体"/>
          <w:sz w:val="28"/>
          <w:szCs w:val="28"/>
          <w:highlight w:val="none"/>
        </w:rPr>
      </w:pPr>
      <w:r>
        <w:rPr>
          <w:rFonts w:hint="eastAsia" w:ascii="宋体" w:hAnsi="宋体" w:eastAsia="宋体" w:cs="宋体"/>
          <w:sz w:val="28"/>
          <w:szCs w:val="28"/>
          <w:highlight w:val="none"/>
        </w:rPr>
        <w:t>我单位参加贵单位的</w:t>
      </w:r>
      <w:r>
        <w:rPr>
          <w:rFonts w:hint="eastAsia" w:ascii="宋体" w:hAnsi="宋体" w:cs="宋体"/>
          <w:sz w:val="28"/>
          <w:szCs w:val="28"/>
          <w:highlight w:val="none"/>
          <w:u w:val="single"/>
          <w:lang w:val="en-US" w:eastAsia="zh-CN"/>
        </w:rPr>
        <w:t>2025年第十九批次燃煤采购项目</w:t>
      </w:r>
      <w:r>
        <w:rPr>
          <w:rFonts w:hint="eastAsia" w:ascii="宋体" w:hAnsi="宋体" w:eastAsia="宋体" w:cs="宋体"/>
          <w:sz w:val="28"/>
          <w:szCs w:val="28"/>
          <w:highlight w:val="none"/>
        </w:rPr>
        <w:t>采购，（项目编号：</w:t>
      </w:r>
      <w:r>
        <w:rPr>
          <w:rFonts w:hint="eastAsia" w:ascii="宋体" w:hAnsi="宋体" w:eastAsia="宋体" w:cs="宋体"/>
          <w:sz w:val="28"/>
          <w:szCs w:val="28"/>
          <w:highlight w:val="none"/>
          <w:u w:val="single"/>
        </w:rPr>
        <w:t xml:space="preserve"> </w:t>
      </w:r>
      <w:r>
        <w:rPr>
          <w:rFonts w:hint="eastAsia" w:ascii="宋体" w:hAnsi="宋体" w:cs="宋体"/>
          <w:sz w:val="28"/>
          <w:szCs w:val="28"/>
          <w:highlight w:val="none"/>
          <w:u w:val="single"/>
          <w:lang w:val="en-US" w:eastAsia="zh-CN"/>
        </w:rPr>
        <w:t>ZSRD2025000119</w:t>
      </w:r>
      <w:r>
        <w:rPr>
          <w:rFonts w:hint="eastAsia" w:ascii="宋体" w:hAnsi="宋体" w:eastAsia="宋体" w:cs="宋体"/>
          <w:sz w:val="28"/>
          <w:szCs w:val="28"/>
          <w:highlight w:val="none"/>
        </w:rPr>
        <w:t>）</w:t>
      </w:r>
      <w:r>
        <w:rPr>
          <w:rFonts w:hint="eastAsia" w:ascii="宋体" w:hAnsi="宋体" w:cs="宋体"/>
          <w:sz w:val="28"/>
          <w:szCs w:val="28"/>
          <w:highlight w:val="none"/>
          <w:lang w:eastAsia="zh-CN"/>
        </w:rPr>
        <w:t>竞争性谈判</w:t>
      </w:r>
      <w:r>
        <w:rPr>
          <w:rFonts w:hint="eastAsia" w:ascii="宋体" w:hAnsi="宋体" w:eastAsia="宋体" w:cs="宋体"/>
          <w:sz w:val="28"/>
          <w:szCs w:val="28"/>
          <w:highlight w:val="none"/>
        </w:rPr>
        <w:t>活动，在此郑重声明：我单位在参加本项目</w:t>
      </w:r>
      <w:r>
        <w:rPr>
          <w:rFonts w:hint="eastAsia" w:ascii="宋体" w:hAnsi="宋体" w:cs="宋体"/>
          <w:sz w:val="28"/>
          <w:szCs w:val="28"/>
          <w:highlight w:val="none"/>
          <w:lang w:val="en-US" w:eastAsia="zh-CN"/>
        </w:rPr>
        <w:t>政府采购活动</w:t>
      </w:r>
      <w:r>
        <w:rPr>
          <w:rFonts w:hint="eastAsia" w:ascii="宋体" w:hAnsi="宋体" w:eastAsia="宋体" w:cs="宋体"/>
          <w:sz w:val="28"/>
          <w:szCs w:val="28"/>
          <w:highlight w:val="none"/>
        </w:rPr>
        <w:t>前3年内在经营活动中未因违法经营受到刑事处罚或者停产停业、吊销许可证或者执照、较大数额罚款等行政处罚。</w:t>
      </w:r>
    </w:p>
    <w:p w14:paraId="6E249BEB">
      <w:pPr>
        <w:spacing w:line="480" w:lineRule="auto"/>
        <w:rPr>
          <w:rFonts w:hint="eastAsia" w:ascii="宋体" w:hAnsi="宋体" w:eastAsia="宋体" w:cs="宋体"/>
          <w:sz w:val="28"/>
          <w:szCs w:val="28"/>
          <w:highlight w:val="none"/>
        </w:rPr>
      </w:pPr>
    </w:p>
    <w:p w14:paraId="630C6ED3">
      <w:pPr>
        <w:spacing w:line="400" w:lineRule="exact"/>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                                       </w:t>
      </w:r>
    </w:p>
    <w:p w14:paraId="756B3468">
      <w:pPr>
        <w:adjustRightInd w:val="0"/>
        <w:snapToGrid w:val="0"/>
        <w:spacing w:line="480" w:lineRule="auto"/>
        <w:rPr>
          <w:rFonts w:hint="eastAsia" w:ascii="宋体" w:hAnsi="宋体" w:eastAsia="宋体" w:cs="宋体"/>
          <w:sz w:val="28"/>
          <w:szCs w:val="28"/>
          <w:highlight w:val="none"/>
          <w:u w:val="single"/>
        </w:rPr>
      </w:pPr>
      <w:r>
        <w:rPr>
          <w:rFonts w:hint="eastAsia" w:ascii="宋体" w:hAnsi="宋体" w:eastAsia="宋体" w:cs="宋体"/>
          <w:sz w:val="28"/>
          <w:szCs w:val="28"/>
          <w:highlight w:val="none"/>
        </w:rPr>
        <w:t xml:space="preserve">                            </w:t>
      </w:r>
      <w:r>
        <w:rPr>
          <w:rFonts w:hint="eastAsia" w:ascii="宋体" w:hAnsi="宋体" w:cs="宋体"/>
          <w:sz w:val="28"/>
          <w:szCs w:val="28"/>
          <w:highlight w:val="none"/>
          <w:lang w:val="en-US" w:eastAsia="zh-CN"/>
        </w:rPr>
        <w:t xml:space="preserve"> </w:t>
      </w:r>
      <w:r>
        <w:rPr>
          <w:rFonts w:hint="eastAsia" w:ascii="宋体" w:hAnsi="宋体" w:eastAsia="宋体" w:cs="宋体"/>
          <w:sz w:val="28"/>
          <w:szCs w:val="28"/>
          <w:highlight w:val="none"/>
        </w:rPr>
        <w:t xml:space="preserve"> 供应商名称（单位公章）：</w:t>
      </w:r>
    </w:p>
    <w:p w14:paraId="52F1D109">
      <w:pPr>
        <w:keepNext w:val="0"/>
        <w:keepLines w:val="0"/>
        <w:pageBreakBefore w:val="0"/>
        <w:widowControl w:val="0"/>
        <w:kinsoku/>
        <w:wordWrap/>
        <w:overflowPunct/>
        <w:topLinePunct w:val="0"/>
        <w:autoSpaceDE/>
        <w:autoSpaceDN/>
        <w:bidi w:val="0"/>
        <w:adjustRightInd w:val="0"/>
        <w:snapToGrid w:val="0"/>
        <w:spacing w:line="360" w:lineRule="auto"/>
        <w:ind w:firstLine="4480" w:firstLineChars="1600"/>
        <w:jc w:val="both"/>
        <w:textAlignment w:val="auto"/>
        <w:rPr>
          <w:rFonts w:hint="eastAsia" w:ascii="宋体" w:hAnsi="宋体" w:eastAsia="宋体" w:cs="宋体"/>
          <w:sz w:val="28"/>
          <w:szCs w:val="28"/>
          <w:highlight w:val="none"/>
        </w:rPr>
      </w:pPr>
    </w:p>
    <w:p w14:paraId="716E13F5">
      <w:pPr>
        <w:keepNext w:val="0"/>
        <w:keepLines w:val="0"/>
        <w:pageBreakBefore w:val="0"/>
        <w:widowControl w:val="0"/>
        <w:kinsoku/>
        <w:wordWrap/>
        <w:overflowPunct/>
        <w:topLinePunct w:val="0"/>
        <w:autoSpaceDE/>
        <w:autoSpaceDN/>
        <w:bidi w:val="0"/>
        <w:adjustRightInd w:val="0"/>
        <w:snapToGrid w:val="0"/>
        <w:spacing w:line="360" w:lineRule="auto"/>
        <w:ind w:firstLine="4480" w:firstLineChars="1600"/>
        <w:jc w:val="both"/>
        <w:textAlignment w:val="auto"/>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rPr>
        <w:t>法定代表人签字或盖章</w:t>
      </w:r>
      <w:r>
        <w:rPr>
          <w:rFonts w:hint="eastAsia" w:ascii="宋体" w:hAnsi="宋体" w:cs="宋体"/>
          <w:sz w:val="28"/>
          <w:szCs w:val="28"/>
          <w:highlight w:val="none"/>
          <w:lang w:eastAsia="zh-CN"/>
        </w:rPr>
        <w:t>：</w:t>
      </w:r>
    </w:p>
    <w:p w14:paraId="3ABE5325">
      <w:pPr>
        <w:adjustRightInd w:val="0"/>
        <w:snapToGrid w:val="0"/>
        <w:spacing w:line="480" w:lineRule="auto"/>
        <w:ind w:firstLine="6720" w:firstLineChars="2400"/>
        <w:rPr>
          <w:rFonts w:hint="eastAsia" w:ascii="宋体" w:hAnsi="宋体" w:eastAsia="宋体" w:cs="宋体"/>
          <w:sz w:val="28"/>
          <w:szCs w:val="28"/>
          <w:highlight w:val="none"/>
        </w:rPr>
      </w:pPr>
    </w:p>
    <w:p w14:paraId="50F24357">
      <w:pPr>
        <w:adjustRightInd w:val="0"/>
        <w:snapToGrid w:val="0"/>
        <w:spacing w:line="480" w:lineRule="auto"/>
        <w:ind w:firstLine="6720" w:firstLineChars="2400"/>
        <w:rPr>
          <w:rFonts w:hint="eastAsia" w:ascii="宋体" w:hAnsi="宋体" w:eastAsia="宋体" w:cs="宋体"/>
          <w:sz w:val="28"/>
          <w:szCs w:val="28"/>
          <w:highlight w:val="none"/>
        </w:rPr>
      </w:pPr>
      <w:r>
        <w:rPr>
          <w:rFonts w:hint="eastAsia" w:ascii="宋体" w:hAnsi="宋体" w:eastAsia="宋体" w:cs="宋体"/>
          <w:sz w:val="28"/>
          <w:szCs w:val="28"/>
          <w:highlight w:val="none"/>
        </w:rPr>
        <w:t>日期：</w:t>
      </w:r>
    </w:p>
    <w:p w14:paraId="4ED49E47">
      <w:pPr>
        <w:rPr>
          <w:rFonts w:hint="eastAsia" w:ascii="宋体" w:hAnsi="宋体" w:eastAsia="宋体" w:cs="宋体"/>
          <w:b/>
          <w:bCs/>
          <w:sz w:val="32"/>
          <w:szCs w:val="32"/>
        </w:rPr>
      </w:pPr>
    </w:p>
    <w:p w14:paraId="65433908">
      <w:pPr>
        <w:pStyle w:val="9"/>
        <w:rPr>
          <w:rFonts w:hint="eastAsia" w:ascii="宋体" w:hAnsi="宋体" w:eastAsia="宋体" w:cs="宋体"/>
        </w:rPr>
      </w:pPr>
    </w:p>
    <w:p w14:paraId="5641143F">
      <w:pPr>
        <w:spacing w:line="400" w:lineRule="exact"/>
        <w:jc w:val="center"/>
        <w:rPr>
          <w:rFonts w:hint="eastAsia" w:ascii="宋体" w:hAnsi="宋体" w:eastAsia="宋体" w:cs="宋体"/>
          <w:b/>
          <w:bCs/>
          <w:sz w:val="32"/>
          <w:szCs w:val="32"/>
        </w:rPr>
      </w:pPr>
    </w:p>
    <w:p w14:paraId="24DAF117">
      <w:pPr>
        <w:spacing w:line="400" w:lineRule="exact"/>
        <w:jc w:val="center"/>
        <w:rPr>
          <w:rFonts w:hint="eastAsia" w:ascii="宋体" w:hAnsi="宋体" w:eastAsia="宋体" w:cs="宋体"/>
          <w:b/>
          <w:bCs/>
          <w:sz w:val="32"/>
          <w:szCs w:val="32"/>
        </w:rPr>
      </w:pPr>
    </w:p>
    <w:p w14:paraId="4DC84244">
      <w:pPr>
        <w:spacing w:line="400" w:lineRule="exact"/>
        <w:jc w:val="center"/>
        <w:rPr>
          <w:rFonts w:hint="eastAsia" w:ascii="宋体" w:hAnsi="宋体" w:eastAsia="宋体" w:cs="宋体"/>
          <w:b/>
          <w:bCs/>
          <w:sz w:val="32"/>
          <w:szCs w:val="32"/>
        </w:rPr>
      </w:pPr>
    </w:p>
    <w:p w14:paraId="39C35753">
      <w:pPr>
        <w:spacing w:line="400" w:lineRule="exact"/>
        <w:jc w:val="center"/>
        <w:rPr>
          <w:rFonts w:hint="eastAsia" w:ascii="宋体" w:hAnsi="宋体" w:eastAsia="宋体" w:cs="宋体"/>
          <w:b/>
          <w:bCs/>
          <w:sz w:val="32"/>
          <w:szCs w:val="32"/>
        </w:rPr>
      </w:pPr>
    </w:p>
    <w:p w14:paraId="081D539B">
      <w:pPr>
        <w:spacing w:line="400" w:lineRule="exact"/>
        <w:jc w:val="center"/>
        <w:rPr>
          <w:rFonts w:hint="eastAsia" w:ascii="宋体" w:hAnsi="宋体" w:eastAsia="宋体" w:cs="宋体"/>
          <w:b/>
          <w:bCs/>
          <w:sz w:val="32"/>
          <w:szCs w:val="32"/>
        </w:rPr>
      </w:pPr>
    </w:p>
    <w:p w14:paraId="1FC8D60E">
      <w:pPr>
        <w:spacing w:line="400" w:lineRule="exact"/>
        <w:jc w:val="center"/>
        <w:rPr>
          <w:rFonts w:hint="eastAsia" w:ascii="宋体" w:hAnsi="宋体" w:eastAsia="宋体" w:cs="宋体"/>
          <w:b/>
          <w:bCs/>
          <w:sz w:val="32"/>
          <w:szCs w:val="32"/>
        </w:rPr>
      </w:pPr>
    </w:p>
    <w:p w14:paraId="39ED69C6">
      <w:pPr>
        <w:rPr>
          <w:rFonts w:hint="eastAsia" w:ascii="宋体" w:hAnsi="宋体" w:cs="宋体"/>
          <w:b/>
          <w:bCs/>
          <w:sz w:val="32"/>
          <w:szCs w:val="32"/>
          <w:lang w:val="en-US" w:eastAsia="zh-CN"/>
        </w:rPr>
      </w:pPr>
    </w:p>
    <w:p w14:paraId="4342A18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2"/>
          <w:szCs w:val="32"/>
          <w:lang w:val="en-US" w:eastAsia="zh-CN"/>
        </w:rPr>
      </w:pPr>
      <w:r>
        <w:rPr>
          <w:rFonts w:hint="eastAsia" w:ascii="宋体" w:hAnsi="宋体" w:cs="宋体"/>
          <w:b/>
          <w:bCs/>
          <w:sz w:val="32"/>
          <w:szCs w:val="32"/>
          <w:lang w:val="en-US" w:eastAsia="zh-CN"/>
        </w:rPr>
        <w:t>七</w:t>
      </w:r>
      <w:r>
        <w:rPr>
          <w:rFonts w:hint="eastAsia" w:ascii="宋体" w:hAnsi="宋体" w:eastAsia="宋体" w:cs="宋体"/>
          <w:b/>
          <w:bCs/>
          <w:sz w:val="32"/>
          <w:szCs w:val="32"/>
          <w:lang w:val="en-US" w:eastAsia="zh-CN"/>
        </w:rPr>
        <w:t>、特殊资格要求证明材料</w:t>
      </w:r>
    </w:p>
    <w:p w14:paraId="799F5B3E">
      <w:pPr>
        <w:rPr>
          <w:rFonts w:hint="eastAsia" w:ascii="宋体" w:hAnsi="宋体" w:cs="宋体"/>
          <w:b w:val="0"/>
          <w:bCs w:val="0"/>
          <w:sz w:val="28"/>
          <w:szCs w:val="28"/>
          <w:lang w:val="en-US" w:eastAsia="zh-CN"/>
        </w:rPr>
      </w:pPr>
    </w:p>
    <w:p w14:paraId="0424C7D5">
      <w:pPr>
        <w:rPr>
          <w:rFonts w:hint="eastAsia" w:ascii="宋体" w:hAnsi="宋体" w:cs="宋体"/>
          <w:b w:val="0"/>
          <w:bCs w:val="0"/>
          <w:sz w:val="28"/>
          <w:szCs w:val="28"/>
          <w:lang w:val="en-US" w:eastAsia="zh-CN"/>
        </w:rPr>
      </w:pPr>
    </w:p>
    <w:p w14:paraId="708B1F3F">
      <w:pPr>
        <w:rPr>
          <w:rFonts w:hint="eastAsia" w:ascii="宋体" w:hAnsi="宋体" w:cs="宋体"/>
          <w:b w:val="0"/>
          <w:bCs w:val="0"/>
          <w:sz w:val="28"/>
          <w:szCs w:val="28"/>
          <w:lang w:val="en-US" w:eastAsia="zh-CN"/>
        </w:rPr>
      </w:pPr>
    </w:p>
    <w:p w14:paraId="5575E413">
      <w:pPr>
        <w:rPr>
          <w:rFonts w:hint="default" w:ascii="宋体" w:hAnsi="宋体" w:cs="宋体"/>
          <w:b w:val="0"/>
          <w:bCs w:val="0"/>
          <w:sz w:val="28"/>
          <w:szCs w:val="28"/>
          <w:lang w:val="en-US" w:eastAsia="zh-CN"/>
        </w:rPr>
      </w:pPr>
      <w:r>
        <w:rPr>
          <w:rFonts w:hint="eastAsia" w:ascii="宋体" w:hAnsi="宋体" w:cs="宋体"/>
          <w:b w:val="0"/>
          <w:bCs w:val="0"/>
          <w:sz w:val="28"/>
          <w:szCs w:val="28"/>
          <w:lang w:val="en-US" w:eastAsia="zh-CN"/>
        </w:rPr>
        <w:t>（煤炭生产企业提供采矿许可证和安全生产许可证，煤炭经营企业无需提供。）</w:t>
      </w:r>
    </w:p>
    <w:p w14:paraId="36992D7A">
      <w:pPr>
        <w:ind w:firstLine="1960" w:firstLineChars="700"/>
        <w:rPr>
          <w:rFonts w:hint="eastAsia" w:ascii="宋体" w:hAnsi="宋体" w:cs="宋体"/>
          <w:b w:val="0"/>
          <w:bCs w:val="0"/>
          <w:sz w:val="28"/>
          <w:szCs w:val="28"/>
          <w:lang w:val="en-US" w:eastAsia="zh-CN"/>
        </w:rPr>
      </w:pPr>
    </w:p>
    <w:p w14:paraId="4EE36BAE">
      <w:pPr>
        <w:ind w:firstLine="1960" w:firstLineChars="700"/>
        <w:rPr>
          <w:rFonts w:hint="eastAsia" w:ascii="宋体" w:hAnsi="宋体" w:cs="宋体"/>
          <w:b w:val="0"/>
          <w:bCs w:val="0"/>
          <w:sz w:val="28"/>
          <w:szCs w:val="28"/>
          <w:lang w:val="en-US" w:eastAsia="zh-CN"/>
        </w:rPr>
      </w:pPr>
    </w:p>
    <w:p w14:paraId="7923F032">
      <w:pPr>
        <w:ind w:firstLine="1960" w:firstLineChars="700"/>
        <w:rPr>
          <w:rFonts w:hint="eastAsia" w:ascii="宋体" w:hAnsi="宋体" w:cs="宋体"/>
          <w:b w:val="0"/>
          <w:bCs w:val="0"/>
          <w:sz w:val="28"/>
          <w:szCs w:val="28"/>
          <w:lang w:val="en-US" w:eastAsia="zh-CN"/>
        </w:rPr>
      </w:pPr>
    </w:p>
    <w:p w14:paraId="14E8482A">
      <w:pPr>
        <w:ind w:firstLine="1960" w:firstLineChars="700"/>
        <w:rPr>
          <w:rFonts w:hint="eastAsia" w:ascii="宋体" w:hAnsi="宋体" w:cs="宋体"/>
          <w:b w:val="0"/>
          <w:bCs w:val="0"/>
          <w:sz w:val="28"/>
          <w:szCs w:val="28"/>
          <w:lang w:val="en-US" w:eastAsia="zh-CN"/>
        </w:rPr>
      </w:pPr>
    </w:p>
    <w:p w14:paraId="0E045CAC">
      <w:pPr>
        <w:ind w:firstLine="1960" w:firstLineChars="700"/>
        <w:rPr>
          <w:rFonts w:hint="eastAsia" w:ascii="宋体" w:hAnsi="宋体" w:cs="宋体"/>
          <w:b w:val="0"/>
          <w:bCs w:val="0"/>
          <w:sz w:val="28"/>
          <w:szCs w:val="28"/>
          <w:lang w:val="en-US" w:eastAsia="zh-CN"/>
        </w:rPr>
      </w:pPr>
    </w:p>
    <w:p w14:paraId="0152C70C">
      <w:pPr>
        <w:ind w:firstLine="1960" w:firstLineChars="700"/>
        <w:rPr>
          <w:rFonts w:hint="eastAsia" w:ascii="宋体" w:hAnsi="宋体" w:cs="宋体"/>
          <w:b w:val="0"/>
          <w:bCs w:val="0"/>
          <w:sz w:val="28"/>
          <w:szCs w:val="28"/>
          <w:lang w:val="en-US" w:eastAsia="zh-CN"/>
        </w:rPr>
      </w:pPr>
    </w:p>
    <w:p w14:paraId="5EF3BA2F">
      <w:pPr>
        <w:ind w:firstLine="1960" w:firstLineChars="700"/>
        <w:rPr>
          <w:rFonts w:hint="eastAsia" w:ascii="宋体" w:hAnsi="宋体" w:cs="宋体"/>
          <w:b w:val="0"/>
          <w:bCs w:val="0"/>
          <w:sz w:val="28"/>
          <w:szCs w:val="28"/>
          <w:lang w:val="en-US" w:eastAsia="zh-CN"/>
        </w:rPr>
      </w:pPr>
    </w:p>
    <w:p w14:paraId="42EAA674">
      <w:pPr>
        <w:ind w:firstLine="1960" w:firstLineChars="700"/>
        <w:rPr>
          <w:rFonts w:hint="eastAsia" w:ascii="宋体" w:hAnsi="宋体" w:cs="宋体"/>
          <w:b w:val="0"/>
          <w:bCs w:val="0"/>
          <w:sz w:val="28"/>
          <w:szCs w:val="28"/>
          <w:lang w:val="en-US" w:eastAsia="zh-CN"/>
        </w:rPr>
      </w:pPr>
    </w:p>
    <w:p w14:paraId="2457B369">
      <w:pPr>
        <w:ind w:firstLine="1960" w:firstLineChars="700"/>
        <w:rPr>
          <w:rFonts w:hint="eastAsia" w:ascii="宋体" w:hAnsi="宋体" w:cs="宋体"/>
          <w:b w:val="0"/>
          <w:bCs w:val="0"/>
          <w:sz w:val="28"/>
          <w:szCs w:val="28"/>
          <w:lang w:val="en-US" w:eastAsia="zh-CN"/>
        </w:rPr>
      </w:pPr>
    </w:p>
    <w:p w14:paraId="04B77472">
      <w:pPr>
        <w:ind w:firstLine="1960" w:firstLineChars="700"/>
        <w:rPr>
          <w:rFonts w:hint="eastAsia" w:ascii="宋体" w:hAnsi="宋体" w:cs="宋体"/>
          <w:b w:val="0"/>
          <w:bCs w:val="0"/>
          <w:sz w:val="28"/>
          <w:szCs w:val="28"/>
          <w:lang w:val="en-US" w:eastAsia="zh-CN"/>
        </w:rPr>
      </w:pPr>
    </w:p>
    <w:p w14:paraId="2FE0823E">
      <w:pPr>
        <w:ind w:firstLine="1960" w:firstLineChars="700"/>
        <w:rPr>
          <w:rFonts w:hint="eastAsia" w:ascii="宋体" w:hAnsi="宋体" w:cs="宋体"/>
          <w:b w:val="0"/>
          <w:bCs w:val="0"/>
          <w:sz w:val="28"/>
          <w:szCs w:val="28"/>
          <w:lang w:val="en-US" w:eastAsia="zh-CN"/>
        </w:rPr>
      </w:pPr>
    </w:p>
    <w:p w14:paraId="6D487B72">
      <w:pPr>
        <w:ind w:firstLine="1960" w:firstLineChars="700"/>
        <w:rPr>
          <w:rFonts w:hint="eastAsia" w:ascii="宋体" w:hAnsi="宋体" w:cs="宋体"/>
          <w:b w:val="0"/>
          <w:bCs w:val="0"/>
          <w:sz w:val="28"/>
          <w:szCs w:val="28"/>
          <w:lang w:val="en-US" w:eastAsia="zh-CN"/>
        </w:rPr>
      </w:pPr>
    </w:p>
    <w:p w14:paraId="0E6E755B">
      <w:pPr>
        <w:ind w:firstLine="1960" w:firstLineChars="700"/>
        <w:rPr>
          <w:rFonts w:hint="eastAsia" w:ascii="宋体" w:hAnsi="宋体" w:cs="宋体"/>
          <w:b w:val="0"/>
          <w:bCs w:val="0"/>
          <w:sz w:val="28"/>
          <w:szCs w:val="28"/>
          <w:lang w:val="en-US" w:eastAsia="zh-CN"/>
        </w:rPr>
      </w:pPr>
    </w:p>
    <w:p w14:paraId="77A1A8B1">
      <w:pPr>
        <w:ind w:firstLine="1960" w:firstLineChars="700"/>
        <w:rPr>
          <w:rFonts w:hint="eastAsia" w:ascii="宋体" w:hAnsi="宋体" w:cs="宋体"/>
          <w:b w:val="0"/>
          <w:bCs w:val="0"/>
          <w:sz w:val="28"/>
          <w:szCs w:val="28"/>
          <w:lang w:val="en-US" w:eastAsia="zh-CN"/>
        </w:rPr>
      </w:pPr>
    </w:p>
    <w:p w14:paraId="65E39933">
      <w:pPr>
        <w:ind w:firstLine="1960" w:firstLineChars="700"/>
        <w:rPr>
          <w:rFonts w:hint="eastAsia" w:ascii="宋体" w:hAnsi="宋体" w:cs="宋体"/>
          <w:b w:val="0"/>
          <w:bCs w:val="0"/>
          <w:sz w:val="28"/>
          <w:szCs w:val="28"/>
          <w:lang w:val="en-US" w:eastAsia="zh-CN"/>
        </w:rPr>
      </w:pPr>
    </w:p>
    <w:p w14:paraId="692CF1EB">
      <w:pPr>
        <w:ind w:firstLine="1960" w:firstLineChars="700"/>
        <w:rPr>
          <w:rFonts w:hint="eastAsia" w:ascii="宋体" w:hAnsi="宋体" w:cs="宋体"/>
          <w:b w:val="0"/>
          <w:bCs w:val="0"/>
          <w:sz w:val="28"/>
          <w:szCs w:val="28"/>
          <w:lang w:val="en-US" w:eastAsia="zh-CN"/>
        </w:rPr>
      </w:pPr>
    </w:p>
    <w:p w14:paraId="50F24F1D">
      <w:pPr>
        <w:ind w:firstLine="1960" w:firstLineChars="700"/>
        <w:rPr>
          <w:rFonts w:hint="eastAsia" w:ascii="宋体" w:hAnsi="宋体" w:cs="宋体"/>
          <w:b w:val="0"/>
          <w:bCs w:val="0"/>
          <w:sz w:val="28"/>
          <w:szCs w:val="28"/>
          <w:lang w:val="en-US" w:eastAsia="zh-CN"/>
        </w:rPr>
      </w:pPr>
    </w:p>
    <w:p w14:paraId="2B079CC6">
      <w:pPr>
        <w:ind w:firstLine="1960" w:firstLineChars="700"/>
        <w:rPr>
          <w:rFonts w:hint="eastAsia" w:ascii="宋体" w:hAnsi="宋体" w:cs="宋体"/>
          <w:b w:val="0"/>
          <w:bCs w:val="0"/>
          <w:sz w:val="28"/>
          <w:szCs w:val="28"/>
          <w:lang w:val="en-US" w:eastAsia="zh-CN"/>
        </w:rPr>
      </w:pPr>
    </w:p>
    <w:p w14:paraId="39746007">
      <w:pPr>
        <w:ind w:firstLine="1960" w:firstLineChars="700"/>
        <w:rPr>
          <w:rFonts w:hint="eastAsia" w:ascii="宋体" w:hAnsi="宋体" w:cs="宋体"/>
          <w:b w:val="0"/>
          <w:bCs w:val="0"/>
          <w:sz w:val="28"/>
          <w:szCs w:val="28"/>
          <w:lang w:val="en-US" w:eastAsia="zh-CN"/>
        </w:rPr>
      </w:pPr>
    </w:p>
    <w:p w14:paraId="724F419E">
      <w:pPr>
        <w:ind w:firstLine="1960" w:firstLineChars="700"/>
        <w:rPr>
          <w:rFonts w:hint="eastAsia" w:ascii="宋体" w:hAnsi="宋体" w:cs="宋体"/>
          <w:b w:val="0"/>
          <w:bCs w:val="0"/>
          <w:sz w:val="28"/>
          <w:szCs w:val="28"/>
          <w:lang w:val="en-US" w:eastAsia="zh-CN"/>
        </w:rPr>
      </w:pPr>
    </w:p>
    <w:p w14:paraId="74437212">
      <w:pPr>
        <w:ind w:firstLine="1960" w:firstLineChars="700"/>
        <w:rPr>
          <w:rFonts w:hint="eastAsia" w:ascii="宋体" w:hAnsi="宋体" w:cs="宋体"/>
          <w:b w:val="0"/>
          <w:bCs w:val="0"/>
          <w:sz w:val="28"/>
          <w:szCs w:val="28"/>
          <w:lang w:val="en-US" w:eastAsia="zh-CN"/>
        </w:rPr>
      </w:pPr>
    </w:p>
    <w:p w14:paraId="5338035A">
      <w:pPr>
        <w:ind w:firstLine="1960" w:firstLineChars="700"/>
        <w:rPr>
          <w:rFonts w:hint="eastAsia" w:ascii="宋体" w:hAnsi="宋体" w:cs="宋体"/>
          <w:b w:val="0"/>
          <w:bCs w:val="0"/>
          <w:sz w:val="28"/>
          <w:szCs w:val="28"/>
          <w:lang w:val="en-US" w:eastAsia="zh-CN"/>
        </w:rPr>
      </w:pPr>
    </w:p>
    <w:p w14:paraId="2F30B997">
      <w:pPr>
        <w:ind w:firstLine="1960" w:firstLineChars="700"/>
        <w:rPr>
          <w:rFonts w:hint="eastAsia" w:ascii="宋体" w:hAnsi="宋体" w:cs="宋体"/>
          <w:b w:val="0"/>
          <w:bCs w:val="0"/>
          <w:sz w:val="28"/>
          <w:szCs w:val="28"/>
          <w:lang w:val="en-US" w:eastAsia="zh-CN"/>
        </w:rPr>
      </w:pPr>
    </w:p>
    <w:p w14:paraId="1076B53F">
      <w:pPr>
        <w:ind w:firstLine="1960" w:firstLineChars="700"/>
        <w:rPr>
          <w:rFonts w:hint="eastAsia" w:ascii="宋体" w:hAnsi="宋体" w:cs="宋体"/>
          <w:b w:val="0"/>
          <w:bCs w:val="0"/>
          <w:sz w:val="28"/>
          <w:szCs w:val="28"/>
          <w:lang w:val="en-US" w:eastAsia="zh-CN"/>
        </w:rPr>
      </w:pPr>
    </w:p>
    <w:p w14:paraId="30C2B05A">
      <w:pPr>
        <w:ind w:firstLine="1960" w:firstLineChars="700"/>
        <w:rPr>
          <w:rFonts w:hint="eastAsia" w:ascii="宋体" w:hAnsi="宋体" w:cs="宋体"/>
          <w:b w:val="0"/>
          <w:bCs w:val="0"/>
          <w:sz w:val="28"/>
          <w:szCs w:val="28"/>
          <w:lang w:val="en-US" w:eastAsia="zh-CN"/>
        </w:rPr>
      </w:pPr>
    </w:p>
    <w:p w14:paraId="33EDEC64">
      <w:pPr>
        <w:ind w:firstLine="1960" w:firstLineChars="700"/>
        <w:rPr>
          <w:rFonts w:hint="eastAsia" w:ascii="宋体" w:hAnsi="宋体" w:cs="宋体"/>
          <w:b w:val="0"/>
          <w:bCs w:val="0"/>
          <w:sz w:val="28"/>
          <w:szCs w:val="28"/>
          <w:lang w:val="en-US" w:eastAsia="zh-CN"/>
        </w:rPr>
      </w:pPr>
    </w:p>
    <w:p w14:paraId="57CE5F03">
      <w:pPr>
        <w:ind w:firstLine="1960" w:firstLineChars="700"/>
        <w:rPr>
          <w:rFonts w:hint="eastAsia" w:ascii="宋体" w:hAnsi="宋体" w:cs="宋体"/>
          <w:b w:val="0"/>
          <w:bCs w:val="0"/>
          <w:sz w:val="28"/>
          <w:szCs w:val="28"/>
          <w:lang w:val="en-US" w:eastAsia="zh-CN"/>
        </w:rPr>
      </w:pPr>
    </w:p>
    <w:p w14:paraId="4F32163C">
      <w:pPr>
        <w:ind w:firstLine="1960" w:firstLineChars="700"/>
        <w:rPr>
          <w:rFonts w:hint="eastAsia" w:ascii="宋体" w:hAnsi="宋体" w:cs="宋体"/>
          <w:b w:val="0"/>
          <w:bCs w:val="0"/>
          <w:sz w:val="28"/>
          <w:szCs w:val="28"/>
          <w:lang w:val="en-US" w:eastAsia="zh-CN"/>
        </w:rPr>
      </w:pPr>
    </w:p>
    <w:p w14:paraId="0BDA6DF2">
      <w:pPr>
        <w:ind w:firstLine="1960" w:firstLineChars="700"/>
        <w:rPr>
          <w:rFonts w:hint="eastAsia" w:ascii="宋体" w:hAnsi="宋体" w:cs="宋体"/>
          <w:b w:val="0"/>
          <w:bCs w:val="0"/>
          <w:sz w:val="28"/>
          <w:szCs w:val="28"/>
          <w:lang w:val="en-US" w:eastAsia="zh-CN"/>
        </w:rPr>
      </w:pPr>
    </w:p>
    <w:p w14:paraId="76D85409">
      <w:pPr>
        <w:ind w:firstLine="1960" w:firstLineChars="700"/>
        <w:rPr>
          <w:rFonts w:hint="eastAsia" w:ascii="宋体" w:hAnsi="宋体" w:cs="宋体"/>
          <w:b w:val="0"/>
          <w:bCs w:val="0"/>
          <w:sz w:val="28"/>
          <w:szCs w:val="28"/>
          <w:lang w:val="en-US" w:eastAsia="zh-CN"/>
        </w:rPr>
      </w:pPr>
    </w:p>
    <w:p w14:paraId="2F8CD39A">
      <w:pPr>
        <w:ind w:firstLine="1960" w:firstLineChars="700"/>
        <w:rPr>
          <w:rFonts w:hint="eastAsia" w:ascii="宋体" w:hAnsi="宋体" w:cs="宋体"/>
          <w:b w:val="0"/>
          <w:bCs w:val="0"/>
          <w:sz w:val="28"/>
          <w:szCs w:val="28"/>
          <w:lang w:val="en-US" w:eastAsia="zh-CN"/>
        </w:rPr>
      </w:pPr>
    </w:p>
    <w:p w14:paraId="063C28A4">
      <w:pPr>
        <w:ind w:firstLine="1960" w:firstLineChars="700"/>
        <w:rPr>
          <w:rFonts w:hint="eastAsia" w:ascii="宋体" w:hAnsi="宋体" w:cs="宋体"/>
          <w:b w:val="0"/>
          <w:bCs w:val="0"/>
          <w:sz w:val="28"/>
          <w:szCs w:val="28"/>
          <w:lang w:val="en-US" w:eastAsia="zh-CN"/>
        </w:rPr>
      </w:pPr>
    </w:p>
    <w:p w14:paraId="4783764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val="0"/>
          <w:bCs w:val="0"/>
          <w:sz w:val="28"/>
          <w:szCs w:val="28"/>
          <w:lang w:val="en-US" w:eastAsia="zh-CN"/>
        </w:rPr>
      </w:pPr>
      <w:r>
        <w:rPr>
          <w:rFonts w:hint="eastAsia" w:ascii="宋体" w:hAnsi="宋体" w:eastAsia="宋体" w:cs="宋体"/>
          <w:b/>
          <w:bCs/>
          <w:sz w:val="32"/>
          <w:szCs w:val="32"/>
          <w:lang w:val="en-US" w:eastAsia="zh-CN"/>
        </w:rPr>
        <w:t>八、增值税一般纳税人资格登记表</w:t>
      </w:r>
      <w:r>
        <w:rPr>
          <w:rFonts w:hint="eastAsia" w:ascii="宋体" w:hAnsi="宋体" w:cs="宋体"/>
          <w:b w:val="0"/>
          <w:bCs w:val="0"/>
          <w:sz w:val="28"/>
          <w:szCs w:val="28"/>
          <w:lang w:val="en-US" w:eastAsia="zh-CN"/>
        </w:rPr>
        <w:br w:type="page"/>
      </w:r>
    </w:p>
    <w:p w14:paraId="6F875B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hint="eastAsia" w:ascii="宋体" w:hAnsi="宋体" w:eastAsia="宋体" w:cs="宋体"/>
          <w:b/>
          <w:bCs/>
          <w:sz w:val="32"/>
          <w:szCs w:val="32"/>
        </w:rPr>
      </w:pPr>
      <w:r>
        <w:rPr>
          <w:rFonts w:hint="eastAsia" w:ascii="宋体" w:hAnsi="宋体" w:cs="宋体"/>
          <w:b/>
          <w:bCs/>
          <w:sz w:val="32"/>
          <w:szCs w:val="32"/>
          <w:lang w:val="en-US" w:eastAsia="zh-CN"/>
        </w:rPr>
        <w:t>九</w:t>
      </w:r>
      <w:r>
        <w:rPr>
          <w:rFonts w:hint="eastAsia" w:ascii="宋体" w:hAnsi="宋体" w:eastAsia="宋体" w:cs="宋体"/>
          <w:b/>
          <w:bCs/>
          <w:sz w:val="32"/>
          <w:szCs w:val="32"/>
        </w:rPr>
        <w:t>、</w:t>
      </w:r>
      <w:r>
        <w:rPr>
          <w:rFonts w:hint="eastAsia" w:ascii="宋体" w:hAnsi="宋体" w:eastAsia="宋体" w:cs="宋体"/>
          <w:b/>
          <w:bCs/>
          <w:sz w:val="32"/>
          <w:szCs w:val="32"/>
          <w:lang w:eastAsia="zh-CN"/>
        </w:rPr>
        <w:t>技术要求偏离表</w:t>
      </w:r>
    </w:p>
    <w:p w14:paraId="4B6D6374">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sz w:val="24"/>
          <w:lang w:val="en-US" w:eastAsia="zh-CN"/>
        </w:rPr>
      </w:pPr>
      <w:r>
        <w:rPr>
          <w:rFonts w:hint="eastAsia" w:ascii="宋体" w:hAnsi="宋体" w:eastAsia="宋体" w:cs="宋体"/>
          <w:sz w:val="24"/>
        </w:rPr>
        <w:t>项目名称：</w:t>
      </w:r>
      <w:r>
        <w:rPr>
          <w:rFonts w:hint="eastAsia" w:ascii="宋体" w:hAnsi="宋体" w:cs="宋体"/>
          <w:sz w:val="24"/>
          <w:lang w:val="en-US" w:eastAsia="zh-CN"/>
        </w:rPr>
        <w:t>贵州钟山野马寨热电有限责任公司2025年第十九批次燃煤采购项目</w:t>
      </w:r>
    </w:p>
    <w:p w14:paraId="2012B73F">
      <w:pPr>
        <w:spacing w:line="360" w:lineRule="auto"/>
        <w:rPr>
          <w:rFonts w:hint="default" w:ascii="宋体" w:hAnsi="宋体" w:cs="宋体"/>
          <w:sz w:val="24"/>
          <w:lang w:val="en-US" w:eastAsia="zh-CN"/>
        </w:rPr>
      </w:pPr>
      <w:r>
        <w:rPr>
          <w:rFonts w:hint="eastAsia" w:ascii="宋体" w:hAnsi="宋体" w:eastAsia="宋体" w:cs="宋体"/>
          <w:sz w:val="24"/>
        </w:rPr>
        <w:t>项目编号：</w:t>
      </w:r>
      <w:r>
        <w:rPr>
          <w:rFonts w:hint="eastAsia" w:ascii="宋体" w:hAnsi="宋体" w:cs="宋体"/>
          <w:sz w:val="24"/>
          <w:lang w:val="en-US" w:eastAsia="zh-CN"/>
        </w:rPr>
        <w:t>ZSRD2025000119</w:t>
      </w:r>
    </w:p>
    <w:p w14:paraId="1A7680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rPr>
          <w:rFonts w:hint="eastAsia" w:ascii="宋体" w:hAnsi="宋体" w:eastAsia="宋体" w:cs="宋体"/>
          <w:sz w:val="24"/>
          <w:lang w:val="en-GB"/>
        </w:rPr>
      </w:pPr>
    </w:p>
    <w:tbl>
      <w:tblPr>
        <w:tblStyle w:val="35"/>
        <w:tblW w:w="9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2948"/>
        <w:gridCol w:w="2852"/>
        <w:gridCol w:w="1324"/>
        <w:gridCol w:w="1165"/>
      </w:tblGrid>
      <w:tr w14:paraId="4B1E6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5" w:type="dxa"/>
            <w:tcBorders>
              <w:top w:val="single" w:color="auto" w:sz="4" w:space="0"/>
              <w:left w:val="single" w:color="auto" w:sz="4" w:space="0"/>
              <w:right w:val="single" w:color="auto" w:sz="4" w:space="0"/>
            </w:tcBorders>
            <w:noWrap/>
            <w:vAlign w:val="center"/>
          </w:tcPr>
          <w:p w14:paraId="75746C3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r>
              <w:rPr>
                <w:rFonts w:hint="eastAsia" w:ascii="宋体" w:hAnsi="宋体" w:eastAsia="宋体" w:cs="宋体"/>
                <w:b/>
                <w:szCs w:val="21"/>
                <w:lang w:val="en-GB"/>
              </w:rPr>
              <w:t>序号</w:t>
            </w:r>
          </w:p>
        </w:tc>
        <w:tc>
          <w:tcPr>
            <w:tcW w:w="2948" w:type="dxa"/>
            <w:tcBorders>
              <w:top w:val="single" w:color="auto" w:sz="4" w:space="0"/>
              <w:left w:val="single" w:color="auto" w:sz="4" w:space="0"/>
              <w:right w:val="single" w:color="auto" w:sz="4" w:space="0"/>
            </w:tcBorders>
            <w:noWrap/>
            <w:vAlign w:val="center"/>
          </w:tcPr>
          <w:p w14:paraId="45BD32E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r>
              <w:rPr>
                <w:rFonts w:hint="eastAsia" w:ascii="宋体" w:hAnsi="宋体" w:cs="宋体"/>
                <w:b/>
                <w:szCs w:val="21"/>
                <w:lang w:eastAsia="zh-CN"/>
              </w:rPr>
              <w:t>竞争性谈判</w:t>
            </w:r>
            <w:r>
              <w:rPr>
                <w:rFonts w:hint="eastAsia" w:ascii="宋体" w:hAnsi="宋体" w:eastAsia="宋体" w:cs="宋体"/>
                <w:b/>
                <w:szCs w:val="21"/>
              </w:rPr>
              <w:t>文件</w:t>
            </w:r>
            <w:r>
              <w:rPr>
                <w:rFonts w:hint="eastAsia" w:ascii="宋体" w:hAnsi="宋体" w:eastAsia="宋体" w:cs="宋体"/>
                <w:b/>
                <w:szCs w:val="21"/>
                <w:lang w:val="en-GB"/>
              </w:rPr>
              <w:t>中要求</w:t>
            </w:r>
          </w:p>
        </w:tc>
        <w:tc>
          <w:tcPr>
            <w:tcW w:w="2852" w:type="dxa"/>
            <w:tcBorders>
              <w:top w:val="single" w:color="auto" w:sz="4" w:space="0"/>
              <w:left w:val="single" w:color="auto" w:sz="4" w:space="0"/>
              <w:right w:val="single" w:color="auto" w:sz="4" w:space="0"/>
            </w:tcBorders>
            <w:noWrap/>
            <w:vAlign w:val="center"/>
          </w:tcPr>
          <w:p w14:paraId="5FEEC61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rPr>
            </w:pPr>
            <w:r>
              <w:rPr>
                <w:rFonts w:hint="eastAsia" w:ascii="宋体" w:hAnsi="宋体" w:eastAsia="宋体" w:cs="宋体"/>
                <w:b/>
                <w:szCs w:val="21"/>
                <w:lang w:val="en-GB"/>
              </w:rPr>
              <w:t>响应文件中的标准</w:t>
            </w:r>
          </w:p>
        </w:tc>
        <w:tc>
          <w:tcPr>
            <w:tcW w:w="1324" w:type="dxa"/>
            <w:tcBorders>
              <w:top w:val="single" w:color="auto" w:sz="4" w:space="0"/>
              <w:left w:val="single" w:color="auto" w:sz="4" w:space="0"/>
              <w:right w:val="single" w:color="auto" w:sz="4" w:space="0"/>
            </w:tcBorders>
            <w:noWrap/>
            <w:vAlign w:val="center"/>
          </w:tcPr>
          <w:p w14:paraId="095D208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r>
              <w:rPr>
                <w:rFonts w:hint="eastAsia" w:ascii="宋体" w:hAnsi="宋体" w:eastAsia="宋体" w:cs="宋体"/>
                <w:b/>
                <w:szCs w:val="21"/>
                <w:lang w:val="en-GB"/>
              </w:rPr>
              <w:t>偏离</w:t>
            </w:r>
          </w:p>
        </w:tc>
        <w:tc>
          <w:tcPr>
            <w:tcW w:w="1165" w:type="dxa"/>
            <w:tcBorders>
              <w:top w:val="single" w:color="auto" w:sz="4" w:space="0"/>
              <w:left w:val="single" w:color="auto" w:sz="4" w:space="0"/>
              <w:right w:val="single" w:color="auto" w:sz="4" w:space="0"/>
            </w:tcBorders>
            <w:noWrap/>
            <w:vAlign w:val="center"/>
          </w:tcPr>
          <w:p w14:paraId="0B1BBE3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US" w:eastAsia="zh-CN"/>
              </w:rPr>
            </w:pPr>
            <w:r>
              <w:rPr>
                <w:rFonts w:hint="eastAsia" w:ascii="宋体" w:hAnsi="宋体" w:eastAsia="宋体" w:cs="宋体"/>
                <w:b/>
                <w:szCs w:val="21"/>
                <w:lang w:val="en-US" w:eastAsia="zh-CN"/>
              </w:rPr>
              <w:t>备注</w:t>
            </w:r>
          </w:p>
        </w:tc>
      </w:tr>
      <w:tr w14:paraId="36EA8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5" w:type="dxa"/>
            <w:tcBorders>
              <w:top w:val="single" w:color="auto" w:sz="4" w:space="0"/>
              <w:left w:val="single" w:color="auto" w:sz="4" w:space="0"/>
              <w:right w:val="single" w:color="auto" w:sz="4" w:space="0"/>
            </w:tcBorders>
            <w:noWrap/>
            <w:vAlign w:val="center"/>
          </w:tcPr>
          <w:p w14:paraId="1765D89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US" w:eastAsia="zh-CN"/>
              </w:rPr>
            </w:pPr>
            <w:r>
              <w:rPr>
                <w:rFonts w:hint="eastAsia" w:ascii="宋体" w:hAnsi="宋体" w:cs="宋体"/>
                <w:b/>
                <w:szCs w:val="21"/>
                <w:lang w:val="en-US" w:eastAsia="zh-CN"/>
              </w:rPr>
              <w:t>1</w:t>
            </w:r>
          </w:p>
        </w:tc>
        <w:tc>
          <w:tcPr>
            <w:tcW w:w="2948" w:type="dxa"/>
            <w:tcBorders>
              <w:top w:val="single" w:color="auto" w:sz="4" w:space="0"/>
              <w:left w:val="single" w:color="auto" w:sz="4" w:space="0"/>
              <w:right w:val="single" w:color="auto" w:sz="4" w:space="0"/>
            </w:tcBorders>
            <w:noWrap/>
            <w:vAlign w:val="center"/>
          </w:tcPr>
          <w:p w14:paraId="17861D0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b/>
                <w:szCs w:val="21"/>
                <w:lang w:val="en-US" w:eastAsia="zh-CN"/>
              </w:rPr>
            </w:pPr>
            <w:r>
              <w:rPr>
                <w:rFonts w:hint="eastAsia" w:ascii="宋体" w:hAnsi="宋体" w:cs="宋体"/>
                <w:b/>
                <w:szCs w:val="21"/>
                <w:lang w:val="en-US" w:eastAsia="zh-CN"/>
              </w:rPr>
              <w:t>煤种：烟煤</w:t>
            </w:r>
          </w:p>
        </w:tc>
        <w:tc>
          <w:tcPr>
            <w:tcW w:w="2852" w:type="dxa"/>
            <w:tcBorders>
              <w:top w:val="single" w:color="auto" w:sz="4" w:space="0"/>
              <w:left w:val="single" w:color="auto" w:sz="4" w:space="0"/>
              <w:right w:val="single" w:color="auto" w:sz="4" w:space="0"/>
            </w:tcBorders>
            <w:noWrap/>
            <w:vAlign w:val="center"/>
          </w:tcPr>
          <w:p w14:paraId="41BF23B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szCs w:val="21"/>
                <w:lang w:val="en-US" w:eastAsia="zh-CN"/>
              </w:rPr>
            </w:pPr>
          </w:p>
        </w:tc>
        <w:tc>
          <w:tcPr>
            <w:tcW w:w="1324" w:type="dxa"/>
            <w:tcBorders>
              <w:top w:val="single" w:color="auto" w:sz="4" w:space="0"/>
              <w:left w:val="single" w:color="auto" w:sz="4" w:space="0"/>
              <w:right w:val="single" w:color="auto" w:sz="4" w:space="0"/>
            </w:tcBorders>
            <w:noWrap/>
            <w:vAlign w:val="center"/>
          </w:tcPr>
          <w:p w14:paraId="432C261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c>
          <w:tcPr>
            <w:tcW w:w="1165" w:type="dxa"/>
            <w:tcBorders>
              <w:top w:val="single" w:color="auto" w:sz="4" w:space="0"/>
              <w:left w:val="single" w:color="auto" w:sz="4" w:space="0"/>
              <w:right w:val="single" w:color="auto" w:sz="4" w:space="0"/>
            </w:tcBorders>
            <w:noWrap/>
            <w:vAlign w:val="center"/>
          </w:tcPr>
          <w:p w14:paraId="562FADB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u w:val="single"/>
                <w:lang w:val="en-US" w:eastAsia="zh-CN"/>
              </w:rPr>
            </w:pPr>
          </w:p>
        </w:tc>
      </w:tr>
      <w:tr w14:paraId="71195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5" w:type="dxa"/>
            <w:tcBorders>
              <w:top w:val="single" w:color="auto" w:sz="4" w:space="0"/>
              <w:left w:val="single" w:color="auto" w:sz="4" w:space="0"/>
              <w:bottom w:val="single" w:color="auto" w:sz="4" w:space="0"/>
              <w:right w:val="single" w:color="auto" w:sz="4" w:space="0"/>
            </w:tcBorders>
            <w:noWrap/>
            <w:vAlign w:val="center"/>
          </w:tcPr>
          <w:p w14:paraId="72A0060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US" w:eastAsia="zh-CN"/>
              </w:rPr>
            </w:pPr>
            <w:r>
              <w:rPr>
                <w:rFonts w:hint="eastAsia" w:ascii="宋体" w:hAnsi="宋体" w:cs="宋体"/>
                <w:b/>
                <w:szCs w:val="21"/>
                <w:lang w:val="en-US" w:eastAsia="zh-CN"/>
              </w:rPr>
              <w:t>2</w:t>
            </w:r>
          </w:p>
        </w:tc>
        <w:tc>
          <w:tcPr>
            <w:tcW w:w="2948" w:type="dxa"/>
            <w:tcBorders>
              <w:top w:val="single" w:color="auto" w:sz="4" w:space="0"/>
              <w:left w:val="single" w:color="auto" w:sz="4" w:space="0"/>
              <w:bottom w:val="single" w:color="auto" w:sz="4" w:space="0"/>
              <w:right w:val="single" w:color="auto" w:sz="4" w:space="0"/>
            </w:tcBorders>
            <w:noWrap/>
            <w:vAlign w:val="center"/>
          </w:tcPr>
          <w:p w14:paraId="7C6F6A8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b/>
                <w:szCs w:val="21"/>
                <w:lang w:val="en-US" w:eastAsia="zh-CN"/>
              </w:rPr>
            </w:pPr>
            <w:r>
              <w:rPr>
                <w:rFonts w:hint="eastAsia" w:ascii="宋体" w:hAnsi="宋体" w:cs="宋体"/>
                <w:b/>
                <w:szCs w:val="21"/>
                <w:lang w:val="en-GB" w:eastAsia="zh-CN"/>
              </w:rPr>
              <w:t>Qnet,ar(kcal/kg)≥</w:t>
            </w:r>
            <w:r>
              <w:rPr>
                <w:rFonts w:hint="eastAsia" w:ascii="宋体" w:hAnsi="宋体" w:cs="宋体"/>
                <w:b/>
                <w:szCs w:val="21"/>
                <w:lang w:val="en-US" w:eastAsia="zh-CN"/>
              </w:rPr>
              <w:t>3000</w:t>
            </w:r>
          </w:p>
        </w:tc>
        <w:tc>
          <w:tcPr>
            <w:tcW w:w="2852" w:type="dxa"/>
            <w:tcBorders>
              <w:top w:val="single" w:color="auto" w:sz="4" w:space="0"/>
              <w:left w:val="single" w:color="auto" w:sz="4" w:space="0"/>
              <w:bottom w:val="single" w:color="auto" w:sz="4" w:space="0"/>
              <w:right w:val="single" w:color="auto" w:sz="4" w:space="0"/>
            </w:tcBorders>
            <w:noWrap/>
            <w:vAlign w:val="center"/>
          </w:tcPr>
          <w:p w14:paraId="76CEBFA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c>
          <w:tcPr>
            <w:tcW w:w="1324" w:type="dxa"/>
            <w:tcBorders>
              <w:top w:val="single" w:color="auto" w:sz="4" w:space="0"/>
              <w:left w:val="single" w:color="auto" w:sz="4" w:space="0"/>
              <w:bottom w:val="single" w:color="auto" w:sz="4" w:space="0"/>
              <w:right w:val="single" w:color="auto" w:sz="4" w:space="0"/>
            </w:tcBorders>
            <w:noWrap/>
            <w:vAlign w:val="center"/>
          </w:tcPr>
          <w:p w14:paraId="5E2FD70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c>
          <w:tcPr>
            <w:tcW w:w="1165" w:type="dxa"/>
            <w:tcBorders>
              <w:top w:val="single" w:color="auto" w:sz="4" w:space="0"/>
              <w:left w:val="single" w:color="auto" w:sz="4" w:space="0"/>
              <w:bottom w:val="single" w:color="auto" w:sz="4" w:space="0"/>
              <w:right w:val="single" w:color="auto" w:sz="4" w:space="0"/>
            </w:tcBorders>
            <w:noWrap/>
            <w:vAlign w:val="center"/>
          </w:tcPr>
          <w:p w14:paraId="2B558DC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r>
      <w:tr w14:paraId="776BE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05" w:type="dxa"/>
            <w:tcBorders>
              <w:top w:val="single" w:color="auto" w:sz="4" w:space="0"/>
              <w:left w:val="single" w:color="auto" w:sz="4" w:space="0"/>
              <w:bottom w:val="single" w:color="auto" w:sz="4" w:space="0"/>
              <w:right w:val="single" w:color="auto" w:sz="4" w:space="0"/>
            </w:tcBorders>
            <w:noWrap/>
            <w:vAlign w:val="center"/>
          </w:tcPr>
          <w:p w14:paraId="110AA12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US" w:eastAsia="zh-CN"/>
              </w:rPr>
            </w:pPr>
            <w:r>
              <w:rPr>
                <w:rFonts w:hint="eastAsia" w:ascii="宋体" w:hAnsi="宋体" w:cs="宋体"/>
                <w:b/>
                <w:szCs w:val="21"/>
                <w:lang w:val="en-US" w:eastAsia="zh-CN"/>
              </w:rPr>
              <w:t>3</w:t>
            </w:r>
          </w:p>
        </w:tc>
        <w:tc>
          <w:tcPr>
            <w:tcW w:w="2948" w:type="dxa"/>
            <w:tcBorders>
              <w:top w:val="single" w:color="auto" w:sz="4" w:space="0"/>
              <w:left w:val="single" w:color="auto" w:sz="4" w:space="0"/>
              <w:bottom w:val="single" w:color="auto" w:sz="4" w:space="0"/>
              <w:right w:val="single" w:color="auto" w:sz="4" w:space="0"/>
            </w:tcBorders>
            <w:noWrap/>
            <w:vAlign w:val="center"/>
          </w:tcPr>
          <w:p w14:paraId="1D70FFD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szCs w:val="21"/>
                <w:lang w:val="en-GB" w:eastAsia="zh-CN"/>
              </w:rPr>
            </w:pPr>
            <w:r>
              <w:rPr>
                <w:rFonts w:hint="eastAsia" w:ascii="宋体" w:hAnsi="宋体" w:cs="宋体"/>
                <w:b/>
                <w:szCs w:val="21"/>
                <w:lang w:val="en-GB" w:eastAsia="zh-CN"/>
              </w:rPr>
              <w:t>Mt(%)≤1</w:t>
            </w:r>
            <w:r>
              <w:rPr>
                <w:rFonts w:hint="eastAsia" w:ascii="宋体" w:hAnsi="宋体" w:cs="宋体"/>
                <w:b/>
                <w:szCs w:val="21"/>
                <w:lang w:val="en-US" w:eastAsia="zh-CN"/>
              </w:rPr>
              <w:t>5</w:t>
            </w:r>
            <w:r>
              <w:rPr>
                <w:rFonts w:hint="eastAsia" w:ascii="宋体" w:hAnsi="宋体" w:cs="宋体"/>
                <w:b/>
                <w:szCs w:val="21"/>
                <w:lang w:val="en-GB" w:eastAsia="zh-CN"/>
              </w:rPr>
              <w:t>.0</w:t>
            </w:r>
          </w:p>
        </w:tc>
        <w:tc>
          <w:tcPr>
            <w:tcW w:w="2852" w:type="dxa"/>
            <w:tcBorders>
              <w:top w:val="single" w:color="auto" w:sz="4" w:space="0"/>
              <w:left w:val="single" w:color="auto" w:sz="4" w:space="0"/>
              <w:bottom w:val="single" w:color="auto" w:sz="4" w:space="0"/>
              <w:right w:val="single" w:color="auto" w:sz="4" w:space="0"/>
            </w:tcBorders>
            <w:noWrap/>
            <w:vAlign w:val="center"/>
          </w:tcPr>
          <w:p w14:paraId="2D3D42B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c>
          <w:tcPr>
            <w:tcW w:w="1324" w:type="dxa"/>
            <w:tcBorders>
              <w:top w:val="single" w:color="auto" w:sz="4" w:space="0"/>
              <w:left w:val="single" w:color="auto" w:sz="4" w:space="0"/>
              <w:bottom w:val="single" w:color="auto" w:sz="4" w:space="0"/>
              <w:right w:val="single" w:color="auto" w:sz="4" w:space="0"/>
            </w:tcBorders>
            <w:noWrap/>
            <w:vAlign w:val="center"/>
          </w:tcPr>
          <w:p w14:paraId="1C2A368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c>
          <w:tcPr>
            <w:tcW w:w="1165" w:type="dxa"/>
            <w:tcBorders>
              <w:top w:val="single" w:color="auto" w:sz="4" w:space="0"/>
              <w:left w:val="single" w:color="auto" w:sz="4" w:space="0"/>
              <w:bottom w:val="single" w:color="auto" w:sz="4" w:space="0"/>
              <w:right w:val="single" w:color="auto" w:sz="4" w:space="0"/>
            </w:tcBorders>
            <w:noWrap/>
            <w:vAlign w:val="center"/>
          </w:tcPr>
          <w:p w14:paraId="569B291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r>
      <w:tr w14:paraId="37701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5" w:type="dxa"/>
            <w:tcBorders>
              <w:top w:val="single" w:color="auto" w:sz="4" w:space="0"/>
              <w:left w:val="single" w:color="auto" w:sz="4" w:space="0"/>
              <w:bottom w:val="single" w:color="auto" w:sz="4" w:space="0"/>
              <w:right w:val="single" w:color="auto" w:sz="4" w:space="0"/>
            </w:tcBorders>
            <w:noWrap/>
            <w:vAlign w:val="center"/>
          </w:tcPr>
          <w:p w14:paraId="33FACDE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US" w:eastAsia="zh-CN"/>
              </w:rPr>
            </w:pPr>
            <w:r>
              <w:rPr>
                <w:rFonts w:hint="eastAsia" w:ascii="宋体" w:hAnsi="宋体" w:cs="宋体"/>
                <w:b/>
                <w:szCs w:val="21"/>
                <w:lang w:val="en-US" w:eastAsia="zh-CN"/>
              </w:rPr>
              <w:t>4</w:t>
            </w:r>
          </w:p>
        </w:tc>
        <w:tc>
          <w:tcPr>
            <w:tcW w:w="2948" w:type="dxa"/>
            <w:tcBorders>
              <w:top w:val="single" w:color="auto" w:sz="4" w:space="0"/>
              <w:left w:val="single" w:color="auto" w:sz="4" w:space="0"/>
              <w:bottom w:val="single" w:color="auto" w:sz="4" w:space="0"/>
              <w:right w:val="single" w:color="auto" w:sz="4" w:space="0"/>
            </w:tcBorders>
            <w:noWrap/>
            <w:vAlign w:val="center"/>
          </w:tcPr>
          <w:p w14:paraId="1B46291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szCs w:val="21"/>
                <w:lang w:val="en-GB" w:eastAsia="zh-CN"/>
              </w:rPr>
            </w:pPr>
            <w:r>
              <w:rPr>
                <w:rFonts w:hint="eastAsia" w:ascii="宋体" w:hAnsi="宋体" w:cs="宋体"/>
                <w:b/>
                <w:szCs w:val="21"/>
                <w:lang w:val="en-US" w:eastAsia="zh-CN"/>
              </w:rPr>
              <w:t>13.00≤Var(%)≤25.00</w:t>
            </w:r>
          </w:p>
        </w:tc>
        <w:tc>
          <w:tcPr>
            <w:tcW w:w="2852" w:type="dxa"/>
            <w:tcBorders>
              <w:top w:val="single" w:color="auto" w:sz="4" w:space="0"/>
              <w:left w:val="single" w:color="auto" w:sz="4" w:space="0"/>
              <w:bottom w:val="single" w:color="auto" w:sz="4" w:space="0"/>
              <w:right w:val="single" w:color="auto" w:sz="4" w:space="0"/>
            </w:tcBorders>
            <w:noWrap/>
            <w:vAlign w:val="center"/>
          </w:tcPr>
          <w:p w14:paraId="2A8A941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c>
          <w:tcPr>
            <w:tcW w:w="1324" w:type="dxa"/>
            <w:tcBorders>
              <w:top w:val="single" w:color="auto" w:sz="4" w:space="0"/>
              <w:left w:val="single" w:color="auto" w:sz="4" w:space="0"/>
              <w:bottom w:val="single" w:color="auto" w:sz="4" w:space="0"/>
              <w:right w:val="single" w:color="auto" w:sz="4" w:space="0"/>
            </w:tcBorders>
            <w:noWrap/>
            <w:vAlign w:val="center"/>
          </w:tcPr>
          <w:p w14:paraId="14CE3BE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c>
          <w:tcPr>
            <w:tcW w:w="1165" w:type="dxa"/>
            <w:tcBorders>
              <w:top w:val="single" w:color="auto" w:sz="4" w:space="0"/>
              <w:left w:val="single" w:color="auto" w:sz="4" w:space="0"/>
              <w:bottom w:val="single" w:color="auto" w:sz="4" w:space="0"/>
              <w:right w:val="single" w:color="auto" w:sz="4" w:space="0"/>
            </w:tcBorders>
            <w:noWrap/>
            <w:vAlign w:val="center"/>
          </w:tcPr>
          <w:p w14:paraId="6D75396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r>
      <w:tr w14:paraId="54FA7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5" w:type="dxa"/>
            <w:tcBorders>
              <w:top w:val="single" w:color="auto" w:sz="4" w:space="0"/>
              <w:left w:val="single" w:color="auto" w:sz="4" w:space="0"/>
              <w:bottom w:val="single" w:color="auto" w:sz="4" w:space="0"/>
              <w:right w:val="single" w:color="auto" w:sz="4" w:space="0"/>
            </w:tcBorders>
            <w:noWrap/>
            <w:vAlign w:val="center"/>
          </w:tcPr>
          <w:p w14:paraId="59266C2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b/>
                <w:szCs w:val="21"/>
                <w:lang w:val="en-US" w:eastAsia="zh-CN"/>
              </w:rPr>
            </w:pPr>
            <w:r>
              <w:rPr>
                <w:rFonts w:hint="eastAsia" w:ascii="宋体" w:hAnsi="宋体" w:cs="宋体"/>
                <w:b/>
                <w:szCs w:val="21"/>
                <w:lang w:val="en-US" w:eastAsia="zh-CN"/>
              </w:rPr>
              <w:t>5</w:t>
            </w:r>
          </w:p>
        </w:tc>
        <w:tc>
          <w:tcPr>
            <w:tcW w:w="2948" w:type="dxa"/>
            <w:tcBorders>
              <w:top w:val="single" w:color="auto" w:sz="4" w:space="0"/>
              <w:left w:val="single" w:color="auto" w:sz="4" w:space="0"/>
              <w:bottom w:val="single" w:color="auto" w:sz="4" w:space="0"/>
              <w:right w:val="single" w:color="auto" w:sz="4" w:space="0"/>
            </w:tcBorders>
            <w:noWrap/>
            <w:vAlign w:val="center"/>
          </w:tcPr>
          <w:p w14:paraId="225D961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szCs w:val="21"/>
                <w:lang w:val="en-GB" w:eastAsia="zh-CN"/>
              </w:rPr>
            </w:pPr>
            <w:r>
              <w:rPr>
                <w:rFonts w:hint="eastAsia" w:ascii="宋体" w:hAnsi="宋体" w:cs="宋体"/>
                <w:b/>
                <w:szCs w:val="21"/>
                <w:lang w:val="en-US" w:eastAsia="zh-CN"/>
              </w:rPr>
              <w:t>St,d(%)</w:t>
            </w:r>
            <w:r>
              <w:rPr>
                <w:rFonts w:hint="eastAsia" w:ascii="宋体" w:hAnsi="宋体" w:cs="宋体"/>
                <w:b/>
                <w:szCs w:val="21"/>
                <w:lang w:val="en-GB" w:eastAsia="zh-CN"/>
              </w:rPr>
              <w:t>≤3.00</w:t>
            </w:r>
          </w:p>
        </w:tc>
        <w:tc>
          <w:tcPr>
            <w:tcW w:w="2852" w:type="dxa"/>
            <w:tcBorders>
              <w:top w:val="single" w:color="auto" w:sz="4" w:space="0"/>
              <w:left w:val="single" w:color="auto" w:sz="4" w:space="0"/>
              <w:bottom w:val="single" w:color="auto" w:sz="4" w:space="0"/>
              <w:right w:val="single" w:color="auto" w:sz="4" w:space="0"/>
            </w:tcBorders>
            <w:noWrap/>
            <w:vAlign w:val="center"/>
          </w:tcPr>
          <w:p w14:paraId="48D9636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c>
          <w:tcPr>
            <w:tcW w:w="1324" w:type="dxa"/>
            <w:tcBorders>
              <w:top w:val="single" w:color="auto" w:sz="4" w:space="0"/>
              <w:left w:val="single" w:color="auto" w:sz="4" w:space="0"/>
              <w:bottom w:val="single" w:color="auto" w:sz="4" w:space="0"/>
              <w:right w:val="single" w:color="auto" w:sz="4" w:space="0"/>
            </w:tcBorders>
            <w:noWrap/>
            <w:vAlign w:val="center"/>
          </w:tcPr>
          <w:p w14:paraId="2ECC1B0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c>
          <w:tcPr>
            <w:tcW w:w="1165" w:type="dxa"/>
            <w:tcBorders>
              <w:top w:val="single" w:color="auto" w:sz="4" w:space="0"/>
              <w:left w:val="single" w:color="auto" w:sz="4" w:space="0"/>
              <w:bottom w:val="single" w:color="auto" w:sz="4" w:space="0"/>
              <w:right w:val="single" w:color="auto" w:sz="4" w:space="0"/>
            </w:tcBorders>
            <w:noWrap/>
            <w:vAlign w:val="center"/>
          </w:tcPr>
          <w:p w14:paraId="27FE904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r>
      <w:tr w14:paraId="00ADA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5" w:type="dxa"/>
            <w:tcBorders>
              <w:top w:val="single" w:color="auto" w:sz="4" w:space="0"/>
              <w:left w:val="single" w:color="auto" w:sz="4" w:space="0"/>
              <w:right w:val="single" w:color="auto" w:sz="4" w:space="0"/>
            </w:tcBorders>
            <w:noWrap/>
            <w:vAlign w:val="center"/>
          </w:tcPr>
          <w:p w14:paraId="43BD000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b/>
                <w:szCs w:val="21"/>
                <w:lang w:val="en-US" w:eastAsia="zh-CN"/>
              </w:rPr>
            </w:pPr>
            <w:r>
              <w:rPr>
                <w:rFonts w:hint="eastAsia" w:ascii="宋体" w:hAnsi="宋体" w:cs="宋体"/>
                <w:b/>
                <w:szCs w:val="21"/>
                <w:lang w:val="en-US" w:eastAsia="zh-CN"/>
              </w:rPr>
              <w:t>6</w:t>
            </w:r>
          </w:p>
        </w:tc>
        <w:tc>
          <w:tcPr>
            <w:tcW w:w="2948" w:type="dxa"/>
            <w:tcBorders>
              <w:top w:val="single" w:color="auto" w:sz="4" w:space="0"/>
              <w:left w:val="single" w:color="auto" w:sz="4" w:space="0"/>
              <w:right w:val="single" w:color="auto" w:sz="4" w:space="0"/>
            </w:tcBorders>
            <w:noWrap/>
            <w:vAlign w:val="center"/>
          </w:tcPr>
          <w:p w14:paraId="55E51C2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b/>
                <w:szCs w:val="21"/>
                <w:lang w:val="en-US" w:eastAsia="zh-CN"/>
              </w:rPr>
            </w:pPr>
            <w:r>
              <w:rPr>
                <w:rFonts w:hint="eastAsia" w:ascii="宋体" w:hAnsi="宋体" w:cs="宋体"/>
                <w:b/>
                <w:szCs w:val="21"/>
                <w:lang w:val="en-US" w:eastAsia="zh-CN"/>
              </w:rPr>
              <w:t>粒度（mm）≤50</w:t>
            </w:r>
          </w:p>
        </w:tc>
        <w:tc>
          <w:tcPr>
            <w:tcW w:w="2852" w:type="dxa"/>
            <w:tcBorders>
              <w:top w:val="single" w:color="auto" w:sz="4" w:space="0"/>
              <w:left w:val="single" w:color="auto" w:sz="4" w:space="0"/>
              <w:right w:val="single" w:color="auto" w:sz="4" w:space="0"/>
            </w:tcBorders>
            <w:noWrap/>
            <w:vAlign w:val="center"/>
          </w:tcPr>
          <w:p w14:paraId="781EAD9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c>
          <w:tcPr>
            <w:tcW w:w="1324" w:type="dxa"/>
            <w:tcBorders>
              <w:top w:val="single" w:color="auto" w:sz="4" w:space="0"/>
              <w:left w:val="single" w:color="auto" w:sz="4" w:space="0"/>
              <w:right w:val="single" w:color="auto" w:sz="4" w:space="0"/>
            </w:tcBorders>
            <w:noWrap/>
            <w:vAlign w:val="center"/>
          </w:tcPr>
          <w:p w14:paraId="0DEA85F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c>
          <w:tcPr>
            <w:tcW w:w="1165" w:type="dxa"/>
            <w:tcBorders>
              <w:top w:val="single" w:color="auto" w:sz="4" w:space="0"/>
              <w:left w:val="single" w:color="auto" w:sz="4" w:space="0"/>
              <w:right w:val="single" w:color="auto" w:sz="4" w:space="0"/>
            </w:tcBorders>
            <w:noWrap/>
            <w:vAlign w:val="center"/>
          </w:tcPr>
          <w:p w14:paraId="3C44C39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r>
    </w:tbl>
    <w:p w14:paraId="580EF5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rPr>
          <w:rFonts w:hint="eastAsia" w:ascii="宋体" w:hAnsi="宋体" w:eastAsia="宋体" w:cs="宋体"/>
          <w:sz w:val="24"/>
          <w:lang w:val="en-GB"/>
        </w:rPr>
      </w:pPr>
    </w:p>
    <w:p w14:paraId="334B5C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rPr>
          <w:rFonts w:hint="eastAsia" w:ascii="宋体" w:hAnsi="宋体" w:eastAsia="宋体" w:cs="宋体"/>
          <w:sz w:val="24"/>
          <w:lang w:val="en-GB"/>
        </w:rPr>
      </w:pPr>
      <w:r>
        <w:rPr>
          <w:rFonts w:hint="eastAsia" w:ascii="宋体" w:hAnsi="宋体" w:eastAsia="宋体" w:cs="宋体"/>
          <w:sz w:val="24"/>
          <w:lang w:val="en-GB"/>
        </w:rPr>
        <w:t>本表供应商可自行扩展。</w:t>
      </w:r>
    </w:p>
    <w:p w14:paraId="057BEBE1">
      <w:pPr>
        <w:spacing w:line="300" w:lineRule="auto"/>
        <w:rPr>
          <w:rFonts w:hint="eastAsia" w:ascii="宋体" w:hAnsi="宋体" w:eastAsia="宋体" w:cs="宋体"/>
          <w:b/>
          <w:sz w:val="24"/>
        </w:rPr>
      </w:pPr>
      <w:r>
        <w:rPr>
          <w:rFonts w:hint="eastAsia" w:ascii="宋体" w:hAnsi="宋体" w:eastAsia="宋体" w:cs="宋体"/>
          <w:b/>
          <w:sz w:val="24"/>
        </w:rPr>
        <w:t>注意事项：</w:t>
      </w:r>
    </w:p>
    <w:p w14:paraId="352663C4">
      <w:pPr>
        <w:spacing w:line="300" w:lineRule="auto"/>
        <w:rPr>
          <w:rFonts w:hint="eastAsia" w:ascii="宋体" w:hAnsi="宋体" w:eastAsia="宋体" w:cs="宋体"/>
          <w:b/>
          <w:sz w:val="24"/>
          <w:lang w:val="en-US" w:eastAsia="zh-CN"/>
        </w:rPr>
      </w:pPr>
      <w:r>
        <w:rPr>
          <w:rFonts w:hint="eastAsia" w:ascii="宋体" w:hAnsi="宋体" w:eastAsia="宋体" w:cs="宋体"/>
          <w:sz w:val="24"/>
        </w:rPr>
        <w:t>1、 本表须逐一将</w:t>
      </w:r>
      <w:r>
        <w:rPr>
          <w:rFonts w:hint="eastAsia" w:ascii="宋体" w:hAnsi="宋体" w:cs="宋体"/>
          <w:sz w:val="24"/>
          <w:lang w:eastAsia="zh-CN"/>
        </w:rPr>
        <w:t>竞争性谈判</w:t>
      </w:r>
      <w:r>
        <w:rPr>
          <w:rFonts w:hint="eastAsia" w:ascii="宋体" w:hAnsi="宋体" w:eastAsia="宋体" w:cs="宋体"/>
          <w:sz w:val="24"/>
        </w:rPr>
        <w:t>文件“</w:t>
      </w:r>
      <w:r>
        <w:rPr>
          <w:rFonts w:hint="eastAsia" w:ascii="宋体" w:hAnsi="宋体" w:eastAsia="宋体" w:cs="宋体"/>
          <w:sz w:val="24"/>
          <w:lang w:eastAsia="zh-CN"/>
        </w:rPr>
        <w:t>技术</w:t>
      </w:r>
      <w:r>
        <w:rPr>
          <w:rFonts w:hint="eastAsia" w:ascii="宋体" w:hAnsi="宋体" w:eastAsia="宋体" w:cs="宋体"/>
          <w:sz w:val="24"/>
          <w:lang w:val="en-US" w:eastAsia="zh-CN"/>
        </w:rPr>
        <w:t>要求</w:t>
      </w:r>
      <w:r>
        <w:rPr>
          <w:rFonts w:hint="eastAsia" w:ascii="宋体" w:hAnsi="宋体" w:eastAsia="宋体" w:cs="宋体"/>
          <w:sz w:val="24"/>
        </w:rPr>
        <w:t>”与响应内容如实填入上表中</w:t>
      </w:r>
      <w:r>
        <w:rPr>
          <w:rFonts w:hint="eastAsia" w:ascii="宋体" w:hAnsi="宋体" w:eastAsia="宋体" w:cs="宋体"/>
          <w:sz w:val="24"/>
          <w:lang w:eastAsia="zh-CN"/>
        </w:rPr>
        <w:t>，</w:t>
      </w:r>
      <w:r>
        <w:rPr>
          <w:rFonts w:hint="eastAsia" w:ascii="宋体" w:hAnsi="宋体" w:eastAsia="宋体" w:cs="宋体"/>
          <w:sz w:val="24"/>
          <w:lang w:val="en-US" w:eastAsia="zh-CN"/>
        </w:rPr>
        <w:t>供应商自行按照所投</w:t>
      </w:r>
      <w:r>
        <w:rPr>
          <w:rFonts w:hint="eastAsia" w:ascii="宋体" w:hAnsi="宋体" w:cs="宋体"/>
          <w:sz w:val="24"/>
          <w:lang w:val="en-US" w:eastAsia="zh-CN"/>
        </w:rPr>
        <w:t>报</w:t>
      </w:r>
      <w:r>
        <w:rPr>
          <w:rFonts w:hint="eastAsia" w:ascii="宋体" w:hAnsi="宋体" w:eastAsia="宋体" w:cs="宋体"/>
          <w:sz w:val="24"/>
          <w:lang w:val="en-US" w:eastAsia="zh-CN"/>
        </w:rPr>
        <w:t>填写。</w:t>
      </w:r>
    </w:p>
    <w:p w14:paraId="7D5C03CA">
      <w:pPr>
        <w:spacing w:line="300" w:lineRule="auto"/>
        <w:rPr>
          <w:rFonts w:hint="eastAsia" w:ascii="宋体" w:hAnsi="宋体" w:eastAsia="宋体" w:cs="宋体"/>
          <w:sz w:val="24"/>
        </w:rPr>
      </w:pPr>
      <w:r>
        <w:rPr>
          <w:rFonts w:hint="eastAsia" w:ascii="宋体" w:hAnsi="宋体" w:cs="宋体"/>
          <w:sz w:val="24"/>
          <w:lang w:eastAsia="zh-CN"/>
        </w:rPr>
        <w:t>2、</w:t>
      </w:r>
      <w:r>
        <w:rPr>
          <w:rFonts w:hint="eastAsia" w:ascii="宋体" w:hAnsi="宋体" w:cs="宋体"/>
          <w:sz w:val="24"/>
          <w:lang w:val="en-US" w:eastAsia="zh-CN"/>
        </w:rPr>
        <w:t>响应文件中的标准一栏</w:t>
      </w:r>
      <w:r>
        <w:rPr>
          <w:rFonts w:hint="eastAsia" w:ascii="宋体" w:hAnsi="宋体" w:cs="宋体"/>
          <w:sz w:val="24"/>
          <w:lang w:eastAsia="zh-CN"/>
        </w:rPr>
        <w:t>应按“不能满足”“完全满足”或“超过或优于”</w:t>
      </w:r>
      <w:r>
        <w:rPr>
          <w:rFonts w:hint="eastAsia" w:ascii="宋体" w:hAnsi="宋体" w:cs="宋体"/>
          <w:sz w:val="24"/>
          <w:lang w:val="en-US" w:eastAsia="zh-CN"/>
        </w:rPr>
        <w:t>填写；根据竞争性谈判文件偏离一栏</w:t>
      </w:r>
      <w:r>
        <w:rPr>
          <w:rFonts w:hint="eastAsia" w:ascii="宋体" w:hAnsi="宋体" w:eastAsia="宋体" w:cs="宋体"/>
          <w:sz w:val="24"/>
        </w:rPr>
        <w:t>分别填写“负偏离</w:t>
      </w:r>
      <w:r>
        <w:rPr>
          <w:rFonts w:hint="eastAsia" w:ascii="宋体" w:hAnsi="宋体" w:eastAsia="宋体" w:cs="宋体"/>
          <w:sz w:val="24"/>
          <w:lang w:eastAsia="zh-CN"/>
        </w:rPr>
        <w:t>”“</w:t>
      </w:r>
      <w:r>
        <w:rPr>
          <w:rFonts w:hint="eastAsia" w:ascii="宋体" w:hAnsi="宋体" w:eastAsia="宋体" w:cs="宋体"/>
          <w:sz w:val="24"/>
        </w:rPr>
        <w:t>无偏离</w:t>
      </w:r>
      <w:r>
        <w:rPr>
          <w:rFonts w:hint="eastAsia" w:ascii="宋体" w:hAnsi="宋体" w:eastAsia="宋体" w:cs="宋体"/>
          <w:sz w:val="24"/>
          <w:lang w:eastAsia="zh-CN"/>
        </w:rPr>
        <w:t>”“</w:t>
      </w:r>
      <w:r>
        <w:rPr>
          <w:rFonts w:hint="eastAsia" w:ascii="宋体" w:hAnsi="宋体" w:eastAsia="宋体" w:cs="宋体"/>
          <w:sz w:val="24"/>
        </w:rPr>
        <w:t>正偏离”。</w:t>
      </w:r>
    </w:p>
    <w:p w14:paraId="1461EAC4">
      <w:pPr>
        <w:spacing w:line="300" w:lineRule="auto"/>
        <w:rPr>
          <w:rFonts w:hint="eastAsia" w:ascii="宋体" w:hAnsi="宋体" w:eastAsia="宋体" w:cs="宋体"/>
          <w:sz w:val="24"/>
        </w:rPr>
      </w:pPr>
    </w:p>
    <w:p w14:paraId="0352E4BF">
      <w:pPr>
        <w:adjustRightInd w:val="0"/>
        <w:snapToGrid w:val="0"/>
        <w:spacing w:line="360" w:lineRule="auto"/>
        <w:ind w:firstLine="3600" w:firstLineChars="1500"/>
        <w:rPr>
          <w:rFonts w:hint="eastAsia" w:ascii="宋体" w:hAnsi="宋体" w:eastAsia="宋体" w:cs="宋体"/>
          <w:sz w:val="24"/>
        </w:rPr>
      </w:pPr>
    </w:p>
    <w:p w14:paraId="42B0CAD5">
      <w:pPr>
        <w:adjustRightInd w:val="0"/>
        <w:snapToGrid w:val="0"/>
        <w:spacing w:line="360" w:lineRule="auto"/>
        <w:ind w:firstLine="3600" w:firstLineChars="1500"/>
        <w:rPr>
          <w:rFonts w:hint="eastAsia" w:ascii="宋体" w:hAnsi="宋体" w:eastAsia="宋体" w:cs="宋体"/>
          <w:sz w:val="24"/>
          <w:lang w:eastAsia="zh-CN"/>
        </w:rPr>
      </w:pPr>
      <w:r>
        <w:rPr>
          <w:rFonts w:hint="eastAsia" w:ascii="宋体" w:hAnsi="宋体" w:eastAsia="宋体" w:cs="宋体"/>
          <w:sz w:val="24"/>
        </w:rPr>
        <w:t>供应商名称（单位公章）：</w:t>
      </w:r>
    </w:p>
    <w:p w14:paraId="084368DA">
      <w:pPr>
        <w:adjustRightInd w:val="0"/>
        <w:snapToGrid w:val="0"/>
        <w:spacing w:line="360" w:lineRule="auto"/>
        <w:ind w:firstLine="240" w:firstLineChars="100"/>
        <w:rPr>
          <w:rFonts w:hint="eastAsia" w:ascii="宋体" w:hAnsi="宋体" w:eastAsia="宋体" w:cs="宋体"/>
          <w:sz w:val="24"/>
        </w:rPr>
      </w:pPr>
      <w:r>
        <w:rPr>
          <w:rFonts w:hint="eastAsia" w:ascii="宋体" w:hAnsi="宋体" w:eastAsia="宋体" w:cs="宋体"/>
          <w:sz w:val="24"/>
          <w:lang w:eastAsia="zh-CN"/>
        </w:rPr>
        <w:t>法定代表人或法定代表人授权委托代理人</w:t>
      </w:r>
      <w:r>
        <w:rPr>
          <w:rFonts w:hint="eastAsia" w:ascii="宋体" w:hAnsi="宋体" w:eastAsia="宋体" w:cs="宋体"/>
          <w:sz w:val="24"/>
        </w:rPr>
        <w:t>（签字或盖章）：</w:t>
      </w:r>
    </w:p>
    <w:p w14:paraId="260A84A7">
      <w:pPr>
        <w:adjustRightInd w:val="0"/>
        <w:snapToGrid w:val="0"/>
        <w:spacing w:line="360" w:lineRule="auto"/>
        <w:ind w:firstLine="5760" w:firstLineChars="2400"/>
        <w:rPr>
          <w:rFonts w:hint="eastAsia" w:ascii="宋体" w:hAnsi="宋体" w:eastAsia="宋体" w:cs="宋体"/>
          <w:b/>
          <w:bCs/>
          <w:sz w:val="32"/>
          <w:szCs w:val="32"/>
        </w:rPr>
      </w:pPr>
      <w:r>
        <w:rPr>
          <w:rFonts w:hint="eastAsia" w:ascii="宋体" w:hAnsi="宋体" w:eastAsia="宋体" w:cs="宋体"/>
          <w:sz w:val="24"/>
        </w:rPr>
        <w:t>日期：</w:t>
      </w:r>
      <w:r>
        <w:rPr>
          <w:rFonts w:hint="eastAsia" w:ascii="宋体" w:hAnsi="宋体" w:eastAsia="宋体" w:cs="宋体"/>
          <w:sz w:val="24"/>
          <w:lang w:val="en-US" w:eastAsia="zh-CN"/>
        </w:rPr>
        <w:t xml:space="preserve">   </w:t>
      </w:r>
    </w:p>
    <w:p w14:paraId="5784B43A">
      <w:pPr>
        <w:rPr>
          <w:rFonts w:hint="eastAsia" w:ascii="宋体" w:hAnsi="宋体" w:cs="宋体"/>
          <w:b/>
          <w:bCs/>
          <w:sz w:val="32"/>
          <w:szCs w:val="32"/>
          <w:lang w:val="en-US" w:eastAsia="zh-CN"/>
        </w:rPr>
      </w:pPr>
      <w:r>
        <w:rPr>
          <w:rFonts w:hint="eastAsia" w:ascii="宋体" w:hAnsi="宋体" w:cs="宋体"/>
          <w:b/>
          <w:bCs/>
          <w:sz w:val="32"/>
          <w:szCs w:val="32"/>
          <w:lang w:val="en-US" w:eastAsia="zh-CN"/>
        </w:rPr>
        <w:br w:type="page"/>
      </w:r>
    </w:p>
    <w:p w14:paraId="5D24F463">
      <w:pPr>
        <w:jc w:val="center"/>
        <w:rPr>
          <w:rFonts w:hint="default" w:ascii="宋体" w:hAnsi="宋体" w:eastAsia="宋体" w:cs="宋体"/>
          <w:b/>
          <w:bCs/>
          <w:sz w:val="32"/>
          <w:szCs w:val="32"/>
          <w:lang w:val="en-US" w:eastAsia="zh-CN"/>
        </w:rPr>
      </w:pPr>
      <w:r>
        <w:rPr>
          <w:rFonts w:hint="eastAsia" w:ascii="宋体" w:hAnsi="宋体" w:cs="宋体"/>
          <w:b/>
          <w:bCs/>
          <w:sz w:val="32"/>
          <w:szCs w:val="32"/>
          <w:lang w:val="en-US" w:eastAsia="zh-CN"/>
        </w:rPr>
        <w:t>十</w:t>
      </w:r>
      <w:r>
        <w:rPr>
          <w:rFonts w:hint="eastAsia" w:ascii="宋体" w:hAnsi="宋体" w:eastAsia="宋体" w:cs="宋体"/>
          <w:b/>
          <w:bCs/>
          <w:sz w:val="32"/>
          <w:szCs w:val="32"/>
          <w:lang w:eastAsia="zh-CN"/>
        </w:rPr>
        <w:t>、供应商承诺</w:t>
      </w:r>
      <w:r>
        <w:rPr>
          <w:rFonts w:hint="eastAsia" w:ascii="宋体" w:hAnsi="宋体" w:cs="宋体"/>
          <w:b/>
          <w:bCs/>
          <w:sz w:val="32"/>
          <w:szCs w:val="32"/>
          <w:lang w:val="en-US" w:eastAsia="zh-CN"/>
        </w:rPr>
        <w:t xml:space="preserve"> </w:t>
      </w:r>
    </w:p>
    <w:p w14:paraId="66C17768">
      <w:pPr>
        <w:tabs>
          <w:tab w:val="left" w:pos="3465"/>
        </w:tabs>
        <w:jc w:val="center"/>
        <w:rPr>
          <w:rFonts w:hint="eastAsia" w:ascii="黑体" w:eastAsia="黑体"/>
          <w:sz w:val="44"/>
          <w:szCs w:val="44"/>
        </w:rPr>
      </w:pPr>
    </w:p>
    <w:p w14:paraId="0CAABB67">
      <w:pPr>
        <w:tabs>
          <w:tab w:val="left" w:pos="3465"/>
        </w:tabs>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lang w:eastAsia="zh-CN"/>
        </w:rPr>
        <w:t>我公司自愿参与</w:t>
      </w:r>
      <w:r>
        <w:rPr>
          <w:rFonts w:hint="eastAsia" w:ascii="宋体" w:hAnsi="宋体" w:eastAsia="宋体" w:cs="宋体"/>
          <w:sz w:val="28"/>
          <w:szCs w:val="28"/>
        </w:rPr>
        <w:t>贵</w:t>
      </w:r>
      <w:r>
        <w:rPr>
          <w:rFonts w:hint="eastAsia" w:ascii="宋体" w:hAnsi="宋体" w:eastAsia="宋体" w:cs="宋体"/>
          <w:sz w:val="28"/>
          <w:szCs w:val="28"/>
          <w:lang w:eastAsia="zh-CN"/>
        </w:rPr>
        <w:t>公司组织的</w:t>
      </w:r>
      <w:r>
        <w:rPr>
          <w:rFonts w:hint="eastAsia" w:ascii="宋体" w:hAnsi="宋体" w:eastAsia="宋体" w:cs="宋体"/>
          <w:sz w:val="28"/>
          <w:szCs w:val="28"/>
        </w:rPr>
        <w:t>贵州钟山野马寨热电有限责任公司</w:t>
      </w:r>
      <w:r>
        <w:rPr>
          <w:rFonts w:hint="eastAsia" w:ascii="宋体" w:hAnsi="宋体" w:cs="宋体"/>
          <w:sz w:val="28"/>
          <w:szCs w:val="28"/>
          <w:u w:val="single"/>
          <w:lang w:eastAsia="zh-CN"/>
        </w:rPr>
        <w:t>2025年第十九批次燃煤采购项目</w:t>
      </w:r>
      <w:r>
        <w:rPr>
          <w:rFonts w:hint="eastAsia" w:ascii="宋体" w:hAnsi="宋体" w:eastAsia="宋体" w:cs="宋体"/>
          <w:sz w:val="28"/>
          <w:szCs w:val="28"/>
        </w:rPr>
        <w:t>，我方承诺：</w:t>
      </w:r>
    </w:p>
    <w:p w14:paraId="42C60D31">
      <w:pPr>
        <w:tabs>
          <w:tab w:val="left" w:pos="3465"/>
        </w:tabs>
        <w:spacing w:line="360" w:lineRule="auto"/>
        <w:ind w:firstLine="565" w:firstLineChars="202"/>
        <w:rPr>
          <w:rFonts w:hint="eastAsia" w:ascii="宋体" w:hAnsi="宋体" w:eastAsia="宋体" w:cs="宋体"/>
          <w:sz w:val="28"/>
          <w:szCs w:val="28"/>
        </w:rPr>
      </w:pPr>
      <w:r>
        <w:rPr>
          <w:rFonts w:hint="eastAsia" w:ascii="宋体" w:hAnsi="宋体" w:eastAsia="宋体" w:cs="宋体"/>
          <w:sz w:val="28"/>
          <w:szCs w:val="28"/>
        </w:rPr>
        <w:t>1、贵方愿意与我方签订合同后，我方在</w:t>
      </w:r>
      <w:r>
        <w:rPr>
          <w:rFonts w:hint="eastAsia" w:ascii="宋体" w:hAnsi="宋体" w:eastAsia="宋体" w:cs="宋体"/>
          <w:sz w:val="28"/>
          <w:szCs w:val="28"/>
          <w:u w:val="single"/>
        </w:rPr>
        <w:t xml:space="preserve">       </w:t>
      </w:r>
      <w:r>
        <w:rPr>
          <w:rFonts w:hint="eastAsia" w:ascii="宋体" w:hAnsi="宋体" w:eastAsia="宋体" w:cs="宋体"/>
          <w:sz w:val="28"/>
          <w:szCs w:val="28"/>
        </w:rPr>
        <w:t>日内可向贵方提供</w:t>
      </w:r>
      <w:r>
        <w:rPr>
          <w:rFonts w:hint="eastAsia" w:ascii="宋体" w:hAnsi="宋体" w:eastAsia="宋体" w:cs="宋体"/>
          <w:b/>
          <w:sz w:val="28"/>
          <w:szCs w:val="28"/>
          <w:u w:val="single"/>
          <w:lang w:eastAsia="zh-CN"/>
        </w:rPr>
        <w:t>燃煤</w:t>
      </w:r>
      <w:r>
        <w:rPr>
          <w:rFonts w:hint="eastAsia" w:ascii="宋体" w:hAnsi="宋体" w:eastAsia="宋体" w:cs="宋体"/>
          <w:sz w:val="28"/>
          <w:szCs w:val="28"/>
        </w:rPr>
        <w:t>供货服务，严格按照贵方的需求进行组织生产。</w:t>
      </w:r>
    </w:p>
    <w:p w14:paraId="4795AFAD">
      <w:pPr>
        <w:tabs>
          <w:tab w:val="left" w:pos="3465"/>
        </w:tabs>
        <w:spacing w:line="360" w:lineRule="auto"/>
        <w:ind w:firstLine="565" w:firstLineChars="202"/>
        <w:rPr>
          <w:rFonts w:hint="eastAsia" w:ascii="宋体" w:hAnsi="宋体" w:eastAsia="宋体" w:cs="宋体"/>
          <w:sz w:val="28"/>
          <w:szCs w:val="28"/>
        </w:rPr>
      </w:pPr>
      <w:r>
        <w:rPr>
          <w:rFonts w:hint="eastAsia" w:ascii="宋体" w:hAnsi="宋体" w:eastAsia="宋体" w:cs="宋体"/>
          <w:sz w:val="28"/>
          <w:szCs w:val="28"/>
        </w:rPr>
        <w:t>2、若不能完成，我方愿意承担责任，并无条件同意贵方</w:t>
      </w:r>
      <w:r>
        <w:rPr>
          <w:rFonts w:hint="eastAsia" w:ascii="宋体" w:hAnsi="宋体" w:cs="宋体"/>
          <w:sz w:val="28"/>
          <w:szCs w:val="28"/>
          <w:lang w:val="en-US" w:eastAsia="zh-CN"/>
        </w:rPr>
        <w:t>终止</w:t>
      </w:r>
      <w:r>
        <w:rPr>
          <w:rFonts w:hint="eastAsia" w:ascii="宋体" w:hAnsi="宋体" w:eastAsia="宋体" w:cs="宋体"/>
          <w:sz w:val="28"/>
          <w:szCs w:val="28"/>
        </w:rPr>
        <w:t>合同。</w:t>
      </w:r>
    </w:p>
    <w:p w14:paraId="669E11D7">
      <w:pPr>
        <w:tabs>
          <w:tab w:val="left" w:pos="3465"/>
        </w:tabs>
        <w:spacing w:line="360" w:lineRule="auto"/>
        <w:ind w:firstLine="565" w:firstLineChars="202"/>
        <w:rPr>
          <w:rFonts w:hint="eastAsia" w:ascii="宋体" w:hAnsi="宋体" w:eastAsia="宋体" w:cs="宋体"/>
          <w:sz w:val="28"/>
          <w:szCs w:val="28"/>
        </w:rPr>
      </w:pPr>
      <w:r>
        <w:rPr>
          <w:rFonts w:hint="eastAsia" w:ascii="宋体" w:hAnsi="宋体" w:eastAsia="宋体" w:cs="宋体"/>
          <w:sz w:val="28"/>
          <w:szCs w:val="28"/>
        </w:rPr>
        <w:t>3、我方全权承担因我方开具的税务发票风险责任，与贵公司无关。</w:t>
      </w:r>
    </w:p>
    <w:p w14:paraId="00A14A22">
      <w:pPr>
        <w:tabs>
          <w:tab w:val="left" w:pos="3465"/>
        </w:tabs>
        <w:spacing w:line="360" w:lineRule="auto"/>
        <w:ind w:firstLine="565" w:firstLineChars="202"/>
        <w:rPr>
          <w:rFonts w:hint="eastAsia" w:ascii="宋体" w:hAnsi="宋体" w:eastAsia="宋体" w:cs="宋体"/>
          <w:sz w:val="28"/>
          <w:szCs w:val="28"/>
        </w:rPr>
      </w:pPr>
      <w:r>
        <w:rPr>
          <w:rFonts w:hint="eastAsia" w:ascii="宋体" w:hAnsi="宋体" w:eastAsia="宋体" w:cs="宋体"/>
          <w:sz w:val="28"/>
          <w:szCs w:val="28"/>
        </w:rPr>
        <w:t>4、我方运输车辆到贵公司</w:t>
      </w:r>
      <w:r>
        <w:rPr>
          <w:rFonts w:hint="eastAsia" w:ascii="宋体" w:hAnsi="宋体" w:eastAsia="宋体" w:cs="宋体"/>
          <w:sz w:val="28"/>
          <w:szCs w:val="28"/>
          <w:lang w:eastAsia="zh-CN"/>
        </w:rPr>
        <w:t>成员企业</w:t>
      </w:r>
      <w:r>
        <w:rPr>
          <w:rFonts w:hint="eastAsia" w:ascii="宋体" w:hAnsi="宋体" w:eastAsia="宋体" w:cs="宋体"/>
          <w:sz w:val="28"/>
          <w:szCs w:val="28"/>
        </w:rPr>
        <w:t>进行运输保供，服从贵公司</w:t>
      </w:r>
      <w:r>
        <w:rPr>
          <w:rFonts w:hint="eastAsia" w:ascii="宋体" w:hAnsi="宋体" w:eastAsia="宋体" w:cs="宋体"/>
          <w:sz w:val="28"/>
          <w:szCs w:val="28"/>
          <w:lang w:eastAsia="zh-CN"/>
        </w:rPr>
        <w:t>成员企业</w:t>
      </w:r>
      <w:r>
        <w:rPr>
          <w:rFonts w:hint="eastAsia" w:ascii="宋体" w:hAnsi="宋体" w:eastAsia="宋体" w:cs="宋体"/>
          <w:sz w:val="28"/>
          <w:szCs w:val="28"/>
        </w:rPr>
        <w:t>的日常工作管理，主动配合做好贵公司</w:t>
      </w:r>
      <w:r>
        <w:rPr>
          <w:rFonts w:hint="eastAsia" w:ascii="宋体" w:hAnsi="宋体" w:eastAsia="宋体" w:cs="宋体"/>
          <w:sz w:val="28"/>
          <w:szCs w:val="28"/>
          <w:lang w:eastAsia="zh-CN"/>
        </w:rPr>
        <w:t>成员企业</w:t>
      </w:r>
      <w:r>
        <w:rPr>
          <w:rFonts w:hint="eastAsia" w:ascii="宋体" w:hAnsi="宋体" w:eastAsia="宋体" w:cs="宋体"/>
          <w:sz w:val="28"/>
          <w:szCs w:val="28"/>
        </w:rPr>
        <w:t>厂区环境整治，不随地丢弃垃圾，文明排队等候卸货。</w:t>
      </w:r>
    </w:p>
    <w:p w14:paraId="7B13CE17">
      <w:pPr>
        <w:tabs>
          <w:tab w:val="left" w:pos="3465"/>
        </w:tabs>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p>
    <w:p w14:paraId="298895D1">
      <w:pPr>
        <w:tabs>
          <w:tab w:val="left" w:pos="3465"/>
        </w:tabs>
        <w:spacing w:line="360" w:lineRule="auto"/>
        <w:ind w:firstLine="4760" w:firstLineChars="1700"/>
        <w:rPr>
          <w:rFonts w:hint="eastAsia" w:ascii="宋体" w:hAnsi="宋体"/>
          <w:sz w:val="28"/>
          <w:szCs w:val="28"/>
          <w:lang w:val="en-US" w:eastAsia="zh-CN"/>
        </w:rPr>
      </w:pPr>
    </w:p>
    <w:p w14:paraId="36940D0A">
      <w:pPr>
        <w:tabs>
          <w:tab w:val="left" w:pos="3465"/>
        </w:tabs>
        <w:spacing w:line="360" w:lineRule="auto"/>
        <w:ind w:firstLine="4760" w:firstLineChars="1700"/>
        <w:rPr>
          <w:rFonts w:hint="eastAsia" w:ascii="宋体" w:hAnsi="宋体"/>
          <w:sz w:val="28"/>
          <w:szCs w:val="28"/>
          <w:lang w:val="en-US" w:eastAsia="zh-CN"/>
        </w:rPr>
      </w:pPr>
    </w:p>
    <w:p w14:paraId="15D4E6CE">
      <w:pPr>
        <w:tabs>
          <w:tab w:val="left" w:pos="3465"/>
        </w:tabs>
        <w:spacing w:line="360" w:lineRule="auto"/>
        <w:ind w:firstLine="4480" w:firstLineChars="1600"/>
        <w:rPr>
          <w:rFonts w:hint="eastAsia" w:ascii="宋体" w:hAnsi="宋体" w:eastAsia="宋体"/>
          <w:sz w:val="28"/>
          <w:szCs w:val="28"/>
          <w:lang w:val="en-US" w:eastAsia="zh-CN"/>
        </w:rPr>
      </w:pPr>
      <w:r>
        <w:rPr>
          <w:rFonts w:hint="eastAsia" w:ascii="宋体" w:hAnsi="宋体"/>
          <w:sz w:val="28"/>
          <w:szCs w:val="28"/>
          <w:lang w:val="en-US" w:eastAsia="zh-CN"/>
        </w:rPr>
        <w:t>供应商名称（签章）：</w:t>
      </w:r>
    </w:p>
    <w:p w14:paraId="3F4D6EAB">
      <w:pPr>
        <w:tabs>
          <w:tab w:val="left" w:pos="3465"/>
        </w:tabs>
        <w:spacing w:line="360" w:lineRule="auto"/>
        <w:rPr>
          <w:rFonts w:hint="eastAsia" w:ascii="宋体" w:hAnsi="宋体"/>
          <w:sz w:val="28"/>
          <w:szCs w:val="28"/>
        </w:rPr>
      </w:pPr>
    </w:p>
    <w:p w14:paraId="44720207">
      <w:pPr>
        <w:tabs>
          <w:tab w:val="left" w:pos="3465"/>
        </w:tabs>
        <w:spacing w:line="360" w:lineRule="auto"/>
        <w:rPr>
          <w:rFonts w:hint="eastAsia" w:ascii="宋体" w:hAnsi="宋体"/>
          <w:sz w:val="28"/>
          <w:szCs w:val="28"/>
        </w:rPr>
      </w:pPr>
      <w:r>
        <w:rPr>
          <w:rFonts w:hint="eastAsia" w:ascii="宋体" w:hAnsi="宋体"/>
          <w:sz w:val="28"/>
          <w:szCs w:val="28"/>
          <w:lang w:eastAsia="zh-CN"/>
        </w:rPr>
        <w:t>法定代表人或法定代表人授权委托代理人（签字或盖章）：</w:t>
      </w:r>
    </w:p>
    <w:p w14:paraId="6125DD8F">
      <w:pPr>
        <w:tabs>
          <w:tab w:val="left" w:pos="3465"/>
        </w:tabs>
        <w:spacing w:line="360" w:lineRule="auto"/>
        <w:ind w:firstLine="4760" w:firstLineChars="1700"/>
        <w:rPr>
          <w:rFonts w:hint="eastAsia" w:ascii="宋体" w:hAnsi="宋体"/>
          <w:sz w:val="28"/>
          <w:szCs w:val="28"/>
        </w:rPr>
      </w:pPr>
    </w:p>
    <w:p w14:paraId="21050E2F">
      <w:pPr>
        <w:tabs>
          <w:tab w:val="left" w:pos="3465"/>
        </w:tabs>
        <w:spacing w:line="360" w:lineRule="auto"/>
        <w:ind w:firstLine="6440" w:firstLineChars="2300"/>
        <w:rPr>
          <w:rFonts w:hint="eastAsia" w:ascii="宋体" w:hAnsi="宋体"/>
          <w:sz w:val="28"/>
          <w:szCs w:val="28"/>
        </w:rPr>
      </w:pPr>
      <w:r>
        <w:rPr>
          <w:rFonts w:hint="eastAsia" w:ascii="宋体" w:hAnsi="宋体"/>
          <w:sz w:val="28"/>
          <w:szCs w:val="28"/>
        </w:rPr>
        <w:t>日期：</w:t>
      </w:r>
    </w:p>
    <w:p w14:paraId="524BEBAC">
      <w:pPr>
        <w:tabs>
          <w:tab w:val="left" w:pos="3465"/>
        </w:tabs>
        <w:spacing w:line="360" w:lineRule="auto"/>
        <w:rPr>
          <w:rFonts w:hint="eastAsia" w:ascii="宋体" w:hAnsi="宋体"/>
          <w:sz w:val="28"/>
          <w:szCs w:val="28"/>
          <w:lang w:val="en-US" w:eastAsia="zh-CN"/>
        </w:rPr>
        <w:sectPr>
          <w:headerReference r:id="rId11" w:type="first"/>
          <w:footerReference r:id="rId14" w:type="first"/>
          <w:headerReference r:id="rId9" w:type="default"/>
          <w:footerReference r:id="rId12" w:type="default"/>
          <w:headerReference r:id="rId10" w:type="even"/>
          <w:footerReference r:id="rId13" w:type="even"/>
          <w:pgSz w:w="11911" w:h="16838"/>
          <w:pgMar w:top="1440" w:right="1083" w:bottom="1440" w:left="1083" w:header="720" w:footer="720" w:gutter="0"/>
          <w:pgBorders>
            <w:top w:val="none" w:sz="0" w:space="0"/>
            <w:left w:val="none" w:sz="0" w:space="0"/>
            <w:bottom w:val="none" w:sz="0" w:space="0"/>
            <w:right w:val="none" w:sz="0" w:space="0"/>
          </w:pgBorders>
          <w:pgNumType w:fmt="decimal"/>
          <w:cols w:space="0" w:num="1"/>
          <w:docGrid w:linePitch="312" w:charSpace="0"/>
        </w:sectPr>
      </w:pPr>
    </w:p>
    <w:p w14:paraId="4BB0A499">
      <w:pPr>
        <w:jc w:val="center"/>
        <w:rPr>
          <w:rFonts w:hint="default" w:ascii="宋体" w:hAnsi="宋体" w:eastAsia="宋体" w:cs="宋体"/>
          <w:b/>
          <w:bCs/>
          <w:sz w:val="32"/>
          <w:szCs w:val="32"/>
          <w:lang w:val="en-US" w:eastAsia="zh-CN"/>
        </w:rPr>
      </w:pPr>
      <w:r>
        <w:rPr>
          <w:rFonts w:hint="eastAsia" w:ascii="宋体" w:hAnsi="宋体" w:cs="宋体"/>
          <w:b/>
          <w:bCs/>
          <w:sz w:val="32"/>
          <w:szCs w:val="32"/>
          <w:lang w:val="en-US" w:eastAsia="zh-CN"/>
        </w:rPr>
        <w:t>十一</w:t>
      </w:r>
      <w:r>
        <w:rPr>
          <w:rFonts w:hint="eastAsia" w:ascii="宋体" w:hAnsi="宋体" w:eastAsia="宋体" w:cs="宋体"/>
          <w:b/>
          <w:bCs/>
          <w:sz w:val="32"/>
          <w:szCs w:val="32"/>
          <w:lang w:eastAsia="zh-CN"/>
        </w:rPr>
        <w:t>、</w:t>
      </w:r>
      <w:r>
        <w:rPr>
          <w:rFonts w:hint="eastAsia" w:ascii="宋体" w:hAnsi="宋体" w:cs="宋体"/>
          <w:b/>
          <w:bCs/>
          <w:sz w:val="32"/>
          <w:szCs w:val="32"/>
          <w:lang w:val="en-US" w:eastAsia="zh-CN"/>
        </w:rPr>
        <w:t xml:space="preserve">谈判保证金缴纳回执 </w:t>
      </w:r>
    </w:p>
    <w:p w14:paraId="4701A8A2">
      <w:pPr>
        <w:tabs>
          <w:tab w:val="left" w:pos="3465"/>
        </w:tabs>
        <w:spacing w:line="360" w:lineRule="auto"/>
        <w:rPr>
          <w:rFonts w:hint="eastAsia" w:ascii="宋体" w:hAnsi="宋体"/>
          <w:sz w:val="28"/>
          <w:szCs w:val="28"/>
          <w:lang w:val="en-US" w:eastAsia="zh-CN"/>
        </w:rPr>
      </w:pPr>
    </w:p>
    <w:p w14:paraId="2D71C2CF">
      <w:pPr>
        <w:tabs>
          <w:tab w:val="left" w:pos="3465"/>
        </w:tabs>
        <w:spacing w:line="360" w:lineRule="auto"/>
        <w:rPr>
          <w:rFonts w:hint="eastAsia" w:ascii="宋体" w:hAnsi="宋体"/>
          <w:sz w:val="28"/>
          <w:szCs w:val="28"/>
          <w:lang w:val="en-US" w:eastAsia="zh-CN"/>
        </w:rPr>
      </w:pPr>
    </w:p>
    <w:p w14:paraId="62A1AC4E">
      <w:pPr>
        <w:tabs>
          <w:tab w:val="left" w:pos="3465"/>
        </w:tabs>
        <w:spacing w:line="360" w:lineRule="auto"/>
        <w:rPr>
          <w:rFonts w:hint="eastAsia" w:ascii="宋体" w:hAnsi="宋体"/>
          <w:sz w:val="28"/>
          <w:szCs w:val="28"/>
          <w:lang w:val="en-US" w:eastAsia="zh-CN"/>
        </w:rPr>
      </w:pPr>
    </w:p>
    <w:p w14:paraId="253425AC">
      <w:pPr>
        <w:tabs>
          <w:tab w:val="left" w:pos="3465"/>
        </w:tabs>
        <w:spacing w:line="360" w:lineRule="auto"/>
        <w:rPr>
          <w:rFonts w:hint="eastAsia" w:ascii="宋体" w:hAnsi="宋体"/>
          <w:sz w:val="28"/>
          <w:szCs w:val="28"/>
          <w:lang w:val="en-US" w:eastAsia="zh-CN"/>
        </w:rPr>
      </w:pPr>
    </w:p>
    <w:p w14:paraId="02F63A86">
      <w:pPr>
        <w:tabs>
          <w:tab w:val="left" w:pos="3465"/>
        </w:tabs>
        <w:spacing w:line="360" w:lineRule="auto"/>
        <w:rPr>
          <w:rFonts w:hint="eastAsia" w:ascii="宋体" w:hAnsi="宋体"/>
          <w:sz w:val="28"/>
          <w:szCs w:val="28"/>
          <w:lang w:val="en-US" w:eastAsia="zh-CN"/>
        </w:rPr>
      </w:pPr>
    </w:p>
    <w:p w14:paraId="498F11D5">
      <w:pPr>
        <w:tabs>
          <w:tab w:val="left" w:pos="3465"/>
        </w:tabs>
        <w:spacing w:line="360" w:lineRule="auto"/>
        <w:rPr>
          <w:rFonts w:hint="eastAsia" w:ascii="宋体" w:hAnsi="宋体"/>
          <w:sz w:val="28"/>
          <w:szCs w:val="28"/>
          <w:lang w:val="en-US" w:eastAsia="zh-CN"/>
        </w:rPr>
      </w:pPr>
    </w:p>
    <w:p w14:paraId="7D3B1935">
      <w:pPr>
        <w:tabs>
          <w:tab w:val="left" w:pos="3465"/>
        </w:tabs>
        <w:spacing w:line="360" w:lineRule="auto"/>
        <w:rPr>
          <w:rFonts w:hint="eastAsia" w:ascii="宋体" w:hAnsi="宋体"/>
          <w:sz w:val="28"/>
          <w:szCs w:val="28"/>
          <w:lang w:val="en-US" w:eastAsia="zh-CN"/>
        </w:rPr>
      </w:pPr>
    </w:p>
    <w:p w14:paraId="1DECDA99">
      <w:pPr>
        <w:tabs>
          <w:tab w:val="left" w:pos="3465"/>
        </w:tabs>
        <w:spacing w:line="360" w:lineRule="auto"/>
        <w:rPr>
          <w:rFonts w:hint="eastAsia" w:ascii="宋体" w:hAnsi="宋体"/>
          <w:sz w:val="28"/>
          <w:szCs w:val="28"/>
          <w:lang w:val="en-US" w:eastAsia="zh-CN"/>
        </w:rPr>
      </w:pPr>
    </w:p>
    <w:p w14:paraId="2D130D6B">
      <w:pPr>
        <w:tabs>
          <w:tab w:val="left" w:pos="3465"/>
        </w:tabs>
        <w:spacing w:line="360" w:lineRule="auto"/>
        <w:rPr>
          <w:rFonts w:hint="eastAsia" w:ascii="宋体" w:hAnsi="宋体"/>
          <w:sz w:val="28"/>
          <w:szCs w:val="28"/>
          <w:lang w:val="en-US" w:eastAsia="zh-CN"/>
        </w:rPr>
      </w:pPr>
    </w:p>
    <w:p w14:paraId="0E03AA4E">
      <w:pPr>
        <w:tabs>
          <w:tab w:val="left" w:pos="3465"/>
        </w:tabs>
        <w:spacing w:line="360" w:lineRule="auto"/>
        <w:rPr>
          <w:rFonts w:hint="eastAsia" w:ascii="宋体" w:hAnsi="宋体"/>
          <w:sz w:val="28"/>
          <w:szCs w:val="28"/>
          <w:lang w:val="en-US" w:eastAsia="zh-CN"/>
        </w:rPr>
      </w:pPr>
    </w:p>
    <w:p w14:paraId="60CB521D">
      <w:pPr>
        <w:tabs>
          <w:tab w:val="left" w:pos="3465"/>
        </w:tabs>
        <w:spacing w:line="360" w:lineRule="auto"/>
        <w:rPr>
          <w:rFonts w:hint="eastAsia" w:ascii="宋体" w:hAnsi="宋体"/>
          <w:sz w:val="28"/>
          <w:szCs w:val="28"/>
          <w:lang w:val="en-US" w:eastAsia="zh-CN"/>
        </w:rPr>
      </w:pPr>
    </w:p>
    <w:p w14:paraId="23E7E0A4">
      <w:pPr>
        <w:tabs>
          <w:tab w:val="left" w:pos="3465"/>
        </w:tabs>
        <w:spacing w:line="360" w:lineRule="auto"/>
        <w:rPr>
          <w:rFonts w:hint="eastAsia" w:ascii="宋体" w:hAnsi="宋体"/>
          <w:sz w:val="28"/>
          <w:szCs w:val="28"/>
          <w:lang w:val="en-US" w:eastAsia="zh-CN"/>
        </w:rPr>
      </w:pPr>
    </w:p>
    <w:p w14:paraId="70AFD77C">
      <w:pPr>
        <w:tabs>
          <w:tab w:val="left" w:pos="3465"/>
        </w:tabs>
        <w:spacing w:line="360" w:lineRule="auto"/>
        <w:rPr>
          <w:rFonts w:hint="eastAsia" w:ascii="宋体" w:hAnsi="宋体"/>
          <w:sz w:val="28"/>
          <w:szCs w:val="28"/>
          <w:lang w:val="en-US" w:eastAsia="zh-CN"/>
        </w:rPr>
      </w:pPr>
    </w:p>
    <w:p w14:paraId="7BF35A6C">
      <w:pPr>
        <w:tabs>
          <w:tab w:val="left" w:pos="3465"/>
        </w:tabs>
        <w:spacing w:line="360" w:lineRule="auto"/>
        <w:rPr>
          <w:rFonts w:hint="eastAsia" w:ascii="宋体" w:hAnsi="宋体"/>
          <w:sz w:val="28"/>
          <w:szCs w:val="28"/>
          <w:lang w:val="en-US" w:eastAsia="zh-CN"/>
        </w:rPr>
      </w:pPr>
    </w:p>
    <w:p w14:paraId="261F355B">
      <w:pPr>
        <w:tabs>
          <w:tab w:val="left" w:pos="3465"/>
        </w:tabs>
        <w:spacing w:line="360" w:lineRule="auto"/>
        <w:rPr>
          <w:rFonts w:hint="eastAsia" w:ascii="宋体" w:hAnsi="宋体"/>
          <w:sz w:val="28"/>
          <w:szCs w:val="28"/>
          <w:lang w:val="en-US" w:eastAsia="zh-CN"/>
        </w:rPr>
      </w:pPr>
    </w:p>
    <w:p w14:paraId="346E5596">
      <w:pPr>
        <w:tabs>
          <w:tab w:val="left" w:pos="3465"/>
        </w:tabs>
        <w:spacing w:line="360" w:lineRule="auto"/>
        <w:rPr>
          <w:rFonts w:hint="eastAsia" w:ascii="宋体" w:hAnsi="宋体"/>
          <w:sz w:val="28"/>
          <w:szCs w:val="28"/>
          <w:lang w:val="en-US" w:eastAsia="zh-CN"/>
        </w:rPr>
      </w:pPr>
    </w:p>
    <w:p w14:paraId="58F61F47">
      <w:pPr>
        <w:tabs>
          <w:tab w:val="left" w:pos="3465"/>
        </w:tabs>
        <w:spacing w:line="360" w:lineRule="auto"/>
        <w:rPr>
          <w:rFonts w:hint="eastAsia" w:ascii="宋体" w:hAnsi="宋体"/>
          <w:sz w:val="28"/>
          <w:szCs w:val="28"/>
          <w:lang w:val="en-US" w:eastAsia="zh-CN"/>
        </w:rPr>
      </w:pPr>
    </w:p>
    <w:p w14:paraId="52B61BD2">
      <w:pPr>
        <w:tabs>
          <w:tab w:val="left" w:pos="3465"/>
        </w:tabs>
        <w:spacing w:line="360" w:lineRule="auto"/>
        <w:rPr>
          <w:rFonts w:hint="eastAsia" w:ascii="宋体" w:hAnsi="宋体"/>
          <w:sz w:val="28"/>
          <w:szCs w:val="28"/>
          <w:lang w:val="en-US" w:eastAsia="zh-CN"/>
        </w:rPr>
      </w:pPr>
    </w:p>
    <w:p w14:paraId="6D343DF2">
      <w:pPr>
        <w:tabs>
          <w:tab w:val="left" w:pos="3465"/>
        </w:tabs>
        <w:spacing w:line="360" w:lineRule="auto"/>
        <w:rPr>
          <w:rFonts w:hint="eastAsia" w:ascii="宋体" w:hAnsi="宋体"/>
          <w:sz w:val="28"/>
          <w:szCs w:val="28"/>
          <w:lang w:val="en-US" w:eastAsia="zh-CN"/>
        </w:rPr>
      </w:pPr>
    </w:p>
    <w:p w14:paraId="056C2BBA">
      <w:pPr>
        <w:tabs>
          <w:tab w:val="left" w:pos="3465"/>
        </w:tabs>
        <w:spacing w:line="360" w:lineRule="auto"/>
        <w:rPr>
          <w:rFonts w:hint="eastAsia" w:ascii="宋体" w:hAnsi="宋体"/>
          <w:sz w:val="28"/>
          <w:szCs w:val="28"/>
          <w:lang w:val="en-US" w:eastAsia="zh-CN"/>
        </w:rPr>
      </w:pPr>
    </w:p>
    <w:p w14:paraId="43CDD9B3">
      <w:pPr>
        <w:tabs>
          <w:tab w:val="left" w:pos="3465"/>
        </w:tabs>
        <w:spacing w:line="360" w:lineRule="auto"/>
        <w:rPr>
          <w:rFonts w:hint="eastAsia" w:ascii="宋体" w:hAnsi="宋体"/>
          <w:sz w:val="28"/>
          <w:szCs w:val="28"/>
          <w:lang w:val="en-US" w:eastAsia="zh-CN"/>
        </w:rPr>
      </w:pPr>
    </w:p>
    <w:p w14:paraId="37AF18FE">
      <w:pPr>
        <w:tabs>
          <w:tab w:val="left" w:pos="3465"/>
        </w:tabs>
        <w:spacing w:line="360" w:lineRule="auto"/>
        <w:rPr>
          <w:rFonts w:hint="eastAsia" w:ascii="宋体" w:hAnsi="宋体"/>
          <w:sz w:val="28"/>
          <w:szCs w:val="28"/>
          <w:lang w:val="en-US" w:eastAsia="zh-CN"/>
        </w:rPr>
      </w:pPr>
    </w:p>
    <w:p w14:paraId="60282FB1">
      <w:pPr>
        <w:tabs>
          <w:tab w:val="left" w:pos="3465"/>
        </w:tabs>
        <w:spacing w:line="360" w:lineRule="auto"/>
        <w:rPr>
          <w:rFonts w:hint="eastAsia" w:ascii="宋体" w:hAnsi="宋体"/>
          <w:sz w:val="28"/>
          <w:szCs w:val="28"/>
          <w:lang w:val="en-US" w:eastAsia="zh-CN"/>
        </w:rPr>
      </w:pPr>
    </w:p>
    <w:p w14:paraId="6B42EBC0">
      <w:pPr>
        <w:tabs>
          <w:tab w:val="left" w:pos="3465"/>
        </w:tabs>
        <w:spacing w:line="360" w:lineRule="auto"/>
        <w:rPr>
          <w:rFonts w:hint="eastAsia" w:ascii="宋体" w:hAnsi="宋体"/>
          <w:sz w:val="28"/>
          <w:szCs w:val="28"/>
          <w:lang w:val="en-US" w:eastAsia="zh-CN"/>
        </w:rPr>
      </w:pPr>
    </w:p>
    <w:p w14:paraId="09A385F4">
      <w:pPr>
        <w:tabs>
          <w:tab w:val="left" w:pos="3465"/>
        </w:tabs>
        <w:spacing w:line="360" w:lineRule="auto"/>
        <w:rPr>
          <w:rFonts w:hint="eastAsia" w:ascii="宋体" w:hAnsi="宋体"/>
          <w:sz w:val="28"/>
          <w:szCs w:val="28"/>
          <w:lang w:val="en-US" w:eastAsia="zh-CN"/>
        </w:rPr>
      </w:pPr>
    </w:p>
    <w:p w14:paraId="162D973E">
      <w:pPr>
        <w:jc w:val="center"/>
        <w:rPr>
          <w:rFonts w:hint="default" w:ascii="宋体" w:hAnsi="宋体" w:eastAsia="宋体" w:cs="宋体"/>
          <w:b/>
          <w:bCs/>
          <w:sz w:val="32"/>
          <w:szCs w:val="32"/>
          <w:lang w:val="en-US" w:eastAsia="zh-CN"/>
        </w:rPr>
      </w:pPr>
      <w:r>
        <w:rPr>
          <w:rFonts w:hint="eastAsia" w:ascii="宋体" w:hAnsi="宋体" w:cs="宋体"/>
          <w:b/>
          <w:bCs/>
          <w:sz w:val="32"/>
          <w:szCs w:val="32"/>
          <w:lang w:val="en-US" w:eastAsia="zh-CN"/>
        </w:rPr>
        <w:t>十二</w:t>
      </w:r>
      <w:r>
        <w:rPr>
          <w:rFonts w:hint="eastAsia" w:ascii="宋体" w:hAnsi="宋体" w:eastAsia="宋体" w:cs="宋体"/>
          <w:b/>
          <w:bCs/>
          <w:sz w:val="32"/>
          <w:szCs w:val="32"/>
          <w:lang w:eastAsia="zh-CN"/>
        </w:rPr>
        <w:t>、</w:t>
      </w:r>
      <w:r>
        <w:rPr>
          <w:rFonts w:hint="eastAsia" w:ascii="宋体" w:hAnsi="宋体" w:cs="宋体"/>
          <w:b/>
          <w:bCs/>
          <w:sz w:val="32"/>
          <w:szCs w:val="32"/>
          <w:lang w:val="en-US" w:eastAsia="zh-CN"/>
        </w:rPr>
        <w:t xml:space="preserve">合同履约保证金或同等价值燃煤说明 </w:t>
      </w:r>
    </w:p>
    <w:p w14:paraId="241BD015">
      <w:pPr>
        <w:tabs>
          <w:tab w:val="left" w:pos="3465"/>
        </w:tabs>
        <w:spacing w:line="360" w:lineRule="auto"/>
        <w:ind w:firstLine="560" w:firstLineChars="200"/>
        <w:rPr>
          <w:rFonts w:hint="eastAsia" w:ascii="宋体" w:hAnsi="宋体" w:eastAsia="宋体" w:cs="宋体"/>
          <w:sz w:val="28"/>
          <w:szCs w:val="28"/>
          <w:lang w:eastAsia="zh-CN"/>
        </w:rPr>
      </w:pPr>
    </w:p>
    <w:p w14:paraId="6DA86696">
      <w:pPr>
        <w:tabs>
          <w:tab w:val="left" w:pos="3465"/>
        </w:tabs>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lang w:eastAsia="zh-CN"/>
        </w:rPr>
        <w:t>我公司自愿参与</w:t>
      </w:r>
      <w:r>
        <w:rPr>
          <w:rFonts w:hint="eastAsia" w:ascii="宋体" w:hAnsi="宋体" w:eastAsia="宋体" w:cs="宋体"/>
          <w:sz w:val="28"/>
          <w:szCs w:val="28"/>
        </w:rPr>
        <w:t>贵</w:t>
      </w:r>
      <w:r>
        <w:rPr>
          <w:rFonts w:hint="eastAsia" w:ascii="宋体" w:hAnsi="宋体" w:eastAsia="宋体" w:cs="宋体"/>
          <w:sz w:val="28"/>
          <w:szCs w:val="28"/>
          <w:lang w:eastAsia="zh-CN"/>
        </w:rPr>
        <w:t>公司组织的</w:t>
      </w:r>
      <w:r>
        <w:rPr>
          <w:rFonts w:hint="eastAsia" w:ascii="宋体" w:hAnsi="宋体" w:eastAsia="宋体" w:cs="宋体"/>
          <w:sz w:val="28"/>
          <w:szCs w:val="28"/>
        </w:rPr>
        <w:t>贵州钟山野马寨热电有限责任公司</w:t>
      </w:r>
      <w:r>
        <w:rPr>
          <w:rFonts w:hint="eastAsia" w:ascii="宋体" w:hAnsi="宋体" w:cs="宋体"/>
          <w:sz w:val="28"/>
          <w:szCs w:val="28"/>
          <w:u w:val="single"/>
          <w:lang w:eastAsia="zh-CN"/>
        </w:rPr>
        <w:t>2025年第十九批次燃煤采购项目</w:t>
      </w:r>
      <w:r>
        <w:rPr>
          <w:rFonts w:hint="eastAsia" w:ascii="宋体" w:hAnsi="宋体" w:eastAsia="宋体" w:cs="宋体"/>
          <w:sz w:val="28"/>
          <w:szCs w:val="28"/>
        </w:rPr>
        <w:t>，我方承诺：</w:t>
      </w:r>
    </w:p>
    <w:p w14:paraId="274DDDBA">
      <w:pPr>
        <w:tabs>
          <w:tab w:val="left" w:pos="3465"/>
        </w:tabs>
        <w:spacing w:line="360" w:lineRule="auto"/>
        <w:ind w:firstLine="565" w:firstLineChars="202"/>
        <w:rPr>
          <w:rFonts w:hint="eastAsia" w:ascii="宋体" w:hAnsi="宋体" w:cs="宋体"/>
          <w:sz w:val="28"/>
          <w:szCs w:val="28"/>
          <w:lang w:val="en-US" w:eastAsia="zh-CN"/>
        </w:rPr>
      </w:pPr>
      <w:r>
        <w:rPr>
          <w:rFonts w:hint="eastAsia" w:ascii="宋体" w:hAnsi="宋体" w:cs="宋体"/>
          <w:sz w:val="28"/>
          <w:szCs w:val="28"/>
          <w:lang w:val="en-US" w:eastAsia="zh-CN"/>
        </w:rPr>
        <w:t>若</w:t>
      </w:r>
      <w:r>
        <w:rPr>
          <w:rFonts w:hint="eastAsia" w:ascii="宋体" w:hAnsi="宋体" w:eastAsia="宋体" w:cs="宋体"/>
          <w:sz w:val="28"/>
          <w:szCs w:val="28"/>
        </w:rPr>
        <w:t>我方</w:t>
      </w:r>
      <w:r>
        <w:rPr>
          <w:rFonts w:hint="eastAsia" w:ascii="宋体" w:hAnsi="宋体" w:cs="宋体"/>
          <w:sz w:val="28"/>
          <w:szCs w:val="28"/>
          <w:lang w:val="en-US" w:eastAsia="zh-CN"/>
        </w:rPr>
        <w:t>中标本次燃煤采购项目</w:t>
      </w:r>
      <w:r>
        <w:rPr>
          <w:rFonts w:hint="eastAsia" w:ascii="宋体" w:hAnsi="宋体" w:eastAsia="宋体" w:cs="宋体"/>
          <w:sz w:val="28"/>
          <w:szCs w:val="28"/>
        </w:rPr>
        <w:t>，我方在</w:t>
      </w:r>
      <w:r>
        <w:rPr>
          <w:rFonts w:hint="eastAsia" w:ascii="宋体" w:hAnsi="宋体" w:cs="宋体"/>
          <w:sz w:val="28"/>
          <w:szCs w:val="28"/>
          <w:lang w:val="en-US" w:eastAsia="zh-CN"/>
        </w:rPr>
        <w:t>收到《中标通知书》7个工作</w:t>
      </w:r>
      <w:r>
        <w:rPr>
          <w:rFonts w:hint="eastAsia" w:ascii="宋体" w:hAnsi="宋体" w:eastAsia="宋体" w:cs="宋体"/>
          <w:sz w:val="28"/>
          <w:szCs w:val="28"/>
        </w:rPr>
        <w:t>日内</w:t>
      </w:r>
      <w:r>
        <w:rPr>
          <w:rFonts w:hint="eastAsia" w:ascii="宋体" w:hAnsi="宋体" w:cs="宋体"/>
          <w:sz w:val="28"/>
          <w:szCs w:val="28"/>
          <w:lang w:val="en-US" w:eastAsia="zh-CN"/>
        </w:rPr>
        <w:t>愿</w:t>
      </w:r>
      <w:r>
        <w:rPr>
          <w:rFonts w:hint="eastAsia" w:ascii="宋体" w:hAnsi="宋体" w:eastAsia="宋体" w:cs="宋体"/>
          <w:sz w:val="28"/>
          <w:szCs w:val="28"/>
        </w:rPr>
        <w:t>向贵方</w:t>
      </w:r>
      <w:r>
        <w:rPr>
          <w:rFonts w:hint="eastAsia" w:ascii="宋体" w:hAnsi="宋体" w:cs="宋体"/>
          <w:sz w:val="28"/>
          <w:szCs w:val="28"/>
          <w:lang w:val="en-US" w:eastAsia="zh-CN"/>
        </w:rPr>
        <w:t>缴纳：</w:t>
      </w:r>
    </w:p>
    <w:p w14:paraId="6D230930">
      <w:pPr>
        <w:tabs>
          <w:tab w:val="left" w:pos="3465"/>
        </w:tabs>
        <w:spacing w:line="360" w:lineRule="auto"/>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①2</w:t>
      </w:r>
      <w:r>
        <w:rPr>
          <w:rFonts w:hint="eastAsia" w:ascii="宋体" w:hAnsi="宋体" w:cs="宋体"/>
          <w:sz w:val="28"/>
          <w:szCs w:val="28"/>
          <w:u w:val="none"/>
          <w:lang w:val="en-US" w:eastAsia="zh-CN"/>
        </w:rPr>
        <w:t>0万元保证金</w:t>
      </w:r>
      <w:r>
        <w:rPr>
          <w:rFonts w:hint="eastAsia" w:ascii="宋体" w:hAnsi="宋体" w:cs="宋体"/>
          <w:sz w:val="28"/>
          <w:szCs w:val="28"/>
          <w:lang w:val="en-US" w:eastAsia="zh-CN"/>
        </w:rPr>
        <w:t>□</w:t>
      </w:r>
    </w:p>
    <w:p w14:paraId="3F70AFE0">
      <w:pPr>
        <w:tabs>
          <w:tab w:val="left" w:pos="3465"/>
        </w:tabs>
        <w:spacing w:line="360" w:lineRule="auto"/>
        <w:ind w:firstLine="560" w:firstLineChars="200"/>
        <w:rPr>
          <w:rFonts w:hint="eastAsia" w:ascii="宋体" w:hAnsi="宋体" w:eastAsia="宋体" w:cs="宋体"/>
          <w:sz w:val="28"/>
          <w:szCs w:val="28"/>
        </w:rPr>
      </w:pPr>
      <w:r>
        <w:rPr>
          <w:rFonts w:hint="eastAsia" w:ascii="宋体" w:hAnsi="宋体" w:cs="宋体"/>
          <w:sz w:val="28"/>
          <w:szCs w:val="28"/>
          <w:lang w:val="en-US" w:eastAsia="zh-CN"/>
        </w:rPr>
        <w:t>②</w:t>
      </w:r>
      <w:r>
        <w:rPr>
          <w:rFonts w:hint="eastAsia" w:ascii="宋体" w:hAnsi="宋体" w:cs="宋体"/>
          <w:sz w:val="28"/>
          <w:szCs w:val="28"/>
          <w:u w:val="none"/>
          <w:lang w:val="en-US" w:eastAsia="zh-CN"/>
        </w:rPr>
        <w:t>同等价值燃煤作为保证</w:t>
      </w:r>
      <w:r>
        <w:rPr>
          <w:rFonts w:hint="eastAsia" w:ascii="宋体" w:hAnsi="宋体" w:cs="宋体"/>
          <w:sz w:val="28"/>
          <w:szCs w:val="28"/>
          <w:lang w:val="en-US" w:eastAsia="zh-CN"/>
        </w:rPr>
        <w:t>□</w:t>
      </w:r>
    </w:p>
    <w:p w14:paraId="6D924DA5">
      <w:pPr>
        <w:tabs>
          <w:tab w:val="left" w:pos="3465"/>
        </w:tabs>
        <w:spacing w:line="360" w:lineRule="auto"/>
        <w:ind w:firstLine="4760" w:firstLineChars="1700"/>
        <w:rPr>
          <w:rFonts w:hint="eastAsia" w:ascii="宋体" w:hAnsi="宋体"/>
          <w:sz w:val="28"/>
          <w:szCs w:val="28"/>
          <w:lang w:val="en-US" w:eastAsia="zh-CN"/>
        </w:rPr>
      </w:pPr>
    </w:p>
    <w:p w14:paraId="722E0761">
      <w:pPr>
        <w:tabs>
          <w:tab w:val="left" w:pos="3465"/>
        </w:tabs>
        <w:spacing w:line="360" w:lineRule="auto"/>
        <w:ind w:firstLine="4760" w:firstLineChars="1700"/>
        <w:rPr>
          <w:rFonts w:hint="eastAsia" w:ascii="宋体" w:hAnsi="宋体"/>
          <w:sz w:val="28"/>
          <w:szCs w:val="28"/>
          <w:lang w:val="en-US" w:eastAsia="zh-CN"/>
        </w:rPr>
      </w:pPr>
    </w:p>
    <w:p w14:paraId="5607A26F">
      <w:pPr>
        <w:tabs>
          <w:tab w:val="left" w:pos="3465"/>
        </w:tabs>
        <w:spacing w:line="360" w:lineRule="auto"/>
        <w:ind w:firstLine="4760" w:firstLineChars="1700"/>
        <w:rPr>
          <w:rFonts w:hint="eastAsia" w:ascii="宋体" w:hAnsi="宋体"/>
          <w:sz w:val="28"/>
          <w:szCs w:val="28"/>
          <w:lang w:val="en-US" w:eastAsia="zh-CN"/>
        </w:rPr>
      </w:pPr>
    </w:p>
    <w:p w14:paraId="24FF24C2">
      <w:pPr>
        <w:tabs>
          <w:tab w:val="left" w:pos="3465"/>
        </w:tabs>
        <w:spacing w:line="360" w:lineRule="auto"/>
        <w:ind w:firstLine="4760" w:firstLineChars="1700"/>
        <w:rPr>
          <w:rFonts w:hint="eastAsia" w:ascii="宋体" w:hAnsi="宋体"/>
          <w:sz w:val="28"/>
          <w:szCs w:val="28"/>
          <w:lang w:val="en-US" w:eastAsia="zh-CN"/>
        </w:rPr>
      </w:pPr>
    </w:p>
    <w:p w14:paraId="252FEAF9">
      <w:pPr>
        <w:tabs>
          <w:tab w:val="left" w:pos="3465"/>
        </w:tabs>
        <w:spacing w:line="360" w:lineRule="auto"/>
        <w:ind w:firstLine="4760" w:firstLineChars="1700"/>
        <w:rPr>
          <w:rFonts w:hint="eastAsia" w:ascii="宋体" w:hAnsi="宋体"/>
          <w:sz w:val="28"/>
          <w:szCs w:val="28"/>
          <w:lang w:val="en-US" w:eastAsia="zh-CN"/>
        </w:rPr>
      </w:pPr>
    </w:p>
    <w:p w14:paraId="0C36320E">
      <w:pPr>
        <w:tabs>
          <w:tab w:val="left" w:pos="3465"/>
        </w:tabs>
        <w:spacing w:line="360" w:lineRule="auto"/>
        <w:rPr>
          <w:rFonts w:hint="eastAsia" w:ascii="宋体" w:hAnsi="宋体"/>
          <w:sz w:val="28"/>
          <w:szCs w:val="28"/>
          <w:lang w:val="en-US" w:eastAsia="zh-CN"/>
        </w:rPr>
      </w:pPr>
    </w:p>
    <w:p w14:paraId="72CFE740">
      <w:pPr>
        <w:tabs>
          <w:tab w:val="left" w:pos="3465"/>
        </w:tabs>
        <w:spacing w:line="360" w:lineRule="auto"/>
        <w:ind w:firstLine="4760" w:firstLineChars="1700"/>
        <w:rPr>
          <w:rFonts w:hint="eastAsia" w:ascii="宋体" w:hAnsi="宋体"/>
          <w:sz w:val="28"/>
          <w:szCs w:val="28"/>
          <w:lang w:val="en-US" w:eastAsia="zh-CN"/>
        </w:rPr>
      </w:pPr>
    </w:p>
    <w:p w14:paraId="2CE324C1">
      <w:pPr>
        <w:tabs>
          <w:tab w:val="left" w:pos="3465"/>
        </w:tabs>
        <w:spacing w:line="360" w:lineRule="auto"/>
        <w:ind w:firstLine="4480" w:firstLineChars="1600"/>
        <w:rPr>
          <w:rFonts w:hint="eastAsia" w:ascii="宋体" w:hAnsi="宋体" w:eastAsia="宋体"/>
          <w:sz w:val="28"/>
          <w:szCs w:val="28"/>
          <w:lang w:val="en-US" w:eastAsia="zh-CN"/>
        </w:rPr>
      </w:pPr>
      <w:r>
        <w:rPr>
          <w:rFonts w:hint="eastAsia" w:ascii="宋体" w:hAnsi="宋体"/>
          <w:sz w:val="28"/>
          <w:szCs w:val="28"/>
          <w:lang w:val="en-US" w:eastAsia="zh-CN"/>
        </w:rPr>
        <w:t>供应商名称（签章）：</w:t>
      </w:r>
    </w:p>
    <w:p w14:paraId="1B8686DD">
      <w:pPr>
        <w:tabs>
          <w:tab w:val="left" w:pos="3465"/>
        </w:tabs>
        <w:spacing w:line="360" w:lineRule="auto"/>
        <w:rPr>
          <w:rFonts w:hint="eastAsia" w:ascii="宋体" w:hAnsi="宋体"/>
          <w:sz w:val="28"/>
          <w:szCs w:val="28"/>
        </w:rPr>
      </w:pPr>
    </w:p>
    <w:p w14:paraId="0AC0C9E8">
      <w:pPr>
        <w:tabs>
          <w:tab w:val="left" w:pos="1833"/>
        </w:tabs>
        <w:bidi w:val="0"/>
        <w:jc w:val="left"/>
        <w:rPr>
          <w:rFonts w:hint="eastAsia" w:ascii="宋体" w:hAnsi="宋体"/>
          <w:sz w:val="28"/>
          <w:szCs w:val="28"/>
          <w:lang w:eastAsia="zh-CN"/>
        </w:rPr>
      </w:pPr>
      <w:r>
        <w:rPr>
          <w:rFonts w:hint="eastAsia" w:ascii="宋体" w:hAnsi="宋体"/>
          <w:sz w:val="28"/>
          <w:szCs w:val="28"/>
          <w:lang w:eastAsia="zh-CN"/>
        </w:rPr>
        <w:t>法定代表人或法定代表人授权委托代理人（签字或盖章）：</w:t>
      </w:r>
    </w:p>
    <w:p w14:paraId="1249B2FC">
      <w:pPr>
        <w:tabs>
          <w:tab w:val="left" w:pos="1833"/>
        </w:tabs>
        <w:bidi w:val="0"/>
        <w:jc w:val="left"/>
        <w:rPr>
          <w:rFonts w:hint="default" w:ascii="宋体" w:hAnsi="宋体"/>
          <w:sz w:val="28"/>
          <w:szCs w:val="28"/>
          <w:lang w:val="en-US" w:eastAsia="zh-CN"/>
        </w:rPr>
      </w:pPr>
    </w:p>
    <w:p w14:paraId="0DE26223">
      <w:pPr>
        <w:tabs>
          <w:tab w:val="left" w:pos="1833"/>
        </w:tabs>
        <w:bidi w:val="0"/>
        <w:ind w:firstLine="6440" w:firstLineChars="2300"/>
        <w:jc w:val="left"/>
        <w:rPr>
          <w:rFonts w:hint="default" w:ascii="宋体" w:hAnsi="宋体"/>
          <w:sz w:val="28"/>
          <w:szCs w:val="28"/>
          <w:lang w:val="en-US" w:eastAsia="zh-CN"/>
        </w:rPr>
      </w:pPr>
      <w:r>
        <w:rPr>
          <w:rFonts w:hint="eastAsia" w:ascii="宋体" w:hAnsi="宋体"/>
          <w:sz w:val="28"/>
          <w:szCs w:val="28"/>
          <w:lang w:val="en-US" w:eastAsia="zh-CN"/>
        </w:rPr>
        <w:t>日期：</w:t>
      </w:r>
    </w:p>
    <w:sectPr>
      <w:headerReference r:id="rId15" w:type="default"/>
      <w:footerReference r:id="rId16" w:type="default"/>
      <w:pgSz w:w="11911" w:h="16838"/>
      <w:pgMar w:top="1440" w:right="1083" w:bottom="1440" w:left="1083" w:header="720" w:footer="720" w:gutter="0"/>
      <w:pgBorders>
        <w:top w:val="none" w:sz="0" w:space="0"/>
        <w:left w:val="none" w:sz="0" w:space="0"/>
        <w:bottom w:val="none" w:sz="0" w:space="0"/>
        <w:right w:val="none" w:sz="0" w:space="0"/>
      </w:pgBorders>
      <w:pgNumType w:fmt="decimal"/>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3CB20808-3495-4731-81AC-A7A38013F870}"/>
  </w:font>
  <w:font w:name="黑体">
    <w:panose1 w:val="02010609060101010101"/>
    <w:charset w:val="86"/>
    <w:family w:val="auto"/>
    <w:pitch w:val="default"/>
    <w:sig w:usb0="800002BF" w:usb1="38CF7CFA" w:usb2="00000016" w:usb3="00000000" w:csb0="00040001" w:csb1="00000000"/>
    <w:embedRegular r:id="rId2" w:fontKey="{D3C55DF5-A060-45C2-84B5-BF8378D6644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S UI Gothic">
    <w:panose1 w:val="020B0600070205080204"/>
    <w:charset w:val="80"/>
    <w:family w:val="swiss"/>
    <w:pitch w:val="default"/>
    <w:sig w:usb0="E00002FF" w:usb1="6AC7FDFB" w:usb2="08000012" w:usb3="00000000" w:csb0="4002009F" w:csb1="DFD70000"/>
  </w:font>
  <w:font w:name="楷体_GB2312">
    <w:panose1 w:val="02010609030101010101"/>
    <w:charset w:val="86"/>
    <w:family w:val="modern"/>
    <w:pitch w:val="default"/>
    <w:sig w:usb0="00000001" w:usb1="080E0000" w:usb2="00000000" w:usb3="00000000" w:csb0="00040000" w:csb1="00000000"/>
  </w:font>
  <w:font w:name="Batang">
    <w:altName w:val="Malgun Gothic"/>
    <w:panose1 w:val="02030600000101010101"/>
    <w:charset w:val="81"/>
    <w:family w:val="roman"/>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方正仿宋简体">
    <w:altName w:val="微软雅黑"/>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3" w:fontKey="{9CA7B92F-8A31-4429-A8BF-DA6967EEE544}"/>
  </w:font>
  <w:font w:name="方正小标宋简体">
    <w:panose1 w:val="02010600010101010101"/>
    <w:charset w:val="86"/>
    <w:family w:val="script"/>
    <w:pitch w:val="default"/>
    <w:sig w:usb0="00000001" w:usb1="080E0000" w:usb2="00000000" w:usb3="00000000" w:csb0="00040000" w:csb1="00000000"/>
    <w:embedRegular r:id="rId4" w:fontKey="{C0E74B61-EB52-4165-A7E0-14141650ACB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1718B5">
    <w:pPr>
      <w:pStyle w:val="21"/>
      <w:tabs>
        <w:tab w:val="left" w:pos="3539"/>
        <w:tab w:val="clear" w:pos="4153"/>
      </w:tabs>
    </w:pP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123D4E">
    <w:pPr>
      <w:pStyle w:val="21"/>
      <w:tabs>
        <w:tab w:val="left" w:pos="3539"/>
        <w:tab w:val="clear" w:pos="4153"/>
      </w:tabs>
    </w:pP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45ABA4">
    <w:pPr>
      <w:pStyle w:val="21"/>
      <w:tabs>
        <w:tab w:val="left" w:pos="3539"/>
        <w:tab w:val="clear" w:pos="4153"/>
      </w:tabs>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991235" cy="301625"/>
              <wp:effectExtent l="0" t="0" r="0" b="0"/>
              <wp:wrapNone/>
              <wp:docPr id="4" name="文本框 4"/>
              <wp:cNvGraphicFramePr/>
              <a:graphic xmlns:a="http://schemas.openxmlformats.org/drawingml/2006/main">
                <a:graphicData uri="http://schemas.microsoft.com/office/word/2010/wordprocessingShape">
                  <wps:wsp>
                    <wps:cNvSpPr txBox="1"/>
                    <wps:spPr>
                      <a:xfrm>
                        <a:off x="0" y="0"/>
                        <a:ext cx="991235" cy="301625"/>
                      </a:xfrm>
                      <a:prstGeom prst="rect">
                        <a:avLst/>
                      </a:prstGeom>
                      <a:noFill/>
                      <a:ln w="6350">
                        <a:noFill/>
                      </a:ln>
                      <a:effectLst/>
                    </wps:spPr>
                    <wps:txbx>
                      <w:txbxContent>
                        <w:p w14:paraId="40410DD6">
                          <w:pPr>
                            <w:pStyle w:val="21"/>
                            <w:rPr>
                              <w:rFonts w:hint="default" w:eastAsia="宋体"/>
                              <w:lang w:val="en-US" w:eastAsia="zh-CN"/>
                            </w:rPr>
                          </w:pPr>
                          <w:r>
                            <w:t xml:space="preserve">第 </w:t>
                          </w:r>
                          <w:r>
                            <w:fldChar w:fldCharType="begin"/>
                          </w:r>
                          <w:r>
                            <w:instrText xml:space="preserve"> PAGE  \* MERGEFORMAT </w:instrText>
                          </w:r>
                          <w:r>
                            <w:fldChar w:fldCharType="separate"/>
                          </w:r>
                          <w:r>
                            <w:t>6</w:t>
                          </w:r>
                          <w:r>
                            <w:fldChar w:fldCharType="end"/>
                          </w:r>
                          <w:r>
                            <w:t xml:space="preserve"> 页 共 </w:t>
                          </w:r>
                          <w:r>
                            <w:rPr>
                              <w:rFonts w:hint="eastAsia"/>
                              <w:lang w:val="en-US" w:eastAsia="zh-CN"/>
                            </w:rPr>
                            <w:t>68页</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23.75pt;width:78.05pt;mso-position-horizontal:center;mso-position-horizontal-relative:margin;z-index:251661312;mso-width-relative:page;mso-height-relative:page;" filled="f" stroked="f" coordsize="21600,21600" o:gfxdata="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1UPByNMAAAAEAQAADwAAAAAAAAABACAAAAAiAAAAZHJzL2Rv&#10;d25yZXYueG1sUEsBAhQAFAAAAAgAh07iQIDcJzs/AgAAbwQAAA4AAAAAAAAAAQAgAAAAIgEAAGRy&#10;cy9lMm9Eb2MueG1sUEsFBgAAAAAGAAYAWQEAANMFAAAAAA==&#10;">
              <v:fill on="f" focussize="0,0"/>
              <v:stroke on="f" weight="0.5pt"/>
              <v:imagedata o:title=""/>
              <o:lock v:ext="edit" aspectratio="f"/>
              <v:textbox inset="0mm,0mm,0mm,0mm">
                <w:txbxContent>
                  <w:p w14:paraId="40410DD6">
                    <w:pPr>
                      <w:pStyle w:val="21"/>
                      <w:rPr>
                        <w:rFonts w:hint="default" w:eastAsia="宋体"/>
                        <w:lang w:val="en-US" w:eastAsia="zh-CN"/>
                      </w:rPr>
                    </w:pPr>
                    <w:r>
                      <w:t xml:space="preserve">第 </w:t>
                    </w:r>
                    <w:r>
                      <w:fldChar w:fldCharType="begin"/>
                    </w:r>
                    <w:r>
                      <w:instrText xml:space="preserve"> PAGE  \* MERGEFORMAT </w:instrText>
                    </w:r>
                    <w:r>
                      <w:fldChar w:fldCharType="separate"/>
                    </w:r>
                    <w:r>
                      <w:t>6</w:t>
                    </w:r>
                    <w:r>
                      <w:fldChar w:fldCharType="end"/>
                    </w:r>
                    <w:r>
                      <w:t xml:space="preserve"> 页 共 </w:t>
                    </w:r>
                    <w:r>
                      <w:rPr>
                        <w:rFonts w:hint="eastAsia"/>
                        <w:lang w:val="en-US" w:eastAsia="zh-CN"/>
                      </w:rPr>
                      <w:t>68页</w:t>
                    </w:r>
                  </w:p>
                </w:txbxContent>
              </v:textbox>
            </v:shape>
          </w:pict>
        </mc:Fallback>
      </mc:AlternateContent>
    </w:r>
    <w:r>
      <w:rPr>
        <w:rFonts w:hint="eastAsia"/>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F78DA7">
    <w:pPr>
      <w:pStyle w:val="2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7695A5">
                          <w:pPr>
                            <w:pStyle w:val="21"/>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lang w:val="en-US" w:eastAsia="zh-CN"/>
                            </w:rPr>
                            <w:t>68</w:t>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27695A5">
                    <w:pPr>
                      <w:pStyle w:val="21"/>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lang w:val="en-US" w:eastAsia="zh-CN"/>
                      </w:rPr>
                      <w:t>68</w:t>
                    </w:r>
                    <w:r>
                      <w:t>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2ACA13">
    <w:pPr>
      <w:pStyle w:val="2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16A489">
                          <w:pPr>
                            <w:pStyle w:val="21"/>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68</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116A489">
                    <w:pPr>
                      <w:pStyle w:val="21"/>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68</w:t>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90E38E">
    <w:pPr>
      <w:pStyle w:val="2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BA84FE1">
                          <w:pPr>
                            <w:pStyle w:val="21"/>
                          </w:pPr>
                          <w:r>
                            <w:t xml:space="preserve">第 </w:t>
                          </w:r>
                          <w:r>
                            <w:fldChar w:fldCharType="begin"/>
                          </w:r>
                          <w:r>
                            <w:instrText xml:space="preserve"> PAGE  \* MERGEFORMAT </w:instrText>
                          </w:r>
                          <w:r>
                            <w:fldChar w:fldCharType="separate"/>
                          </w:r>
                          <w:r>
                            <w:t>36</w:t>
                          </w:r>
                          <w:r>
                            <w:fldChar w:fldCharType="end"/>
                          </w:r>
                          <w:r>
                            <w:t xml:space="preserve"> 页 共 </w:t>
                          </w:r>
                          <w:r>
                            <w:rPr>
                              <w:rFonts w:hint="eastAsia"/>
                              <w:lang w:val="en-US" w:eastAsia="zh-CN"/>
                            </w:rPr>
                            <w:t>68</w:t>
                          </w:r>
                          <w:r>
                            <w:t xml:space="preserve"> 页</w:t>
                          </w:r>
                        </w:p>
                      </w:txbxContent>
                    </wps:txbx>
                    <wps:bodyPr vert="horz" wrap="none" lIns="0" tIns="0" rIns="0" bIns="0" anchor="t">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ql5uc8AAAAFAQAADwAAAAAAAAABACAAAAAiAAAAZHJz&#10;L2Rvd25yZXYueG1sUEsBAhQAFAAAAAgAh07iQCkaZiLUAQAAswMAAA4AAAAAAAAAAQAgAAAAHgEA&#10;AGRycy9lMm9Eb2MueG1sUEsFBgAAAAAGAAYAWQEAAGQFAAAAAA==&#10;">
              <v:fill on="f" focussize="0,0"/>
              <v:stroke on="f"/>
              <v:imagedata o:title=""/>
              <o:lock v:ext="edit" aspectratio="f"/>
              <v:textbox inset="0mm,0mm,0mm,0mm" style="mso-fit-shape-to-text:t;">
                <w:txbxContent>
                  <w:p w14:paraId="4BA84FE1">
                    <w:pPr>
                      <w:pStyle w:val="21"/>
                    </w:pPr>
                    <w:r>
                      <w:t xml:space="preserve">第 </w:t>
                    </w:r>
                    <w:r>
                      <w:fldChar w:fldCharType="begin"/>
                    </w:r>
                    <w:r>
                      <w:instrText xml:space="preserve"> PAGE  \* MERGEFORMAT </w:instrText>
                    </w:r>
                    <w:r>
                      <w:fldChar w:fldCharType="separate"/>
                    </w:r>
                    <w:r>
                      <w:t>36</w:t>
                    </w:r>
                    <w:r>
                      <w:fldChar w:fldCharType="end"/>
                    </w:r>
                    <w:r>
                      <w:t xml:space="preserve"> 页 共 </w:t>
                    </w:r>
                    <w:r>
                      <w:rPr>
                        <w:rFonts w:hint="eastAsia"/>
                        <w:lang w:val="en-US" w:eastAsia="zh-CN"/>
                      </w:rPr>
                      <w:t>68</w:t>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9BB10B">
    <w:pPr>
      <w:pStyle w:val="21"/>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DBA12">
    <w:pPr>
      <w:pStyle w:val="21"/>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BA95D1">
    <w:pPr>
      <w:pStyle w:val="2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F68596F">
                          <w:pPr>
                            <w:pStyle w:val="21"/>
                          </w:pPr>
                          <w:r>
                            <w:t xml:space="preserve">第 </w:t>
                          </w:r>
                          <w:r>
                            <w:fldChar w:fldCharType="begin"/>
                          </w:r>
                          <w:r>
                            <w:instrText xml:space="preserve"> PAGE  \* MERGEFORMAT </w:instrText>
                          </w:r>
                          <w:r>
                            <w:fldChar w:fldCharType="separate"/>
                          </w:r>
                          <w:r>
                            <w:t>36</w:t>
                          </w:r>
                          <w:r>
                            <w:fldChar w:fldCharType="end"/>
                          </w:r>
                          <w:r>
                            <w:t xml:space="preserve"> 页 共 </w:t>
                          </w:r>
                          <w:r>
                            <w:rPr>
                              <w:rFonts w:hint="eastAsia"/>
                              <w:lang w:val="en-US" w:eastAsia="zh-CN"/>
                            </w:rPr>
                            <w:t xml:space="preserve">68 </w:t>
                          </w:r>
                          <w:r>
                            <w:t>页</w:t>
                          </w:r>
                        </w:p>
                      </w:txbxContent>
                    </wps:txbx>
                    <wps:bodyPr vert="horz" wrap="none" lIns="0" tIns="0" rIns="0" bIns="0" anchor="t">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&#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M6pebnPAAAABQEAAA8AAAAAAAAAAQAgAAAAIgAAAGRy&#10;cy9kb3ducmV2LnhtbFBLAQIUABQAAAAIAIdO4kBBNs/U1QEAALIDAAAOAAAAAAAAAAEAIAAAAB4B&#10;AABkcnMvZTJvRG9jLnhtbFBLBQYAAAAABgAGAFkBAABlBQAAAAA=&#10;">
              <v:fill on="f" focussize="0,0"/>
              <v:stroke on="f"/>
              <v:imagedata o:title=""/>
              <o:lock v:ext="edit" aspectratio="f"/>
              <v:textbox inset="0mm,0mm,0mm,0mm" style="mso-fit-shape-to-text:t;">
                <w:txbxContent>
                  <w:p w14:paraId="4F68596F">
                    <w:pPr>
                      <w:pStyle w:val="21"/>
                    </w:pPr>
                    <w:r>
                      <w:t xml:space="preserve">第 </w:t>
                    </w:r>
                    <w:r>
                      <w:fldChar w:fldCharType="begin"/>
                    </w:r>
                    <w:r>
                      <w:instrText xml:space="preserve"> PAGE  \* MERGEFORMAT </w:instrText>
                    </w:r>
                    <w:r>
                      <w:fldChar w:fldCharType="separate"/>
                    </w:r>
                    <w:r>
                      <w:t>36</w:t>
                    </w:r>
                    <w:r>
                      <w:fldChar w:fldCharType="end"/>
                    </w:r>
                    <w:r>
                      <w:t xml:space="preserve"> 页 共 </w:t>
                    </w:r>
                    <w:r>
                      <w:rPr>
                        <w:rFonts w:hint="eastAsia"/>
                        <w:lang w:val="en-US" w:eastAsia="zh-CN"/>
                      </w:rPr>
                      <w:t xml:space="preserve">68 </w:t>
                    </w:r>
                    <w: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7C3A56">
    <w:pPr>
      <w:pStyle w:val="22"/>
      <w:jc w:val="both"/>
      <w:rPr>
        <w:rFonts w:hint="eastAsia"/>
        <w:lang w:eastAsia="zh-CN"/>
      </w:rPr>
    </w:pPr>
  </w:p>
  <w:p w14:paraId="3DBEC72C">
    <w:pPr>
      <w:pStyle w:val="22"/>
      <w:jc w:val="both"/>
    </w:pPr>
    <w:r>
      <w:rPr>
        <w:rFonts w:hint="eastAsia"/>
        <w:lang w:eastAsia="zh-CN"/>
      </w:rPr>
      <w:t>贵州钟山野马寨热电有限责任公司2025年第十九批次燃煤采购项目</w:t>
    </w:r>
    <w:r>
      <w:rPr>
        <w:rFonts w:hint="eastAsia"/>
        <w:lang w:val="en-US" w:eastAsia="zh-CN"/>
      </w:rPr>
      <w:t>竞争性谈判文件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C33049">
    <w:pPr>
      <w:pStyle w:val="22"/>
      <w:jc w:val="both"/>
      <w:rPr>
        <w:rFonts w:hint="default"/>
        <w:lang w:val="en-US" w:eastAsia="zh-CN"/>
      </w:rPr>
    </w:pPr>
    <w:r>
      <w:rPr>
        <w:rFonts w:hint="eastAsia"/>
        <w:lang w:eastAsia="zh-CN"/>
      </w:rPr>
      <w:t>贵州钟山野马寨热电有限责任公司2025年第十九批次燃煤采购项目</w:t>
    </w:r>
    <w:r>
      <w:rPr>
        <w:rFonts w:hint="eastAsia"/>
        <w:lang w:val="en-US" w:eastAsia="zh-CN"/>
      </w:rPr>
      <w:t>竞争性谈判文件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97A2FE">
    <w:pPr>
      <w:pStyle w:val="2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255160">
    <w:pPr>
      <w:pStyle w:val="22"/>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EE1B24">
    <w:pPr>
      <w:pStyle w:val="22"/>
      <w:jc w:val="both"/>
      <w:rPr>
        <w:rFonts w:hint="eastAsia"/>
        <w:lang w:eastAsia="zh-CN"/>
      </w:rPr>
    </w:pPr>
  </w:p>
  <w:p w14:paraId="19C6ECC0">
    <w:pPr>
      <w:pStyle w:val="22"/>
      <w:jc w:val="both"/>
      <w:rPr>
        <w:rFonts w:hint="eastAsia"/>
        <w:lang w:eastAsia="zh-CN"/>
      </w:rPr>
    </w:pPr>
  </w:p>
  <w:p w14:paraId="22CFF7D6">
    <w:pPr>
      <w:pStyle w:val="22"/>
      <w:jc w:val="both"/>
      <w:rPr>
        <w:rFonts w:hint="default"/>
        <w:lang w:val="en-US" w:eastAsia="zh-CN"/>
      </w:rPr>
    </w:pPr>
    <w:r>
      <w:rPr>
        <w:rFonts w:hint="eastAsia"/>
        <w:lang w:eastAsia="zh-CN"/>
      </w:rPr>
      <w:t>贵州钟山野马寨热电有限责任公司2025年第十九批次燃煤采购项目</w:t>
    </w:r>
    <w:r>
      <w:rPr>
        <w:rFonts w:hint="eastAsia"/>
        <w:lang w:val="en-US" w:eastAsia="zh-CN"/>
      </w:rPr>
      <w:t>竞争性谈判文件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21C427"/>
    <w:multiLevelType w:val="singleLevel"/>
    <w:tmpl w:val="D321C427"/>
    <w:lvl w:ilvl="0" w:tentative="0">
      <w:start w:val="1"/>
      <w:numFmt w:val="decimal"/>
      <w:lvlText w:val="%1."/>
      <w:lvlJc w:val="left"/>
      <w:pPr>
        <w:ind w:left="425" w:hanging="425"/>
      </w:pPr>
      <w:rPr>
        <w:rFonts w:hint="default"/>
      </w:rPr>
    </w:lvl>
  </w:abstractNum>
  <w:abstractNum w:abstractNumId="1">
    <w:nsid w:val="DBD00409"/>
    <w:multiLevelType w:val="singleLevel"/>
    <w:tmpl w:val="DBD00409"/>
    <w:lvl w:ilvl="0" w:tentative="0">
      <w:start w:val="2"/>
      <w:numFmt w:val="chineseCounting"/>
      <w:suff w:val="nothing"/>
      <w:lvlText w:val="%1、"/>
      <w:lvlJc w:val="left"/>
      <w:rPr>
        <w:rFonts w:hint="eastAsia"/>
      </w:rPr>
    </w:lvl>
  </w:abstractNum>
  <w:abstractNum w:abstractNumId="2">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06"/>
      <w:suff w:val="nothing"/>
      <w:lvlText w:val="%1.%2　"/>
      <w:lvlJc w:val="left"/>
      <w:pPr>
        <w:ind w:left="1277"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108"/>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4DFC8498"/>
    <w:multiLevelType w:val="singleLevel"/>
    <w:tmpl w:val="4DFC8498"/>
    <w:lvl w:ilvl="0" w:tentative="0">
      <w:start w:val="10"/>
      <w:numFmt w:val="decimal"/>
      <w:lvlText w:val="%1."/>
      <w:lvlJc w:val="left"/>
      <w:pPr>
        <w:tabs>
          <w:tab w:val="left" w:pos="312"/>
        </w:tabs>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TrueTypeFonts/>
  <w:saveSubsetFonts/>
  <w:bordersDoNotSurroundHeader w:val="0"/>
  <w:bordersDoNotSurroundFooter w:val="0"/>
  <w:documentProtection w:enforcement="0"/>
  <w:defaultTabStop w:val="420"/>
  <w:drawingGridHorizontalSpacing w:val="210"/>
  <w:drawingGridVerticalSpacing w:val="-794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lZDM3Y2VmODU3ODk2MTA4ODQyZDg0ZTc1MTQ5ZTgifQ=="/>
  </w:docVars>
  <w:rsids>
    <w:rsidRoot w:val="00172A27"/>
    <w:rsid w:val="00014A9A"/>
    <w:rsid w:val="00035F83"/>
    <w:rsid w:val="0004552F"/>
    <w:rsid w:val="00046B15"/>
    <w:rsid w:val="0005032E"/>
    <w:rsid w:val="00092E32"/>
    <w:rsid w:val="00092F52"/>
    <w:rsid w:val="00093B97"/>
    <w:rsid w:val="000B54F4"/>
    <w:rsid w:val="000B7C1F"/>
    <w:rsid w:val="000D0466"/>
    <w:rsid w:val="0010647D"/>
    <w:rsid w:val="0015263F"/>
    <w:rsid w:val="0015710C"/>
    <w:rsid w:val="00167BF2"/>
    <w:rsid w:val="00172A27"/>
    <w:rsid w:val="00175DB1"/>
    <w:rsid w:val="001920B2"/>
    <w:rsid w:val="00192B20"/>
    <w:rsid w:val="00195F09"/>
    <w:rsid w:val="001977ED"/>
    <w:rsid w:val="001979EA"/>
    <w:rsid w:val="001D12A9"/>
    <w:rsid w:val="001F10C4"/>
    <w:rsid w:val="001F4BB6"/>
    <w:rsid w:val="00212D87"/>
    <w:rsid w:val="00217550"/>
    <w:rsid w:val="002242EE"/>
    <w:rsid w:val="002538E1"/>
    <w:rsid w:val="002621A1"/>
    <w:rsid w:val="00263D0C"/>
    <w:rsid w:val="002712EA"/>
    <w:rsid w:val="00275992"/>
    <w:rsid w:val="00277BB1"/>
    <w:rsid w:val="00281616"/>
    <w:rsid w:val="0028589D"/>
    <w:rsid w:val="002A10E1"/>
    <w:rsid w:val="002B32B7"/>
    <w:rsid w:val="002C1D83"/>
    <w:rsid w:val="002F3CBE"/>
    <w:rsid w:val="002F4186"/>
    <w:rsid w:val="00302106"/>
    <w:rsid w:val="0031415D"/>
    <w:rsid w:val="00316219"/>
    <w:rsid w:val="00320628"/>
    <w:rsid w:val="003368E8"/>
    <w:rsid w:val="0034643A"/>
    <w:rsid w:val="00353716"/>
    <w:rsid w:val="003576FF"/>
    <w:rsid w:val="003615CA"/>
    <w:rsid w:val="003A4951"/>
    <w:rsid w:val="003C693D"/>
    <w:rsid w:val="003D27BC"/>
    <w:rsid w:val="003F3558"/>
    <w:rsid w:val="00416038"/>
    <w:rsid w:val="004167B6"/>
    <w:rsid w:val="004230BF"/>
    <w:rsid w:val="0043095B"/>
    <w:rsid w:val="004310E9"/>
    <w:rsid w:val="00436615"/>
    <w:rsid w:val="004452DB"/>
    <w:rsid w:val="004457D3"/>
    <w:rsid w:val="00450286"/>
    <w:rsid w:val="00457F99"/>
    <w:rsid w:val="004613A3"/>
    <w:rsid w:val="004703A2"/>
    <w:rsid w:val="00471751"/>
    <w:rsid w:val="00471E52"/>
    <w:rsid w:val="00472D48"/>
    <w:rsid w:val="004774AA"/>
    <w:rsid w:val="004A4327"/>
    <w:rsid w:val="004C121B"/>
    <w:rsid w:val="004C394D"/>
    <w:rsid w:val="004D6AF2"/>
    <w:rsid w:val="004D7F98"/>
    <w:rsid w:val="004E084D"/>
    <w:rsid w:val="004F3456"/>
    <w:rsid w:val="004F7E63"/>
    <w:rsid w:val="00505103"/>
    <w:rsid w:val="00527F51"/>
    <w:rsid w:val="00544F1F"/>
    <w:rsid w:val="005474D1"/>
    <w:rsid w:val="00557555"/>
    <w:rsid w:val="00560890"/>
    <w:rsid w:val="005B0DDF"/>
    <w:rsid w:val="005B3AE4"/>
    <w:rsid w:val="005D3955"/>
    <w:rsid w:val="005D68C1"/>
    <w:rsid w:val="005E2432"/>
    <w:rsid w:val="005E5A3B"/>
    <w:rsid w:val="005F7430"/>
    <w:rsid w:val="006167BC"/>
    <w:rsid w:val="00626AA9"/>
    <w:rsid w:val="00642E78"/>
    <w:rsid w:val="0065779E"/>
    <w:rsid w:val="006B4ED9"/>
    <w:rsid w:val="0070053C"/>
    <w:rsid w:val="007040E8"/>
    <w:rsid w:val="00705BC4"/>
    <w:rsid w:val="0071525E"/>
    <w:rsid w:val="00717A08"/>
    <w:rsid w:val="00725935"/>
    <w:rsid w:val="00732579"/>
    <w:rsid w:val="0073628B"/>
    <w:rsid w:val="00742A7B"/>
    <w:rsid w:val="00751329"/>
    <w:rsid w:val="00756FEE"/>
    <w:rsid w:val="0077673D"/>
    <w:rsid w:val="007778F3"/>
    <w:rsid w:val="0078471E"/>
    <w:rsid w:val="007A32DB"/>
    <w:rsid w:val="007A5574"/>
    <w:rsid w:val="007A6717"/>
    <w:rsid w:val="007B659C"/>
    <w:rsid w:val="007B6CEF"/>
    <w:rsid w:val="007C1AFE"/>
    <w:rsid w:val="007E4685"/>
    <w:rsid w:val="007F3984"/>
    <w:rsid w:val="007F54A9"/>
    <w:rsid w:val="0081269A"/>
    <w:rsid w:val="008562F5"/>
    <w:rsid w:val="008745AA"/>
    <w:rsid w:val="008B0B4A"/>
    <w:rsid w:val="008C2654"/>
    <w:rsid w:val="008E1CD2"/>
    <w:rsid w:val="008E4F0C"/>
    <w:rsid w:val="008E6312"/>
    <w:rsid w:val="008F25C7"/>
    <w:rsid w:val="009175F9"/>
    <w:rsid w:val="00952E67"/>
    <w:rsid w:val="00960403"/>
    <w:rsid w:val="0097496D"/>
    <w:rsid w:val="009770C6"/>
    <w:rsid w:val="0098261A"/>
    <w:rsid w:val="00995753"/>
    <w:rsid w:val="00996E1D"/>
    <w:rsid w:val="009B23D6"/>
    <w:rsid w:val="009C672E"/>
    <w:rsid w:val="009F1BBE"/>
    <w:rsid w:val="009F2585"/>
    <w:rsid w:val="009F3D91"/>
    <w:rsid w:val="00A1480E"/>
    <w:rsid w:val="00A436D9"/>
    <w:rsid w:val="00A43922"/>
    <w:rsid w:val="00A44131"/>
    <w:rsid w:val="00A47752"/>
    <w:rsid w:val="00A54B1E"/>
    <w:rsid w:val="00A645A0"/>
    <w:rsid w:val="00A77B7E"/>
    <w:rsid w:val="00A91E4F"/>
    <w:rsid w:val="00AA2ACA"/>
    <w:rsid w:val="00AA6CC7"/>
    <w:rsid w:val="00AC7494"/>
    <w:rsid w:val="00AD534F"/>
    <w:rsid w:val="00AD70F6"/>
    <w:rsid w:val="00AF03D4"/>
    <w:rsid w:val="00B14CA7"/>
    <w:rsid w:val="00B228EE"/>
    <w:rsid w:val="00B25C62"/>
    <w:rsid w:val="00B43A09"/>
    <w:rsid w:val="00B47223"/>
    <w:rsid w:val="00B5002C"/>
    <w:rsid w:val="00B55304"/>
    <w:rsid w:val="00B664F7"/>
    <w:rsid w:val="00B744F8"/>
    <w:rsid w:val="00B81165"/>
    <w:rsid w:val="00B9011A"/>
    <w:rsid w:val="00B95F1E"/>
    <w:rsid w:val="00BA4D9B"/>
    <w:rsid w:val="00BB0E8B"/>
    <w:rsid w:val="00BC14D4"/>
    <w:rsid w:val="00BC5339"/>
    <w:rsid w:val="00BF7AD7"/>
    <w:rsid w:val="00C04D52"/>
    <w:rsid w:val="00C15C09"/>
    <w:rsid w:val="00C20B7B"/>
    <w:rsid w:val="00C3301A"/>
    <w:rsid w:val="00C503C7"/>
    <w:rsid w:val="00C62A00"/>
    <w:rsid w:val="00C657CE"/>
    <w:rsid w:val="00C73516"/>
    <w:rsid w:val="00C854E9"/>
    <w:rsid w:val="00CA4779"/>
    <w:rsid w:val="00CA49BA"/>
    <w:rsid w:val="00CD7872"/>
    <w:rsid w:val="00CE052C"/>
    <w:rsid w:val="00D1471E"/>
    <w:rsid w:val="00D1699D"/>
    <w:rsid w:val="00D26845"/>
    <w:rsid w:val="00D35930"/>
    <w:rsid w:val="00D369F6"/>
    <w:rsid w:val="00D5279F"/>
    <w:rsid w:val="00D70478"/>
    <w:rsid w:val="00DA5612"/>
    <w:rsid w:val="00DB3648"/>
    <w:rsid w:val="00DB4218"/>
    <w:rsid w:val="00E02398"/>
    <w:rsid w:val="00E148B9"/>
    <w:rsid w:val="00E30C03"/>
    <w:rsid w:val="00E343D0"/>
    <w:rsid w:val="00E4683D"/>
    <w:rsid w:val="00E524B2"/>
    <w:rsid w:val="00E52A28"/>
    <w:rsid w:val="00E56194"/>
    <w:rsid w:val="00E61609"/>
    <w:rsid w:val="00E61F5F"/>
    <w:rsid w:val="00E81F51"/>
    <w:rsid w:val="00E93D63"/>
    <w:rsid w:val="00EA3708"/>
    <w:rsid w:val="00EB03D5"/>
    <w:rsid w:val="00EB7BD0"/>
    <w:rsid w:val="00EB7CD3"/>
    <w:rsid w:val="00EC20B0"/>
    <w:rsid w:val="00EC28FD"/>
    <w:rsid w:val="00ED79A4"/>
    <w:rsid w:val="00EF18BE"/>
    <w:rsid w:val="00F02530"/>
    <w:rsid w:val="00F051C7"/>
    <w:rsid w:val="00F11718"/>
    <w:rsid w:val="00F26E49"/>
    <w:rsid w:val="00F40FFF"/>
    <w:rsid w:val="00F6030A"/>
    <w:rsid w:val="00F62ABF"/>
    <w:rsid w:val="00F71891"/>
    <w:rsid w:val="00F73182"/>
    <w:rsid w:val="00F91DC5"/>
    <w:rsid w:val="00F92DE5"/>
    <w:rsid w:val="00FC25BD"/>
    <w:rsid w:val="00FC4E86"/>
    <w:rsid w:val="00FD09E9"/>
    <w:rsid w:val="01065DE7"/>
    <w:rsid w:val="0123280C"/>
    <w:rsid w:val="01391408"/>
    <w:rsid w:val="01396F8F"/>
    <w:rsid w:val="0143262D"/>
    <w:rsid w:val="0144720F"/>
    <w:rsid w:val="015A3E73"/>
    <w:rsid w:val="017517EA"/>
    <w:rsid w:val="01753040"/>
    <w:rsid w:val="01753F19"/>
    <w:rsid w:val="017F3C44"/>
    <w:rsid w:val="01800261"/>
    <w:rsid w:val="01811F33"/>
    <w:rsid w:val="01814321"/>
    <w:rsid w:val="01857094"/>
    <w:rsid w:val="0192272C"/>
    <w:rsid w:val="01C42C32"/>
    <w:rsid w:val="01E01AA7"/>
    <w:rsid w:val="01E21BEF"/>
    <w:rsid w:val="01E758BF"/>
    <w:rsid w:val="01F204B7"/>
    <w:rsid w:val="01F8600B"/>
    <w:rsid w:val="020B5F39"/>
    <w:rsid w:val="02183E14"/>
    <w:rsid w:val="021C19C3"/>
    <w:rsid w:val="022F204E"/>
    <w:rsid w:val="023B2435"/>
    <w:rsid w:val="025F301D"/>
    <w:rsid w:val="02631F5B"/>
    <w:rsid w:val="0264674A"/>
    <w:rsid w:val="026954E1"/>
    <w:rsid w:val="028440D1"/>
    <w:rsid w:val="028922ED"/>
    <w:rsid w:val="028A4DE3"/>
    <w:rsid w:val="028F3C95"/>
    <w:rsid w:val="029C7664"/>
    <w:rsid w:val="029F5956"/>
    <w:rsid w:val="02AC676D"/>
    <w:rsid w:val="02AC684A"/>
    <w:rsid w:val="02B417BA"/>
    <w:rsid w:val="02B8553C"/>
    <w:rsid w:val="02C17E8D"/>
    <w:rsid w:val="02CC7AC5"/>
    <w:rsid w:val="02D31644"/>
    <w:rsid w:val="02DB6C9D"/>
    <w:rsid w:val="02EC240D"/>
    <w:rsid w:val="02F62AAC"/>
    <w:rsid w:val="030D4B51"/>
    <w:rsid w:val="03115676"/>
    <w:rsid w:val="031F0349"/>
    <w:rsid w:val="03273517"/>
    <w:rsid w:val="034832A1"/>
    <w:rsid w:val="034E2494"/>
    <w:rsid w:val="035052F1"/>
    <w:rsid w:val="036635B9"/>
    <w:rsid w:val="03747B08"/>
    <w:rsid w:val="038630F3"/>
    <w:rsid w:val="038924A7"/>
    <w:rsid w:val="038B1487"/>
    <w:rsid w:val="0394675E"/>
    <w:rsid w:val="03AE4842"/>
    <w:rsid w:val="03AF313C"/>
    <w:rsid w:val="03BF3134"/>
    <w:rsid w:val="03C10179"/>
    <w:rsid w:val="03CC7825"/>
    <w:rsid w:val="03D95D15"/>
    <w:rsid w:val="03DA74FE"/>
    <w:rsid w:val="03DA7C4D"/>
    <w:rsid w:val="03DE5159"/>
    <w:rsid w:val="03E37468"/>
    <w:rsid w:val="03FC24C1"/>
    <w:rsid w:val="040B6921"/>
    <w:rsid w:val="040F1757"/>
    <w:rsid w:val="04220F4D"/>
    <w:rsid w:val="04344513"/>
    <w:rsid w:val="04382126"/>
    <w:rsid w:val="043E6E78"/>
    <w:rsid w:val="044804D8"/>
    <w:rsid w:val="044F4BC8"/>
    <w:rsid w:val="0460275F"/>
    <w:rsid w:val="047119EF"/>
    <w:rsid w:val="04824209"/>
    <w:rsid w:val="04991769"/>
    <w:rsid w:val="049D6F59"/>
    <w:rsid w:val="04AA769F"/>
    <w:rsid w:val="04B32441"/>
    <w:rsid w:val="04B85574"/>
    <w:rsid w:val="04BA7050"/>
    <w:rsid w:val="04CD2EEF"/>
    <w:rsid w:val="04CE4FF4"/>
    <w:rsid w:val="04E97E70"/>
    <w:rsid w:val="04EF7571"/>
    <w:rsid w:val="04FE33FE"/>
    <w:rsid w:val="051A4149"/>
    <w:rsid w:val="051C77E5"/>
    <w:rsid w:val="05257DE5"/>
    <w:rsid w:val="05296199"/>
    <w:rsid w:val="052E7EAD"/>
    <w:rsid w:val="053106AB"/>
    <w:rsid w:val="053267EE"/>
    <w:rsid w:val="054A0456"/>
    <w:rsid w:val="0560279A"/>
    <w:rsid w:val="056F0211"/>
    <w:rsid w:val="05761E73"/>
    <w:rsid w:val="057E5BFC"/>
    <w:rsid w:val="058E0C07"/>
    <w:rsid w:val="0597048D"/>
    <w:rsid w:val="059D179F"/>
    <w:rsid w:val="05A57EDC"/>
    <w:rsid w:val="05B168E1"/>
    <w:rsid w:val="05BA0A45"/>
    <w:rsid w:val="05E149D1"/>
    <w:rsid w:val="05EE2746"/>
    <w:rsid w:val="05F036D7"/>
    <w:rsid w:val="05F06431"/>
    <w:rsid w:val="05FA6740"/>
    <w:rsid w:val="060316C1"/>
    <w:rsid w:val="06087487"/>
    <w:rsid w:val="06136125"/>
    <w:rsid w:val="061B678D"/>
    <w:rsid w:val="06226438"/>
    <w:rsid w:val="062A34E4"/>
    <w:rsid w:val="06393A6E"/>
    <w:rsid w:val="06476E8E"/>
    <w:rsid w:val="064A58FA"/>
    <w:rsid w:val="064E3A0D"/>
    <w:rsid w:val="065778DD"/>
    <w:rsid w:val="065C042D"/>
    <w:rsid w:val="06715264"/>
    <w:rsid w:val="067D00B9"/>
    <w:rsid w:val="069E49F7"/>
    <w:rsid w:val="06A14C9D"/>
    <w:rsid w:val="06A25511"/>
    <w:rsid w:val="06A36CDD"/>
    <w:rsid w:val="06A94DF5"/>
    <w:rsid w:val="06B403EB"/>
    <w:rsid w:val="06BB1235"/>
    <w:rsid w:val="06BE507A"/>
    <w:rsid w:val="07112AE2"/>
    <w:rsid w:val="07265ED5"/>
    <w:rsid w:val="07323909"/>
    <w:rsid w:val="07362FF4"/>
    <w:rsid w:val="073B034D"/>
    <w:rsid w:val="077435FC"/>
    <w:rsid w:val="078F69E2"/>
    <w:rsid w:val="07D54A42"/>
    <w:rsid w:val="07DD5EE3"/>
    <w:rsid w:val="07DF49C2"/>
    <w:rsid w:val="07F27B35"/>
    <w:rsid w:val="08010C82"/>
    <w:rsid w:val="08190F84"/>
    <w:rsid w:val="08197A0D"/>
    <w:rsid w:val="081E4F52"/>
    <w:rsid w:val="08276B0F"/>
    <w:rsid w:val="0832015B"/>
    <w:rsid w:val="08825D46"/>
    <w:rsid w:val="08834566"/>
    <w:rsid w:val="089475AF"/>
    <w:rsid w:val="08CA4F30"/>
    <w:rsid w:val="08DE70EC"/>
    <w:rsid w:val="08EA20ED"/>
    <w:rsid w:val="08F549F4"/>
    <w:rsid w:val="08F774EA"/>
    <w:rsid w:val="09002D63"/>
    <w:rsid w:val="09041643"/>
    <w:rsid w:val="090B247F"/>
    <w:rsid w:val="090C755A"/>
    <w:rsid w:val="090E1404"/>
    <w:rsid w:val="0910789B"/>
    <w:rsid w:val="091D604C"/>
    <w:rsid w:val="09285D76"/>
    <w:rsid w:val="093C44A0"/>
    <w:rsid w:val="094B19DA"/>
    <w:rsid w:val="09575785"/>
    <w:rsid w:val="097F383C"/>
    <w:rsid w:val="0990346D"/>
    <w:rsid w:val="099117BA"/>
    <w:rsid w:val="09952D70"/>
    <w:rsid w:val="099D1AB9"/>
    <w:rsid w:val="09C2257E"/>
    <w:rsid w:val="09CB017B"/>
    <w:rsid w:val="09ED4AB8"/>
    <w:rsid w:val="09EE1958"/>
    <w:rsid w:val="09FA1F60"/>
    <w:rsid w:val="0A0A2FEC"/>
    <w:rsid w:val="0A113256"/>
    <w:rsid w:val="0A2125A3"/>
    <w:rsid w:val="0A2A113F"/>
    <w:rsid w:val="0A38771E"/>
    <w:rsid w:val="0A411DA5"/>
    <w:rsid w:val="0A4674EF"/>
    <w:rsid w:val="0A5D76E8"/>
    <w:rsid w:val="0AA21CBD"/>
    <w:rsid w:val="0AB10EC8"/>
    <w:rsid w:val="0AC87043"/>
    <w:rsid w:val="0ACE1DDC"/>
    <w:rsid w:val="0ACE72D9"/>
    <w:rsid w:val="0ADE633B"/>
    <w:rsid w:val="0AE22F6A"/>
    <w:rsid w:val="0AF165D7"/>
    <w:rsid w:val="0AF370C7"/>
    <w:rsid w:val="0AF93C3A"/>
    <w:rsid w:val="0B051F52"/>
    <w:rsid w:val="0B063D84"/>
    <w:rsid w:val="0B0B2852"/>
    <w:rsid w:val="0B0D54CB"/>
    <w:rsid w:val="0B257640"/>
    <w:rsid w:val="0B364C0E"/>
    <w:rsid w:val="0B4323AD"/>
    <w:rsid w:val="0B594E57"/>
    <w:rsid w:val="0B715981"/>
    <w:rsid w:val="0B7657F9"/>
    <w:rsid w:val="0B7B4751"/>
    <w:rsid w:val="0B8C14EC"/>
    <w:rsid w:val="0B8C41E4"/>
    <w:rsid w:val="0B8D05B1"/>
    <w:rsid w:val="0B8D249B"/>
    <w:rsid w:val="0B95668F"/>
    <w:rsid w:val="0BAE1260"/>
    <w:rsid w:val="0BBF2CF2"/>
    <w:rsid w:val="0BD3425D"/>
    <w:rsid w:val="0BD35B73"/>
    <w:rsid w:val="0BD74C8F"/>
    <w:rsid w:val="0BE81B6C"/>
    <w:rsid w:val="0BF432BE"/>
    <w:rsid w:val="0C010979"/>
    <w:rsid w:val="0C021A9C"/>
    <w:rsid w:val="0C15729A"/>
    <w:rsid w:val="0C18698E"/>
    <w:rsid w:val="0C364FEA"/>
    <w:rsid w:val="0C402D91"/>
    <w:rsid w:val="0C491E28"/>
    <w:rsid w:val="0C5361FA"/>
    <w:rsid w:val="0C561E06"/>
    <w:rsid w:val="0C70334A"/>
    <w:rsid w:val="0C767B61"/>
    <w:rsid w:val="0C794397"/>
    <w:rsid w:val="0CB61E59"/>
    <w:rsid w:val="0CD254BB"/>
    <w:rsid w:val="0CE265BB"/>
    <w:rsid w:val="0CF6628A"/>
    <w:rsid w:val="0CFA6C35"/>
    <w:rsid w:val="0CFB5155"/>
    <w:rsid w:val="0CFD1CCC"/>
    <w:rsid w:val="0D181808"/>
    <w:rsid w:val="0D1A7AE4"/>
    <w:rsid w:val="0D4D215F"/>
    <w:rsid w:val="0D5E6BAC"/>
    <w:rsid w:val="0D5F6F77"/>
    <w:rsid w:val="0D651000"/>
    <w:rsid w:val="0D7107D5"/>
    <w:rsid w:val="0D7F743E"/>
    <w:rsid w:val="0D841727"/>
    <w:rsid w:val="0D843F88"/>
    <w:rsid w:val="0D9103F1"/>
    <w:rsid w:val="0D99476A"/>
    <w:rsid w:val="0D9B473B"/>
    <w:rsid w:val="0DA036F5"/>
    <w:rsid w:val="0DA66D6E"/>
    <w:rsid w:val="0DC56952"/>
    <w:rsid w:val="0DC86634"/>
    <w:rsid w:val="0DD00B0A"/>
    <w:rsid w:val="0DDA4E59"/>
    <w:rsid w:val="0DEB552A"/>
    <w:rsid w:val="0DFA0141"/>
    <w:rsid w:val="0DFD7A41"/>
    <w:rsid w:val="0E007B4B"/>
    <w:rsid w:val="0E1414B8"/>
    <w:rsid w:val="0E175D24"/>
    <w:rsid w:val="0E1B7B18"/>
    <w:rsid w:val="0E4A4964"/>
    <w:rsid w:val="0E6335C5"/>
    <w:rsid w:val="0E7516AA"/>
    <w:rsid w:val="0E7A3B96"/>
    <w:rsid w:val="0E885D19"/>
    <w:rsid w:val="0E8A6F0A"/>
    <w:rsid w:val="0E8E5580"/>
    <w:rsid w:val="0E902DA1"/>
    <w:rsid w:val="0E9F6A5A"/>
    <w:rsid w:val="0EA675EC"/>
    <w:rsid w:val="0EB970FB"/>
    <w:rsid w:val="0EBF026B"/>
    <w:rsid w:val="0EC21AE4"/>
    <w:rsid w:val="0EF82A1F"/>
    <w:rsid w:val="0F021F3C"/>
    <w:rsid w:val="0F0F772D"/>
    <w:rsid w:val="0F107D2E"/>
    <w:rsid w:val="0F131BCA"/>
    <w:rsid w:val="0F196B0D"/>
    <w:rsid w:val="0F2B71B7"/>
    <w:rsid w:val="0F2D1179"/>
    <w:rsid w:val="0F3E6805"/>
    <w:rsid w:val="0F4A2B8E"/>
    <w:rsid w:val="0F4C1EB7"/>
    <w:rsid w:val="0F5F3939"/>
    <w:rsid w:val="0F5F6955"/>
    <w:rsid w:val="0F612C93"/>
    <w:rsid w:val="0F643C31"/>
    <w:rsid w:val="0F6F2A02"/>
    <w:rsid w:val="0F7B3597"/>
    <w:rsid w:val="0F802EA9"/>
    <w:rsid w:val="0F835B4B"/>
    <w:rsid w:val="0F9A3CCE"/>
    <w:rsid w:val="0F9C270F"/>
    <w:rsid w:val="0F9D6655"/>
    <w:rsid w:val="0FA537B2"/>
    <w:rsid w:val="0FBA0A60"/>
    <w:rsid w:val="0FC14E8C"/>
    <w:rsid w:val="0FC61495"/>
    <w:rsid w:val="0FDB63FF"/>
    <w:rsid w:val="0FE05F81"/>
    <w:rsid w:val="0FE12B5A"/>
    <w:rsid w:val="0FE61C39"/>
    <w:rsid w:val="0FED7699"/>
    <w:rsid w:val="0FF02D9D"/>
    <w:rsid w:val="0FF15F23"/>
    <w:rsid w:val="0FF70ABF"/>
    <w:rsid w:val="0FF808EE"/>
    <w:rsid w:val="0FFE5E85"/>
    <w:rsid w:val="10014BD2"/>
    <w:rsid w:val="10167A62"/>
    <w:rsid w:val="10324437"/>
    <w:rsid w:val="10517C58"/>
    <w:rsid w:val="10603777"/>
    <w:rsid w:val="106B02B6"/>
    <w:rsid w:val="106D7F07"/>
    <w:rsid w:val="107C0E03"/>
    <w:rsid w:val="107C6C42"/>
    <w:rsid w:val="10836904"/>
    <w:rsid w:val="108850AD"/>
    <w:rsid w:val="10A047B7"/>
    <w:rsid w:val="10A6213E"/>
    <w:rsid w:val="10B62AD3"/>
    <w:rsid w:val="10C804C9"/>
    <w:rsid w:val="11081AF6"/>
    <w:rsid w:val="1108366A"/>
    <w:rsid w:val="111037F5"/>
    <w:rsid w:val="11112630"/>
    <w:rsid w:val="11265DA5"/>
    <w:rsid w:val="112E2F68"/>
    <w:rsid w:val="113A21DB"/>
    <w:rsid w:val="113F7992"/>
    <w:rsid w:val="11436282"/>
    <w:rsid w:val="1143706C"/>
    <w:rsid w:val="11442514"/>
    <w:rsid w:val="11464B1B"/>
    <w:rsid w:val="114D556F"/>
    <w:rsid w:val="114D5574"/>
    <w:rsid w:val="115A0E16"/>
    <w:rsid w:val="1163513A"/>
    <w:rsid w:val="11666CC8"/>
    <w:rsid w:val="11761125"/>
    <w:rsid w:val="1177270A"/>
    <w:rsid w:val="117A4112"/>
    <w:rsid w:val="119C3E93"/>
    <w:rsid w:val="11B76FE0"/>
    <w:rsid w:val="11CA158E"/>
    <w:rsid w:val="11D96691"/>
    <w:rsid w:val="11DC70AE"/>
    <w:rsid w:val="11F2187D"/>
    <w:rsid w:val="1216355E"/>
    <w:rsid w:val="12192D29"/>
    <w:rsid w:val="122001D3"/>
    <w:rsid w:val="122218E8"/>
    <w:rsid w:val="1225220F"/>
    <w:rsid w:val="122D6129"/>
    <w:rsid w:val="1232769D"/>
    <w:rsid w:val="12347041"/>
    <w:rsid w:val="123A06ED"/>
    <w:rsid w:val="123A28B9"/>
    <w:rsid w:val="123D1AFA"/>
    <w:rsid w:val="12402C3A"/>
    <w:rsid w:val="12426E2B"/>
    <w:rsid w:val="12463B07"/>
    <w:rsid w:val="125540D5"/>
    <w:rsid w:val="125835AC"/>
    <w:rsid w:val="126F69AC"/>
    <w:rsid w:val="127731ED"/>
    <w:rsid w:val="12773C7B"/>
    <w:rsid w:val="127A31A8"/>
    <w:rsid w:val="127F2291"/>
    <w:rsid w:val="127F55EC"/>
    <w:rsid w:val="12870AC3"/>
    <w:rsid w:val="12917E71"/>
    <w:rsid w:val="12A9247D"/>
    <w:rsid w:val="12AA41FC"/>
    <w:rsid w:val="12B942BD"/>
    <w:rsid w:val="12C518E9"/>
    <w:rsid w:val="12C63175"/>
    <w:rsid w:val="12DD0990"/>
    <w:rsid w:val="13010ED3"/>
    <w:rsid w:val="13071040"/>
    <w:rsid w:val="130A6451"/>
    <w:rsid w:val="130C5C3C"/>
    <w:rsid w:val="131B2573"/>
    <w:rsid w:val="132126EA"/>
    <w:rsid w:val="13593FA6"/>
    <w:rsid w:val="13653275"/>
    <w:rsid w:val="136D43BE"/>
    <w:rsid w:val="13782829"/>
    <w:rsid w:val="138D3063"/>
    <w:rsid w:val="13A12280"/>
    <w:rsid w:val="13A62CD3"/>
    <w:rsid w:val="13A70A3A"/>
    <w:rsid w:val="13D71831"/>
    <w:rsid w:val="13DC2D75"/>
    <w:rsid w:val="13F13588"/>
    <w:rsid w:val="13F43F1B"/>
    <w:rsid w:val="13F822E7"/>
    <w:rsid w:val="13FB3EE9"/>
    <w:rsid w:val="13FB7DA2"/>
    <w:rsid w:val="14075BD3"/>
    <w:rsid w:val="14096AE8"/>
    <w:rsid w:val="14172E9F"/>
    <w:rsid w:val="14197B4E"/>
    <w:rsid w:val="141C227A"/>
    <w:rsid w:val="14223E32"/>
    <w:rsid w:val="1430150A"/>
    <w:rsid w:val="144936CB"/>
    <w:rsid w:val="14517A1A"/>
    <w:rsid w:val="14566DF0"/>
    <w:rsid w:val="145B6663"/>
    <w:rsid w:val="14690C90"/>
    <w:rsid w:val="147070FF"/>
    <w:rsid w:val="14861AC7"/>
    <w:rsid w:val="14931DF4"/>
    <w:rsid w:val="1495246B"/>
    <w:rsid w:val="149D2FA5"/>
    <w:rsid w:val="14B105EB"/>
    <w:rsid w:val="14B15A4D"/>
    <w:rsid w:val="14C81FC4"/>
    <w:rsid w:val="14CA19A7"/>
    <w:rsid w:val="14D42266"/>
    <w:rsid w:val="14DB3F10"/>
    <w:rsid w:val="14EA0B7F"/>
    <w:rsid w:val="14F26859"/>
    <w:rsid w:val="14F72D95"/>
    <w:rsid w:val="15062A5F"/>
    <w:rsid w:val="150C5027"/>
    <w:rsid w:val="151542F6"/>
    <w:rsid w:val="15305FD6"/>
    <w:rsid w:val="15326E7A"/>
    <w:rsid w:val="15330BAA"/>
    <w:rsid w:val="15466313"/>
    <w:rsid w:val="154930BA"/>
    <w:rsid w:val="155E42EA"/>
    <w:rsid w:val="156F59A0"/>
    <w:rsid w:val="157C5A64"/>
    <w:rsid w:val="15840CB0"/>
    <w:rsid w:val="15841F1D"/>
    <w:rsid w:val="15A71403"/>
    <w:rsid w:val="15A834C7"/>
    <w:rsid w:val="15AB17E2"/>
    <w:rsid w:val="15F57AE0"/>
    <w:rsid w:val="1607402E"/>
    <w:rsid w:val="16166D91"/>
    <w:rsid w:val="161C1C5D"/>
    <w:rsid w:val="16207B0D"/>
    <w:rsid w:val="16320DFF"/>
    <w:rsid w:val="16322AAF"/>
    <w:rsid w:val="16401FF6"/>
    <w:rsid w:val="1649757F"/>
    <w:rsid w:val="164D09A7"/>
    <w:rsid w:val="165B5480"/>
    <w:rsid w:val="165B78BB"/>
    <w:rsid w:val="165D00EA"/>
    <w:rsid w:val="166445FC"/>
    <w:rsid w:val="16690612"/>
    <w:rsid w:val="166B3759"/>
    <w:rsid w:val="168D0158"/>
    <w:rsid w:val="16AD4D0B"/>
    <w:rsid w:val="16B1181B"/>
    <w:rsid w:val="16C33F4C"/>
    <w:rsid w:val="16CB0094"/>
    <w:rsid w:val="16E107B6"/>
    <w:rsid w:val="16E60300"/>
    <w:rsid w:val="16E758C8"/>
    <w:rsid w:val="16F17D5F"/>
    <w:rsid w:val="17045B72"/>
    <w:rsid w:val="170900B2"/>
    <w:rsid w:val="17111342"/>
    <w:rsid w:val="171F3B20"/>
    <w:rsid w:val="17295FDF"/>
    <w:rsid w:val="17344B43"/>
    <w:rsid w:val="17383514"/>
    <w:rsid w:val="175510CA"/>
    <w:rsid w:val="176B18B5"/>
    <w:rsid w:val="17836BED"/>
    <w:rsid w:val="178F4D05"/>
    <w:rsid w:val="17C55A69"/>
    <w:rsid w:val="17C600FB"/>
    <w:rsid w:val="17C70F9C"/>
    <w:rsid w:val="17D26C83"/>
    <w:rsid w:val="17E3317D"/>
    <w:rsid w:val="17F05810"/>
    <w:rsid w:val="18022E0A"/>
    <w:rsid w:val="18096A32"/>
    <w:rsid w:val="180D2E95"/>
    <w:rsid w:val="181430FB"/>
    <w:rsid w:val="18187432"/>
    <w:rsid w:val="18221913"/>
    <w:rsid w:val="18570E06"/>
    <w:rsid w:val="185719A0"/>
    <w:rsid w:val="185D5590"/>
    <w:rsid w:val="18735ED5"/>
    <w:rsid w:val="18780DA1"/>
    <w:rsid w:val="18873E82"/>
    <w:rsid w:val="188C72BE"/>
    <w:rsid w:val="18B67BCE"/>
    <w:rsid w:val="18BE4DE7"/>
    <w:rsid w:val="18C27486"/>
    <w:rsid w:val="18C837EE"/>
    <w:rsid w:val="18D53478"/>
    <w:rsid w:val="18E5420D"/>
    <w:rsid w:val="18FD5062"/>
    <w:rsid w:val="190D6FA2"/>
    <w:rsid w:val="191550F7"/>
    <w:rsid w:val="192505AD"/>
    <w:rsid w:val="192B02E9"/>
    <w:rsid w:val="1933031B"/>
    <w:rsid w:val="194D30BC"/>
    <w:rsid w:val="19794B29"/>
    <w:rsid w:val="197D1427"/>
    <w:rsid w:val="19836A30"/>
    <w:rsid w:val="19875CBF"/>
    <w:rsid w:val="19943801"/>
    <w:rsid w:val="199F57A1"/>
    <w:rsid w:val="19A929A2"/>
    <w:rsid w:val="19AC78DA"/>
    <w:rsid w:val="19B66942"/>
    <w:rsid w:val="19BE0CBE"/>
    <w:rsid w:val="19D60557"/>
    <w:rsid w:val="19EF3784"/>
    <w:rsid w:val="19F66CBD"/>
    <w:rsid w:val="1A025ED7"/>
    <w:rsid w:val="1A0962D1"/>
    <w:rsid w:val="1A100E5C"/>
    <w:rsid w:val="1A180605"/>
    <w:rsid w:val="1A233591"/>
    <w:rsid w:val="1A263EAF"/>
    <w:rsid w:val="1A293026"/>
    <w:rsid w:val="1A2D4AEA"/>
    <w:rsid w:val="1A3A2F1F"/>
    <w:rsid w:val="1A7179C2"/>
    <w:rsid w:val="1A7870F6"/>
    <w:rsid w:val="1A7A42D7"/>
    <w:rsid w:val="1A9223BA"/>
    <w:rsid w:val="1AA56CDD"/>
    <w:rsid w:val="1AC81B38"/>
    <w:rsid w:val="1AD5166F"/>
    <w:rsid w:val="1AE44D1F"/>
    <w:rsid w:val="1AED6373"/>
    <w:rsid w:val="1AF811F1"/>
    <w:rsid w:val="1B0064C3"/>
    <w:rsid w:val="1B054AF8"/>
    <w:rsid w:val="1B157B45"/>
    <w:rsid w:val="1B385792"/>
    <w:rsid w:val="1B44211A"/>
    <w:rsid w:val="1B447302"/>
    <w:rsid w:val="1B5B3389"/>
    <w:rsid w:val="1B814371"/>
    <w:rsid w:val="1B87407D"/>
    <w:rsid w:val="1B8E7759"/>
    <w:rsid w:val="1B8F0345"/>
    <w:rsid w:val="1B946809"/>
    <w:rsid w:val="1BA415FF"/>
    <w:rsid w:val="1BBC2BB4"/>
    <w:rsid w:val="1BC26BCD"/>
    <w:rsid w:val="1BC478DF"/>
    <w:rsid w:val="1BDA7765"/>
    <w:rsid w:val="1BE95E1D"/>
    <w:rsid w:val="1BEB03E9"/>
    <w:rsid w:val="1BF153AF"/>
    <w:rsid w:val="1C1B3898"/>
    <w:rsid w:val="1C1F2B3A"/>
    <w:rsid w:val="1C221144"/>
    <w:rsid w:val="1C2C0329"/>
    <w:rsid w:val="1C396564"/>
    <w:rsid w:val="1C3C03F5"/>
    <w:rsid w:val="1C607C53"/>
    <w:rsid w:val="1C671990"/>
    <w:rsid w:val="1C6C03DD"/>
    <w:rsid w:val="1C80063C"/>
    <w:rsid w:val="1C833A67"/>
    <w:rsid w:val="1C83436B"/>
    <w:rsid w:val="1C892C65"/>
    <w:rsid w:val="1C911CEC"/>
    <w:rsid w:val="1C9D0BC8"/>
    <w:rsid w:val="1CB129D9"/>
    <w:rsid w:val="1CBB7C97"/>
    <w:rsid w:val="1CDA6B18"/>
    <w:rsid w:val="1CF00880"/>
    <w:rsid w:val="1CF671D0"/>
    <w:rsid w:val="1D2C2B39"/>
    <w:rsid w:val="1D3B456F"/>
    <w:rsid w:val="1D3C49CD"/>
    <w:rsid w:val="1D5B4971"/>
    <w:rsid w:val="1D605CFA"/>
    <w:rsid w:val="1D657C87"/>
    <w:rsid w:val="1D7B0EFE"/>
    <w:rsid w:val="1D807F1F"/>
    <w:rsid w:val="1D874E44"/>
    <w:rsid w:val="1D8B5CE3"/>
    <w:rsid w:val="1D8D6EA9"/>
    <w:rsid w:val="1DA14E7A"/>
    <w:rsid w:val="1DB7325B"/>
    <w:rsid w:val="1DCE6A66"/>
    <w:rsid w:val="1DDB1964"/>
    <w:rsid w:val="1E053FD0"/>
    <w:rsid w:val="1E083F12"/>
    <w:rsid w:val="1E0F6543"/>
    <w:rsid w:val="1E240FE7"/>
    <w:rsid w:val="1E2F1BF7"/>
    <w:rsid w:val="1E355106"/>
    <w:rsid w:val="1E444887"/>
    <w:rsid w:val="1E553B92"/>
    <w:rsid w:val="1E563F5A"/>
    <w:rsid w:val="1E6636C0"/>
    <w:rsid w:val="1E8108B4"/>
    <w:rsid w:val="1EB211A6"/>
    <w:rsid w:val="1EBB1934"/>
    <w:rsid w:val="1EBD58A5"/>
    <w:rsid w:val="1EBD5B1B"/>
    <w:rsid w:val="1EE53BB4"/>
    <w:rsid w:val="1EFA3B49"/>
    <w:rsid w:val="1F051BDD"/>
    <w:rsid w:val="1F24547E"/>
    <w:rsid w:val="1F253AB8"/>
    <w:rsid w:val="1F262338"/>
    <w:rsid w:val="1F2C3FB9"/>
    <w:rsid w:val="1F2C7C09"/>
    <w:rsid w:val="1F2E2D68"/>
    <w:rsid w:val="1F3A17A7"/>
    <w:rsid w:val="1F3A4EBD"/>
    <w:rsid w:val="1F430292"/>
    <w:rsid w:val="1F743601"/>
    <w:rsid w:val="1F8F546B"/>
    <w:rsid w:val="1F9D5460"/>
    <w:rsid w:val="1FA51685"/>
    <w:rsid w:val="1FAB7693"/>
    <w:rsid w:val="1FC95A0C"/>
    <w:rsid w:val="1FCF51E8"/>
    <w:rsid w:val="1FEC5EA0"/>
    <w:rsid w:val="1FF27007"/>
    <w:rsid w:val="1FFA45EC"/>
    <w:rsid w:val="2011737E"/>
    <w:rsid w:val="201A557F"/>
    <w:rsid w:val="20297E56"/>
    <w:rsid w:val="20392D1D"/>
    <w:rsid w:val="20424F08"/>
    <w:rsid w:val="20557C56"/>
    <w:rsid w:val="205645BD"/>
    <w:rsid w:val="2063580D"/>
    <w:rsid w:val="20AA3D03"/>
    <w:rsid w:val="20B3720D"/>
    <w:rsid w:val="20B46DC8"/>
    <w:rsid w:val="20B67017"/>
    <w:rsid w:val="20B71B36"/>
    <w:rsid w:val="20C44543"/>
    <w:rsid w:val="20DB073B"/>
    <w:rsid w:val="20EA1739"/>
    <w:rsid w:val="20EA6D87"/>
    <w:rsid w:val="210F4811"/>
    <w:rsid w:val="211E49FC"/>
    <w:rsid w:val="212F3BE9"/>
    <w:rsid w:val="213109D0"/>
    <w:rsid w:val="21322EB2"/>
    <w:rsid w:val="21402B4C"/>
    <w:rsid w:val="21521313"/>
    <w:rsid w:val="21545709"/>
    <w:rsid w:val="2157674D"/>
    <w:rsid w:val="21622AC9"/>
    <w:rsid w:val="21674BEA"/>
    <w:rsid w:val="216C049B"/>
    <w:rsid w:val="217709B5"/>
    <w:rsid w:val="21772ED4"/>
    <w:rsid w:val="2188457E"/>
    <w:rsid w:val="218A5C1B"/>
    <w:rsid w:val="218E0AEF"/>
    <w:rsid w:val="218F5F85"/>
    <w:rsid w:val="219044DF"/>
    <w:rsid w:val="219900DC"/>
    <w:rsid w:val="21993683"/>
    <w:rsid w:val="219D0F12"/>
    <w:rsid w:val="21C216A3"/>
    <w:rsid w:val="21D075A5"/>
    <w:rsid w:val="21D20993"/>
    <w:rsid w:val="21EE2A10"/>
    <w:rsid w:val="21F506E7"/>
    <w:rsid w:val="21F90141"/>
    <w:rsid w:val="220B2A5A"/>
    <w:rsid w:val="224605A8"/>
    <w:rsid w:val="224A1E35"/>
    <w:rsid w:val="225B22E1"/>
    <w:rsid w:val="225C4E48"/>
    <w:rsid w:val="22752ABF"/>
    <w:rsid w:val="22A67C45"/>
    <w:rsid w:val="22B6102B"/>
    <w:rsid w:val="22E90191"/>
    <w:rsid w:val="22F9057D"/>
    <w:rsid w:val="22FC16F1"/>
    <w:rsid w:val="230F2405"/>
    <w:rsid w:val="231B217A"/>
    <w:rsid w:val="231E0BF0"/>
    <w:rsid w:val="23343123"/>
    <w:rsid w:val="233C3CC2"/>
    <w:rsid w:val="234A3514"/>
    <w:rsid w:val="234D573C"/>
    <w:rsid w:val="23597898"/>
    <w:rsid w:val="237F5064"/>
    <w:rsid w:val="23991D07"/>
    <w:rsid w:val="23A23633"/>
    <w:rsid w:val="23A55B09"/>
    <w:rsid w:val="23AF462B"/>
    <w:rsid w:val="23B13C21"/>
    <w:rsid w:val="23B26FEF"/>
    <w:rsid w:val="23B848E1"/>
    <w:rsid w:val="23C1333E"/>
    <w:rsid w:val="23C23826"/>
    <w:rsid w:val="23CE4C7F"/>
    <w:rsid w:val="23DB0C92"/>
    <w:rsid w:val="23E42A6A"/>
    <w:rsid w:val="23EC11F6"/>
    <w:rsid w:val="23F066B3"/>
    <w:rsid w:val="23FD7CDA"/>
    <w:rsid w:val="242D45AE"/>
    <w:rsid w:val="242E415A"/>
    <w:rsid w:val="24376F00"/>
    <w:rsid w:val="243E6A23"/>
    <w:rsid w:val="247C102C"/>
    <w:rsid w:val="249D1FD7"/>
    <w:rsid w:val="24A30D94"/>
    <w:rsid w:val="24A6688F"/>
    <w:rsid w:val="24A974B7"/>
    <w:rsid w:val="24BD0563"/>
    <w:rsid w:val="24C92917"/>
    <w:rsid w:val="24C93260"/>
    <w:rsid w:val="24D805CF"/>
    <w:rsid w:val="24E2156C"/>
    <w:rsid w:val="24E237AC"/>
    <w:rsid w:val="24E60289"/>
    <w:rsid w:val="250456CC"/>
    <w:rsid w:val="2508232E"/>
    <w:rsid w:val="25351790"/>
    <w:rsid w:val="25546282"/>
    <w:rsid w:val="255D0D5A"/>
    <w:rsid w:val="25637932"/>
    <w:rsid w:val="25676C94"/>
    <w:rsid w:val="256D36FE"/>
    <w:rsid w:val="256E70D7"/>
    <w:rsid w:val="25746D4A"/>
    <w:rsid w:val="257B3974"/>
    <w:rsid w:val="257E7E74"/>
    <w:rsid w:val="258B6369"/>
    <w:rsid w:val="258E4D2C"/>
    <w:rsid w:val="25993DE0"/>
    <w:rsid w:val="25A4324C"/>
    <w:rsid w:val="25AA5703"/>
    <w:rsid w:val="25BB5873"/>
    <w:rsid w:val="25C65BBA"/>
    <w:rsid w:val="25E00289"/>
    <w:rsid w:val="25FC343E"/>
    <w:rsid w:val="26074560"/>
    <w:rsid w:val="26110751"/>
    <w:rsid w:val="26216375"/>
    <w:rsid w:val="262470B9"/>
    <w:rsid w:val="262706E3"/>
    <w:rsid w:val="26346520"/>
    <w:rsid w:val="26406C82"/>
    <w:rsid w:val="26480208"/>
    <w:rsid w:val="264C6AD8"/>
    <w:rsid w:val="26622C1B"/>
    <w:rsid w:val="2673436C"/>
    <w:rsid w:val="2675480A"/>
    <w:rsid w:val="268F155B"/>
    <w:rsid w:val="26991365"/>
    <w:rsid w:val="269F0A47"/>
    <w:rsid w:val="26AA77CB"/>
    <w:rsid w:val="26B626B2"/>
    <w:rsid w:val="26C1552E"/>
    <w:rsid w:val="26EE50A3"/>
    <w:rsid w:val="26EF061B"/>
    <w:rsid w:val="26F438C0"/>
    <w:rsid w:val="26FD25D7"/>
    <w:rsid w:val="270F5D68"/>
    <w:rsid w:val="2714014B"/>
    <w:rsid w:val="27335121"/>
    <w:rsid w:val="27537613"/>
    <w:rsid w:val="275B0F7B"/>
    <w:rsid w:val="275C4F54"/>
    <w:rsid w:val="275F2B63"/>
    <w:rsid w:val="27A144B4"/>
    <w:rsid w:val="27B15B71"/>
    <w:rsid w:val="27BE0D88"/>
    <w:rsid w:val="27D41FB2"/>
    <w:rsid w:val="27E73F31"/>
    <w:rsid w:val="28084A4D"/>
    <w:rsid w:val="280D40E8"/>
    <w:rsid w:val="2813200D"/>
    <w:rsid w:val="28233210"/>
    <w:rsid w:val="2828474C"/>
    <w:rsid w:val="284030AD"/>
    <w:rsid w:val="284A750E"/>
    <w:rsid w:val="284F0353"/>
    <w:rsid w:val="28564385"/>
    <w:rsid w:val="28720EF4"/>
    <w:rsid w:val="28786DB3"/>
    <w:rsid w:val="2893647E"/>
    <w:rsid w:val="2899311F"/>
    <w:rsid w:val="289E416D"/>
    <w:rsid w:val="289F6570"/>
    <w:rsid w:val="28B5723D"/>
    <w:rsid w:val="28C04383"/>
    <w:rsid w:val="28C13078"/>
    <w:rsid w:val="28C44F36"/>
    <w:rsid w:val="28D22784"/>
    <w:rsid w:val="28D6484D"/>
    <w:rsid w:val="28D80B48"/>
    <w:rsid w:val="28E44670"/>
    <w:rsid w:val="290963E0"/>
    <w:rsid w:val="29154FF3"/>
    <w:rsid w:val="291C696D"/>
    <w:rsid w:val="291E0698"/>
    <w:rsid w:val="29380D3B"/>
    <w:rsid w:val="293A32D8"/>
    <w:rsid w:val="294772C9"/>
    <w:rsid w:val="294E6931"/>
    <w:rsid w:val="2965201D"/>
    <w:rsid w:val="297122C6"/>
    <w:rsid w:val="2976225F"/>
    <w:rsid w:val="29867D45"/>
    <w:rsid w:val="298D74F7"/>
    <w:rsid w:val="298F27DB"/>
    <w:rsid w:val="29980E4E"/>
    <w:rsid w:val="299E14C3"/>
    <w:rsid w:val="29AE3BED"/>
    <w:rsid w:val="29B714C6"/>
    <w:rsid w:val="29BE6EDC"/>
    <w:rsid w:val="29C7043B"/>
    <w:rsid w:val="29C7640C"/>
    <w:rsid w:val="29C87B2A"/>
    <w:rsid w:val="29CE26FE"/>
    <w:rsid w:val="29DB252D"/>
    <w:rsid w:val="29DE5069"/>
    <w:rsid w:val="29DE5E7D"/>
    <w:rsid w:val="29EA4035"/>
    <w:rsid w:val="29FA3ACC"/>
    <w:rsid w:val="2A05593B"/>
    <w:rsid w:val="2A101B8A"/>
    <w:rsid w:val="2A14286B"/>
    <w:rsid w:val="2A146EBA"/>
    <w:rsid w:val="2A163CAA"/>
    <w:rsid w:val="2A3827B7"/>
    <w:rsid w:val="2A3C14BC"/>
    <w:rsid w:val="2A452643"/>
    <w:rsid w:val="2A487550"/>
    <w:rsid w:val="2A51723E"/>
    <w:rsid w:val="2A532E71"/>
    <w:rsid w:val="2A5F7045"/>
    <w:rsid w:val="2A6176FA"/>
    <w:rsid w:val="2A6631E2"/>
    <w:rsid w:val="2A7D6CB5"/>
    <w:rsid w:val="2A7E2411"/>
    <w:rsid w:val="2A906BBC"/>
    <w:rsid w:val="2A942E05"/>
    <w:rsid w:val="2A9E5ED7"/>
    <w:rsid w:val="2AA12A8E"/>
    <w:rsid w:val="2AA255EF"/>
    <w:rsid w:val="2AAD5DC2"/>
    <w:rsid w:val="2AC148DA"/>
    <w:rsid w:val="2ADC2FFB"/>
    <w:rsid w:val="2AE61361"/>
    <w:rsid w:val="2B1D33E4"/>
    <w:rsid w:val="2B3A0A05"/>
    <w:rsid w:val="2B4412D8"/>
    <w:rsid w:val="2B4D3190"/>
    <w:rsid w:val="2B4E44EF"/>
    <w:rsid w:val="2B7941E2"/>
    <w:rsid w:val="2B7E3292"/>
    <w:rsid w:val="2B8F3093"/>
    <w:rsid w:val="2BB522E6"/>
    <w:rsid w:val="2BBC1AF4"/>
    <w:rsid w:val="2BCC2C98"/>
    <w:rsid w:val="2BDE63E0"/>
    <w:rsid w:val="2BE86C75"/>
    <w:rsid w:val="2BF14BB2"/>
    <w:rsid w:val="2C144E7B"/>
    <w:rsid w:val="2C2F5EC0"/>
    <w:rsid w:val="2C3446DE"/>
    <w:rsid w:val="2C3C640E"/>
    <w:rsid w:val="2C4A06E2"/>
    <w:rsid w:val="2C4D32E1"/>
    <w:rsid w:val="2C501832"/>
    <w:rsid w:val="2C5C3A25"/>
    <w:rsid w:val="2C610BAC"/>
    <w:rsid w:val="2C614D97"/>
    <w:rsid w:val="2C92764B"/>
    <w:rsid w:val="2CA57261"/>
    <w:rsid w:val="2CBE57B1"/>
    <w:rsid w:val="2CD247BC"/>
    <w:rsid w:val="2CD61692"/>
    <w:rsid w:val="2CE71A87"/>
    <w:rsid w:val="2CF0316C"/>
    <w:rsid w:val="2CFE4271"/>
    <w:rsid w:val="2D014448"/>
    <w:rsid w:val="2D0D31CF"/>
    <w:rsid w:val="2D1D3B29"/>
    <w:rsid w:val="2D246015"/>
    <w:rsid w:val="2D35578C"/>
    <w:rsid w:val="2D400366"/>
    <w:rsid w:val="2D484FF7"/>
    <w:rsid w:val="2D600099"/>
    <w:rsid w:val="2D70348B"/>
    <w:rsid w:val="2D751A10"/>
    <w:rsid w:val="2D9466D0"/>
    <w:rsid w:val="2DA75A0A"/>
    <w:rsid w:val="2DA77794"/>
    <w:rsid w:val="2DD0179C"/>
    <w:rsid w:val="2DDC0A17"/>
    <w:rsid w:val="2DEE74C0"/>
    <w:rsid w:val="2DEF6C39"/>
    <w:rsid w:val="2DF30D1B"/>
    <w:rsid w:val="2E052F4C"/>
    <w:rsid w:val="2E10324A"/>
    <w:rsid w:val="2E126CFE"/>
    <w:rsid w:val="2E2779A0"/>
    <w:rsid w:val="2E304F81"/>
    <w:rsid w:val="2E343624"/>
    <w:rsid w:val="2E431E35"/>
    <w:rsid w:val="2E4E0C02"/>
    <w:rsid w:val="2E6A7423"/>
    <w:rsid w:val="2E6D045E"/>
    <w:rsid w:val="2E7765CF"/>
    <w:rsid w:val="2E805A3A"/>
    <w:rsid w:val="2E840BCC"/>
    <w:rsid w:val="2E9F15B2"/>
    <w:rsid w:val="2EAA40F0"/>
    <w:rsid w:val="2EC163FC"/>
    <w:rsid w:val="2ED47B38"/>
    <w:rsid w:val="2EDF69A7"/>
    <w:rsid w:val="2EE61AE3"/>
    <w:rsid w:val="2EF0022D"/>
    <w:rsid w:val="2F002F95"/>
    <w:rsid w:val="2F003571"/>
    <w:rsid w:val="2F043A62"/>
    <w:rsid w:val="2F162DA5"/>
    <w:rsid w:val="2F193771"/>
    <w:rsid w:val="2F1C0496"/>
    <w:rsid w:val="2F1D00E9"/>
    <w:rsid w:val="2F263A93"/>
    <w:rsid w:val="2F2C75C9"/>
    <w:rsid w:val="2F325019"/>
    <w:rsid w:val="2F4B42E5"/>
    <w:rsid w:val="2F591A07"/>
    <w:rsid w:val="2F6E32D2"/>
    <w:rsid w:val="2F852F3A"/>
    <w:rsid w:val="2F930BCC"/>
    <w:rsid w:val="2F96155F"/>
    <w:rsid w:val="2F983A99"/>
    <w:rsid w:val="2F9D26F4"/>
    <w:rsid w:val="2FC10916"/>
    <w:rsid w:val="2FD265A1"/>
    <w:rsid w:val="2FE62F83"/>
    <w:rsid w:val="2FF74145"/>
    <w:rsid w:val="3021372E"/>
    <w:rsid w:val="302341E8"/>
    <w:rsid w:val="3027226B"/>
    <w:rsid w:val="30283CC0"/>
    <w:rsid w:val="302C3E4D"/>
    <w:rsid w:val="303B1B3F"/>
    <w:rsid w:val="307146A6"/>
    <w:rsid w:val="307723F4"/>
    <w:rsid w:val="307C76B3"/>
    <w:rsid w:val="30870C3D"/>
    <w:rsid w:val="308946BB"/>
    <w:rsid w:val="308B1FDA"/>
    <w:rsid w:val="309F21DE"/>
    <w:rsid w:val="30AA0ADA"/>
    <w:rsid w:val="30B010CF"/>
    <w:rsid w:val="30C87931"/>
    <w:rsid w:val="30D84C8B"/>
    <w:rsid w:val="30DE3F04"/>
    <w:rsid w:val="30E51CBC"/>
    <w:rsid w:val="30E978B6"/>
    <w:rsid w:val="30FE5BAB"/>
    <w:rsid w:val="310725C5"/>
    <w:rsid w:val="310D52DB"/>
    <w:rsid w:val="312908A7"/>
    <w:rsid w:val="31291D38"/>
    <w:rsid w:val="312E33A8"/>
    <w:rsid w:val="31300CCE"/>
    <w:rsid w:val="314136B9"/>
    <w:rsid w:val="31453B49"/>
    <w:rsid w:val="31485027"/>
    <w:rsid w:val="314C6948"/>
    <w:rsid w:val="314D01A9"/>
    <w:rsid w:val="314E0216"/>
    <w:rsid w:val="314E2DB5"/>
    <w:rsid w:val="315A0B61"/>
    <w:rsid w:val="315A7F00"/>
    <w:rsid w:val="315D775E"/>
    <w:rsid w:val="31836309"/>
    <w:rsid w:val="318670F4"/>
    <w:rsid w:val="318C70BD"/>
    <w:rsid w:val="318D3D8B"/>
    <w:rsid w:val="319C4381"/>
    <w:rsid w:val="31C00C6C"/>
    <w:rsid w:val="31C0635A"/>
    <w:rsid w:val="31CC6885"/>
    <w:rsid w:val="31EE26D0"/>
    <w:rsid w:val="31F562DD"/>
    <w:rsid w:val="32000E44"/>
    <w:rsid w:val="320263E5"/>
    <w:rsid w:val="32183DD1"/>
    <w:rsid w:val="321A706F"/>
    <w:rsid w:val="32223677"/>
    <w:rsid w:val="322C388A"/>
    <w:rsid w:val="323E60FC"/>
    <w:rsid w:val="32417277"/>
    <w:rsid w:val="324319FF"/>
    <w:rsid w:val="324C5D01"/>
    <w:rsid w:val="32505506"/>
    <w:rsid w:val="325300C5"/>
    <w:rsid w:val="325C3CF0"/>
    <w:rsid w:val="326243B1"/>
    <w:rsid w:val="3273528B"/>
    <w:rsid w:val="32837BE8"/>
    <w:rsid w:val="32854795"/>
    <w:rsid w:val="328677CB"/>
    <w:rsid w:val="32872062"/>
    <w:rsid w:val="329B64B2"/>
    <w:rsid w:val="32AB5F15"/>
    <w:rsid w:val="32AF10B5"/>
    <w:rsid w:val="32B44F24"/>
    <w:rsid w:val="32B91147"/>
    <w:rsid w:val="32BE56A3"/>
    <w:rsid w:val="32DD431E"/>
    <w:rsid w:val="32E228EB"/>
    <w:rsid w:val="330028B4"/>
    <w:rsid w:val="3300380A"/>
    <w:rsid w:val="330547A2"/>
    <w:rsid w:val="331315A0"/>
    <w:rsid w:val="333A7CA6"/>
    <w:rsid w:val="333B4B38"/>
    <w:rsid w:val="333F0C18"/>
    <w:rsid w:val="33400C80"/>
    <w:rsid w:val="3344381F"/>
    <w:rsid w:val="33451C3D"/>
    <w:rsid w:val="334D6E8F"/>
    <w:rsid w:val="335541C4"/>
    <w:rsid w:val="33735C5F"/>
    <w:rsid w:val="3390201E"/>
    <w:rsid w:val="339B7E99"/>
    <w:rsid w:val="33CA63EE"/>
    <w:rsid w:val="33D85029"/>
    <w:rsid w:val="33D90895"/>
    <w:rsid w:val="33E17568"/>
    <w:rsid w:val="33E8572E"/>
    <w:rsid w:val="33ED121E"/>
    <w:rsid w:val="34030A42"/>
    <w:rsid w:val="342F3333"/>
    <w:rsid w:val="343155AF"/>
    <w:rsid w:val="34365C16"/>
    <w:rsid w:val="34427CA8"/>
    <w:rsid w:val="3445160F"/>
    <w:rsid w:val="344A3A70"/>
    <w:rsid w:val="34666656"/>
    <w:rsid w:val="347B3C36"/>
    <w:rsid w:val="348F0ED2"/>
    <w:rsid w:val="34941B7A"/>
    <w:rsid w:val="34CE0E6D"/>
    <w:rsid w:val="34D22F15"/>
    <w:rsid w:val="34F91C74"/>
    <w:rsid w:val="34FD6252"/>
    <w:rsid w:val="35057C4C"/>
    <w:rsid w:val="350E5686"/>
    <w:rsid w:val="351306A1"/>
    <w:rsid w:val="35134F5F"/>
    <w:rsid w:val="3515793F"/>
    <w:rsid w:val="35192E2F"/>
    <w:rsid w:val="35220556"/>
    <w:rsid w:val="354C1AD7"/>
    <w:rsid w:val="355405EB"/>
    <w:rsid w:val="356062F2"/>
    <w:rsid w:val="35625A1A"/>
    <w:rsid w:val="35657F42"/>
    <w:rsid w:val="35747E49"/>
    <w:rsid w:val="3576638E"/>
    <w:rsid w:val="357E5FB3"/>
    <w:rsid w:val="358E7673"/>
    <w:rsid w:val="359335DA"/>
    <w:rsid w:val="359A27A7"/>
    <w:rsid w:val="359E0201"/>
    <w:rsid w:val="35AA6D17"/>
    <w:rsid w:val="35B53AAE"/>
    <w:rsid w:val="35C03F28"/>
    <w:rsid w:val="35CF79EC"/>
    <w:rsid w:val="35D22DC1"/>
    <w:rsid w:val="35D7418B"/>
    <w:rsid w:val="35ED589A"/>
    <w:rsid w:val="35F00265"/>
    <w:rsid w:val="35F17A11"/>
    <w:rsid w:val="35FF57BF"/>
    <w:rsid w:val="35FF5E3F"/>
    <w:rsid w:val="3607327B"/>
    <w:rsid w:val="3607499B"/>
    <w:rsid w:val="36310A2C"/>
    <w:rsid w:val="36320C55"/>
    <w:rsid w:val="363475D8"/>
    <w:rsid w:val="36362BA5"/>
    <w:rsid w:val="36564702"/>
    <w:rsid w:val="366432FD"/>
    <w:rsid w:val="366A5E32"/>
    <w:rsid w:val="36704843"/>
    <w:rsid w:val="36743E79"/>
    <w:rsid w:val="36811D5C"/>
    <w:rsid w:val="36982092"/>
    <w:rsid w:val="369E6D4F"/>
    <w:rsid w:val="36A84976"/>
    <w:rsid w:val="36A909BC"/>
    <w:rsid w:val="36B04063"/>
    <w:rsid w:val="36B74B2C"/>
    <w:rsid w:val="36C22A0B"/>
    <w:rsid w:val="36CF2D96"/>
    <w:rsid w:val="36D4146F"/>
    <w:rsid w:val="36D84407"/>
    <w:rsid w:val="36F27778"/>
    <w:rsid w:val="371B60A2"/>
    <w:rsid w:val="373A702F"/>
    <w:rsid w:val="37405EA9"/>
    <w:rsid w:val="374B6987"/>
    <w:rsid w:val="374E7DB8"/>
    <w:rsid w:val="3758311D"/>
    <w:rsid w:val="3770061D"/>
    <w:rsid w:val="377C37E4"/>
    <w:rsid w:val="378455B2"/>
    <w:rsid w:val="37867026"/>
    <w:rsid w:val="37945A4A"/>
    <w:rsid w:val="37B15C40"/>
    <w:rsid w:val="37C804F1"/>
    <w:rsid w:val="37D06CF3"/>
    <w:rsid w:val="37D86DFD"/>
    <w:rsid w:val="37D911DA"/>
    <w:rsid w:val="37E6170D"/>
    <w:rsid w:val="37E941CA"/>
    <w:rsid w:val="37EA0B92"/>
    <w:rsid w:val="37EB677C"/>
    <w:rsid w:val="37F56C3F"/>
    <w:rsid w:val="38000F3B"/>
    <w:rsid w:val="38035D82"/>
    <w:rsid w:val="38073B0A"/>
    <w:rsid w:val="38115241"/>
    <w:rsid w:val="381D40A8"/>
    <w:rsid w:val="38251AE0"/>
    <w:rsid w:val="38294EE4"/>
    <w:rsid w:val="38314B44"/>
    <w:rsid w:val="3843431D"/>
    <w:rsid w:val="38542997"/>
    <w:rsid w:val="38590E88"/>
    <w:rsid w:val="385A7703"/>
    <w:rsid w:val="386B0BE3"/>
    <w:rsid w:val="386D2197"/>
    <w:rsid w:val="387B4C59"/>
    <w:rsid w:val="388B5C79"/>
    <w:rsid w:val="389C2EF7"/>
    <w:rsid w:val="38A32F38"/>
    <w:rsid w:val="38C16E5A"/>
    <w:rsid w:val="38D30685"/>
    <w:rsid w:val="38D952CB"/>
    <w:rsid w:val="38DB262E"/>
    <w:rsid w:val="38E41266"/>
    <w:rsid w:val="38F512A1"/>
    <w:rsid w:val="38FD6CF2"/>
    <w:rsid w:val="392D70B2"/>
    <w:rsid w:val="39347590"/>
    <w:rsid w:val="39350A63"/>
    <w:rsid w:val="3944128E"/>
    <w:rsid w:val="3951224F"/>
    <w:rsid w:val="396A638B"/>
    <w:rsid w:val="39704F68"/>
    <w:rsid w:val="39742AED"/>
    <w:rsid w:val="397D123A"/>
    <w:rsid w:val="398120AD"/>
    <w:rsid w:val="39892581"/>
    <w:rsid w:val="399F341B"/>
    <w:rsid w:val="39B62DA4"/>
    <w:rsid w:val="39D42485"/>
    <w:rsid w:val="39D66075"/>
    <w:rsid w:val="39FC5494"/>
    <w:rsid w:val="3A186794"/>
    <w:rsid w:val="3A241712"/>
    <w:rsid w:val="3A2F1D5B"/>
    <w:rsid w:val="3A335AD6"/>
    <w:rsid w:val="3A3B14D2"/>
    <w:rsid w:val="3A4B2EB6"/>
    <w:rsid w:val="3A517046"/>
    <w:rsid w:val="3A544464"/>
    <w:rsid w:val="3A566993"/>
    <w:rsid w:val="3A861189"/>
    <w:rsid w:val="3A861764"/>
    <w:rsid w:val="3AA47E37"/>
    <w:rsid w:val="3AB1708F"/>
    <w:rsid w:val="3ABA5471"/>
    <w:rsid w:val="3ACB111F"/>
    <w:rsid w:val="3AE65BF2"/>
    <w:rsid w:val="3AE91207"/>
    <w:rsid w:val="3AF11072"/>
    <w:rsid w:val="3AFA4AA4"/>
    <w:rsid w:val="3B026AD2"/>
    <w:rsid w:val="3B120598"/>
    <w:rsid w:val="3B1C7CB7"/>
    <w:rsid w:val="3B2C3EC3"/>
    <w:rsid w:val="3B314144"/>
    <w:rsid w:val="3B397E7D"/>
    <w:rsid w:val="3B4D34BE"/>
    <w:rsid w:val="3B911428"/>
    <w:rsid w:val="3B965628"/>
    <w:rsid w:val="3B9C3C56"/>
    <w:rsid w:val="3B9E3AFD"/>
    <w:rsid w:val="3BB73492"/>
    <w:rsid w:val="3BC66ED2"/>
    <w:rsid w:val="3BD976B0"/>
    <w:rsid w:val="3BEF05F8"/>
    <w:rsid w:val="3BF76E5D"/>
    <w:rsid w:val="3C0F3ECD"/>
    <w:rsid w:val="3C1E58C2"/>
    <w:rsid w:val="3C327536"/>
    <w:rsid w:val="3C3B1EDE"/>
    <w:rsid w:val="3C4530A7"/>
    <w:rsid w:val="3C6010AA"/>
    <w:rsid w:val="3C623FEE"/>
    <w:rsid w:val="3C6E4480"/>
    <w:rsid w:val="3C70661E"/>
    <w:rsid w:val="3C7C3823"/>
    <w:rsid w:val="3C9315B5"/>
    <w:rsid w:val="3C9C4110"/>
    <w:rsid w:val="3CAF297D"/>
    <w:rsid w:val="3CBA010B"/>
    <w:rsid w:val="3CBD1455"/>
    <w:rsid w:val="3CBF2875"/>
    <w:rsid w:val="3CC33F37"/>
    <w:rsid w:val="3CC43705"/>
    <w:rsid w:val="3CC83D29"/>
    <w:rsid w:val="3CCB3422"/>
    <w:rsid w:val="3CDD3E7E"/>
    <w:rsid w:val="3CEC18EA"/>
    <w:rsid w:val="3D0157AC"/>
    <w:rsid w:val="3D1C6350"/>
    <w:rsid w:val="3D267003"/>
    <w:rsid w:val="3D4079F3"/>
    <w:rsid w:val="3D5230AF"/>
    <w:rsid w:val="3D536DE2"/>
    <w:rsid w:val="3D633473"/>
    <w:rsid w:val="3D672041"/>
    <w:rsid w:val="3D954689"/>
    <w:rsid w:val="3D9E2E9A"/>
    <w:rsid w:val="3DAB22CE"/>
    <w:rsid w:val="3DC470E9"/>
    <w:rsid w:val="3E146C9E"/>
    <w:rsid w:val="3E1A1A70"/>
    <w:rsid w:val="3E1F1CEC"/>
    <w:rsid w:val="3E222A4E"/>
    <w:rsid w:val="3E222C3C"/>
    <w:rsid w:val="3E2C19E3"/>
    <w:rsid w:val="3E370243"/>
    <w:rsid w:val="3E3D7061"/>
    <w:rsid w:val="3E560B08"/>
    <w:rsid w:val="3E663D34"/>
    <w:rsid w:val="3E69430B"/>
    <w:rsid w:val="3E7260D3"/>
    <w:rsid w:val="3E9955D1"/>
    <w:rsid w:val="3EAF3384"/>
    <w:rsid w:val="3EB35C3D"/>
    <w:rsid w:val="3EBA599D"/>
    <w:rsid w:val="3EC23DD4"/>
    <w:rsid w:val="3ECB086E"/>
    <w:rsid w:val="3ED526CA"/>
    <w:rsid w:val="3EDA34E6"/>
    <w:rsid w:val="3EE14798"/>
    <w:rsid w:val="3EE649BC"/>
    <w:rsid w:val="3EE93CCF"/>
    <w:rsid w:val="3EEA6DAF"/>
    <w:rsid w:val="3EF40A4F"/>
    <w:rsid w:val="3EFF3803"/>
    <w:rsid w:val="3F0102AB"/>
    <w:rsid w:val="3F0C5AB0"/>
    <w:rsid w:val="3F170E35"/>
    <w:rsid w:val="3F1F7980"/>
    <w:rsid w:val="3F364C7A"/>
    <w:rsid w:val="3F3A74FA"/>
    <w:rsid w:val="3F3C717A"/>
    <w:rsid w:val="3F3D4BFA"/>
    <w:rsid w:val="3F6430ED"/>
    <w:rsid w:val="3F8123D7"/>
    <w:rsid w:val="3F9F6D2E"/>
    <w:rsid w:val="3FA82316"/>
    <w:rsid w:val="3FD0087C"/>
    <w:rsid w:val="3FD534EF"/>
    <w:rsid w:val="3FD56F66"/>
    <w:rsid w:val="3FDE42CB"/>
    <w:rsid w:val="3FF273F8"/>
    <w:rsid w:val="3FFE7FAF"/>
    <w:rsid w:val="400500D8"/>
    <w:rsid w:val="4016745F"/>
    <w:rsid w:val="402770B7"/>
    <w:rsid w:val="402F5207"/>
    <w:rsid w:val="40421FD9"/>
    <w:rsid w:val="404F460B"/>
    <w:rsid w:val="406E35F0"/>
    <w:rsid w:val="406E3AE7"/>
    <w:rsid w:val="40781C52"/>
    <w:rsid w:val="409175C0"/>
    <w:rsid w:val="40961583"/>
    <w:rsid w:val="409E7745"/>
    <w:rsid w:val="40A95BF3"/>
    <w:rsid w:val="40AF67FD"/>
    <w:rsid w:val="40B61D3A"/>
    <w:rsid w:val="40B713FC"/>
    <w:rsid w:val="40BA1F7A"/>
    <w:rsid w:val="40C03017"/>
    <w:rsid w:val="40CA1BA9"/>
    <w:rsid w:val="40CC484A"/>
    <w:rsid w:val="40CE3F3B"/>
    <w:rsid w:val="40D61845"/>
    <w:rsid w:val="40D66580"/>
    <w:rsid w:val="40E631DD"/>
    <w:rsid w:val="40ED46CF"/>
    <w:rsid w:val="40F20E68"/>
    <w:rsid w:val="40F656B2"/>
    <w:rsid w:val="411504E3"/>
    <w:rsid w:val="411506BC"/>
    <w:rsid w:val="411922E4"/>
    <w:rsid w:val="413A0E85"/>
    <w:rsid w:val="413B196B"/>
    <w:rsid w:val="41693468"/>
    <w:rsid w:val="416C2F7C"/>
    <w:rsid w:val="416C6648"/>
    <w:rsid w:val="418D2CAD"/>
    <w:rsid w:val="419D7A92"/>
    <w:rsid w:val="41A67A03"/>
    <w:rsid w:val="41C31FB7"/>
    <w:rsid w:val="41CF2009"/>
    <w:rsid w:val="41D8768C"/>
    <w:rsid w:val="41DD7331"/>
    <w:rsid w:val="41E9396D"/>
    <w:rsid w:val="41F66C3B"/>
    <w:rsid w:val="42004EC8"/>
    <w:rsid w:val="420800F8"/>
    <w:rsid w:val="422E5207"/>
    <w:rsid w:val="423768C2"/>
    <w:rsid w:val="42377BDF"/>
    <w:rsid w:val="427629E2"/>
    <w:rsid w:val="42853128"/>
    <w:rsid w:val="42A9027C"/>
    <w:rsid w:val="42B76B54"/>
    <w:rsid w:val="42BE73A5"/>
    <w:rsid w:val="42C02BCE"/>
    <w:rsid w:val="42C076F5"/>
    <w:rsid w:val="42C56B7F"/>
    <w:rsid w:val="42D812EB"/>
    <w:rsid w:val="42DA5AB1"/>
    <w:rsid w:val="42E54B41"/>
    <w:rsid w:val="42FE2539"/>
    <w:rsid w:val="43047F9B"/>
    <w:rsid w:val="43370120"/>
    <w:rsid w:val="434055F7"/>
    <w:rsid w:val="43573DB4"/>
    <w:rsid w:val="435E270E"/>
    <w:rsid w:val="43600854"/>
    <w:rsid w:val="436D590B"/>
    <w:rsid w:val="4384396B"/>
    <w:rsid w:val="438C1CEB"/>
    <w:rsid w:val="439E402E"/>
    <w:rsid w:val="439E5752"/>
    <w:rsid w:val="43C12E66"/>
    <w:rsid w:val="43DF0C71"/>
    <w:rsid w:val="43E178D4"/>
    <w:rsid w:val="43E41A1B"/>
    <w:rsid w:val="43F35365"/>
    <w:rsid w:val="43FB68B9"/>
    <w:rsid w:val="44055324"/>
    <w:rsid w:val="440F1AC2"/>
    <w:rsid w:val="442005A4"/>
    <w:rsid w:val="443051B0"/>
    <w:rsid w:val="44320A6D"/>
    <w:rsid w:val="443C5AFD"/>
    <w:rsid w:val="444E22A8"/>
    <w:rsid w:val="444F676E"/>
    <w:rsid w:val="44542E17"/>
    <w:rsid w:val="4486397E"/>
    <w:rsid w:val="448B0B26"/>
    <w:rsid w:val="4494246D"/>
    <w:rsid w:val="44961896"/>
    <w:rsid w:val="449F553B"/>
    <w:rsid w:val="44B434D0"/>
    <w:rsid w:val="44B505D7"/>
    <w:rsid w:val="44B724D0"/>
    <w:rsid w:val="44D36AEF"/>
    <w:rsid w:val="44D83EFF"/>
    <w:rsid w:val="44DA71EE"/>
    <w:rsid w:val="44F06C04"/>
    <w:rsid w:val="450D690B"/>
    <w:rsid w:val="450F1653"/>
    <w:rsid w:val="451812E6"/>
    <w:rsid w:val="452C38FC"/>
    <w:rsid w:val="455C7E8C"/>
    <w:rsid w:val="457058F5"/>
    <w:rsid w:val="457A72C5"/>
    <w:rsid w:val="4584138D"/>
    <w:rsid w:val="458469EB"/>
    <w:rsid w:val="45A167FA"/>
    <w:rsid w:val="45A576F9"/>
    <w:rsid w:val="45AC5F07"/>
    <w:rsid w:val="45B2487E"/>
    <w:rsid w:val="45B74BF9"/>
    <w:rsid w:val="45DA74AC"/>
    <w:rsid w:val="45E56EFD"/>
    <w:rsid w:val="46246180"/>
    <w:rsid w:val="463041C5"/>
    <w:rsid w:val="4635038D"/>
    <w:rsid w:val="46417CCD"/>
    <w:rsid w:val="46546EBA"/>
    <w:rsid w:val="467528A2"/>
    <w:rsid w:val="467D1DDE"/>
    <w:rsid w:val="468B5DAA"/>
    <w:rsid w:val="468E607B"/>
    <w:rsid w:val="46A0008C"/>
    <w:rsid w:val="46A30104"/>
    <w:rsid w:val="46AA68D4"/>
    <w:rsid w:val="46B2799E"/>
    <w:rsid w:val="46B606C3"/>
    <w:rsid w:val="46BA7686"/>
    <w:rsid w:val="46BC6688"/>
    <w:rsid w:val="46BC68D1"/>
    <w:rsid w:val="46C43BD8"/>
    <w:rsid w:val="46D23EFB"/>
    <w:rsid w:val="46D3115A"/>
    <w:rsid w:val="46DD5D67"/>
    <w:rsid w:val="46E1781B"/>
    <w:rsid w:val="46EB1BB6"/>
    <w:rsid w:val="46FA2EAA"/>
    <w:rsid w:val="46FC0B29"/>
    <w:rsid w:val="470D04F6"/>
    <w:rsid w:val="4726228A"/>
    <w:rsid w:val="472911C4"/>
    <w:rsid w:val="47320639"/>
    <w:rsid w:val="47447E63"/>
    <w:rsid w:val="47486A36"/>
    <w:rsid w:val="47726779"/>
    <w:rsid w:val="47732C75"/>
    <w:rsid w:val="47797FE9"/>
    <w:rsid w:val="478E31C1"/>
    <w:rsid w:val="479322FA"/>
    <w:rsid w:val="47AC5E21"/>
    <w:rsid w:val="47B831CA"/>
    <w:rsid w:val="47B92178"/>
    <w:rsid w:val="47CE427E"/>
    <w:rsid w:val="47D2561B"/>
    <w:rsid w:val="47D64C33"/>
    <w:rsid w:val="47E95351"/>
    <w:rsid w:val="47F2366B"/>
    <w:rsid w:val="47FA656A"/>
    <w:rsid w:val="48116D16"/>
    <w:rsid w:val="48270E43"/>
    <w:rsid w:val="483900F5"/>
    <w:rsid w:val="48487479"/>
    <w:rsid w:val="484D59FE"/>
    <w:rsid w:val="48515951"/>
    <w:rsid w:val="48635481"/>
    <w:rsid w:val="487249F7"/>
    <w:rsid w:val="487C519E"/>
    <w:rsid w:val="489F7DE8"/>
    <w:rsid w:val="48A14936"/>
    <w:rsid w:val="48A34E45"/>
    <w:rsid w:val="48AC2FFE"/>
    <w:rsid w:val="48AE1B17"/>
    <w:rsid w:val="48DE4CC3"/>
    <w:rsid w:val="48EF41E9"/>
    <w:rsid w:val="48F47BD3"/>
    <w:rsid w:val="48F56861"/>
    <w:rsid w:val="49015E19"/>
    <w:rsid w:val="49017040"/>
    <w:rsid w:val="49127C44"/>
    <w:rsid w:val="491D43DC"/>
    <w:rsid w:val="49753D38"/>
    <w:rsid w:val="498E1A9B"/>
    <w:rsid w:val="49984051"/>
    <w:rsid w:val="499D6A06"/>
    <w:rsid w:val="49A54762"/>
    <w:rsid w:val="49A75881"/>
    <w:rsid w:val="49BF6B71"/>
    <w:rsid w:val="49D45C6E"/>
    <w:rsid w:val="49D854B6"/>
    <w:rsid w:val="49EB0F4D"/>
    <w:rsid w:val="4A05703B"/>
    <w:rsid w:val="4A1A0686"/>
    <w:rsid w:val="4A376221"/>
    <w:rsid w:val="4A4C164D"/>
    <w:rsid w:val="4A736944"/>
    <w:rsid w:val="4AA91743"/>
    <w:rsid w:val="4ABC21D5"/>
    <w:rsid w:val="4ABE5B3A"/>
    <w:rsid w:val="4ACD6B89"/>
    <w:rsid w:val="4AED787D"/>
    <w:rsid w:val="4AF61A0C"/>
    <w:rsid w:val="4AFC45FD"/>
    <w:rsid w:val="4AFF3012"/>
    <w:rsid w:val="4AFF7970"/>
    <w:rsid w:val="4B247955"/>
    <w:rsid w:val="4B260C1D"/>
    <w:rsid w:val="4B272DC4"/>
    <w:rsid w:val="4B360988"/>
    <w:rsid w:val="4B3800E9"/>
    <w:rsid w:val="4B3E6730"/>
    <w:rsid w:val="4B4C5FFD"/>
    <w:rsid w:val="4B5A08EA"/>
    <w:rsid w:val="4B681825"/>
    <w:rsid w:val="4B7A328D"/>
    <w:rsid w:val="4B7D6ED4"/>
    <w:rsid w:val="4B82481F"/>
    <w:rsid w:val="4B9B74CA"/>
    <w:rsid w:val="4BA44398"/>
    <w:rsid w:val="4BA73EAA"/>
    <w:rsid w:val="4BAD40BA"/>
    <w:rsid w:val="4BB55A99"/>
    <w:rsid w:val="4BB937F6"/>
    <w:rsid w:val="4BBC3012"/>
    <w:rsid w:val="4BC10391"/>
    <w:rsid w:val="4BC468C7"/>
    <w:rsid w:val="4BD74E03"/>
    <w:rsid w:val="4BD87EA2"/>
    <w:rsid w:val="4BDE19D8"/>
    <w:rsid w:val="4BF53AB2"/>
    <w:rsid w:val="4C114435"/>
    <w:rsid w:val="4C267B77"/>
    <w:rsid w:val="4C2A0202"/>
    <w:rsid w:val="4C3239AB"/>
    <w:rsid w:val="4C3A1B0F"/>
    <w:rsid w:val="4C3E1A46"/>
    <w:rsid w:val="4C482B96"/>
    <w:rsid w:val="4C4F7043"/>
    <w:rsid w:val="4C5F3227"/>
    <w:rsid w:val="4C7A146E"/>
    <w:rsid w:val="4C93693B"/>
    <w:rsid w:val="4CB454C2"/>
    <w:rsid w:val="4CC07657"/>
    <w:rsid w:val="4CD463A8"/>
    <w:rsid w:val="4CD636E1"/>
    <w:rsid w:val="4CDD248F"/>
    <w:rsid w:val="4CEE138A"/>
    <w:rsid w:val="4CFF4B8B"/>
    <w:rsid w:val="4D111C06"/>
    <w:rsid w:val="4D153518"/>
    <w:rsid w:val="4D18397E"/>
    <w:rsid w:val="4D361EB0"/>
    <w:rsid w:val="4D596507"/>
    <w:rsid w:val="4D6C40DA"/>
    <w:rsid w:val="4D781F53"/>
    <w:rsid w:val="4D7B7458"/>
    <w:rsid w:val="4D9134FB"/>
    <w:rsid w:val="4D977380"/>
    <w:rsid w:val="4DA47562"/>
    <w:rsid w:val="4DAD0B7D"/>
    <w:rsid w:val="4DB86B1C"/>
    <w:rsid w:val="4DD55B2C"/>
    <w:rsid w:val="4DD916DA"/>
    <w:rsid w:val="4DE3370C"/>
    <w:rsid w:val="4DFD1CC9"/>
    <w:rsid w:val="4E0055B4"/>
    <w:rsid w:val="4E035C14"/>
    <w:rsid w:val="4E0F7D9B"/>
    <w:rsid w:val="4E11080A"/>
    <w:rsid w:val="4E165397"/>
    <w:rsid w:val="4E1A07AF"/>
    <w:rsid w:val="4E34103A"/>
    <w:rsid w:val="4E346080"/>
    <w:rsid w:val="4E355EB9"/>
    <w:rsid w:val="4E36569A"/>
    <w:rsid w:val="4E4156AA"/>
    <w:rsid w:val="4E69157D"/>
    <w:rsid w:val="4E6A3E8A"/>
    <w:rsid w:val="4E6D5613"/>
    <w:rsid w:val="4E857374"/>
    <w:rsid w:val="4E8E528D"/>
    <w:rsid w:val="4E8E6798"/>
    <w:rsid w:val="4E8F13F8"/>
    <w:rsid w:val="4E950099"/>
    <w:rsid w:val="4E9D70DC"/>
    <w:rsid w:val="4EAB761B"/>
    <w:rsid w:val="4EC13CB8"/>
    <w:rsid w:val="4EE12A17"/>
    <w:rsid w:val="4F023276"/>
    <w:rsid w:val="4F065E54"/>
    <w:rsid w:val="4F0C76C4"/>
    <w:rsid w:val="4F2047C1"/>
    <w:rsid w:val="4F45018B"/>
    <w:rsid w:val="4F5265C5"/>
    <w:rsid w:val="4F6C24BD"/>
    <w:rsid w:val="4F7D603F"/>
    <w:rsid w:val="4F8627FB"/>
    <w:rsid w:val="4FAA5B08"/>
    <w:rsid w:val="4FC52E7C"/>
    <w:rsid w:val="4FCF416D"/>
    <w:rsid w:val="4FD23C6E"/>
    <w:rsid w:val="4FD74DA7"/>
    <w:rsid w:val="4FDC3B1B"/>
    <w:rsid w:val="4FE538EE"/>
    <w:rsid w:val="4FEC7766"/>
    <w:rsid w:val="4FFB60DD"/>
    <w:rsid w:val="4FFF0121"/>
    <w:rsid w:val="50005D14"/>
    <w:rsid w:val="50111BC2"/>
    <w:rsid w:val="50194255"/>
    <w:rsid w:val="503241CC"/>
    <w:rsid w:val="503A2686"/>
    <w:rsid w:val="50437846"/>
    <w:rsid w:val="50723F4B"/>
    <w:rsid w:val="50727272"/>
    <w:rsid w:val="50774934"/>
    <w:rsid w:val="50815758"/>
    <w:rsid w:val="509B3E9C"/>
    <w:rsid w:val="50B3372E"/>
    <w:rsid w:val="50BF13AF"/>
    <w:rsid w:val="50C26E13"/>
    <w:rsid w:val="50C614C6"/>
    <w:rsid w:val="50D86F3A"/>
    <w:rsid w:val="50DB4DE1"/>
    <w:rsid w:val="50EB081B"/>
    <w:rsid w:val="50F330E0"/>
    <w:rsid w:val="51044BD4"/>
    <w:rsid w:val="51372737"/>
    <w:rsid w:val="51527456"/>
    <w:rsid w:val="5169182A"/>
    <w:rsid w:val="51715258"/>
    <w:rsid w:val="51801237"/>
    <w:rsid w:val="51892DE1"/>
    <w:rsid w:val="5192220E"/>
    <w:rsid w:val="519A039C"/>
    <w:rsid w:val="519C4D87"/>
    <w:rsid w:val="519F5DF6"/>
    <w:rsid w:val="51A3267D"/>
    <w:rsid w:val="51A54036"/>
    <w:rsid w:val="51A62F29"/>
    <w:rsid w:val="51B66D4E"/>
    <w:rsid w:val="51BE62B1"/>
    <w:rsid w:val="51D2251D"/>
    <w:rsid w:val="51E27B3E"/>
    <w:rsid w:val="51EC4BDD"/>
    <w:rsid w:val="51FE1764"/>
    <w:rsid w:val="521558E7"/>
    <w:rsid w:val="521A11ED"/>
    <w:rsid w:val="52287A6E"/>
    <w:rsid w:val="524248AB"/>
    <w:rsid w:val="524B01E7"/>
    <w:rsid w:val="524E378D"/>
    <w:rsid w:val="525F2D7B"/>
    <w:rsid w:val="52602064"/>
    <w:rsid w:val="52702F60"/>
    <w:rsid w:val="52713294"/>
    <w:rsid w:val="527E51CF"/>
    <w:rsid w:val="52A61F88"/>
    <w:rsid w:val="52AD5E2B"/>
    <w:rsid w:val="52B97A22"/>
    <w:rsid w:val="52CB76AD"/>
    <w:rsid w:val="52D32DA2"/>
    <w:rsid w:val="52FF0B9F"/>
    <w:rsid w:val="53024E02"/>
    <w:rsid w:val="53145947"/>
    <w:rsid w:val="531702B4"/>
    <w:rsid w:val="53273D9C"/>
    <w:rsid w:val="532D05E0"/>
    <w:rsid w:val="533B77B0"/>
    <w:rsid w:val="533F4536"/>
    <w:rsid w:val="53465A46"/>
    <w:rsid w:val="535213CD"/>
    <w:rsid w:val="53687C4C"/>
    <w:rsid w:val="537122FA"/>
    <w:rsid w:val="537D7930"/>
    <w:rsid w:val="53894B59"/>
    <w:rsid w:val="538B0112"/>
    <w:rsid w:val="538E725C"/>
    <w:rsid w:val="53982194"/>
    <w:rsid w:val="539B6065"/>
    <w:rsid w:val="53A079DF"/>
    <w:rsid w:val="53AB02C5"/>
    <w:rsid w:val="53B03AFF"/>
    <w:rsid w:val="53C76A09"/>
    <w:rsid w:val="53CC046C"/>
    <w:rsid w:val="53D96DBA"/>
    <w:rsid w:val="53E836DC"/>
    <w:rsid w:val="53FC08AC"/>
    <w:rsid w:val="53FE5903"/>
    <w:rsid w:val="54070B65"/>
    <w:rsid w:val="540C2229"/>
    <w:rsid w:val="540C5A02"/>
    <w:rsid w:val="541B6D92"/>
    <w:rsid w:val="542811FB"/>
    <w:rsid w:val="54356FA1"/>
    <w:rsid w:val="54413138"/>
    <w:rsid w:val="544979A1"/>
    <w:rsid w:val="544B56E0"/>
    <w:rsid w:val="544F4551"/>
    <w:rsid w:val="54622BB7"/>
    <w:rsid w:val="547A0B7B"/>
    <w:rsid w:val="54807052"/>
    <w:rsid w:val="54873C64"/>
    <w:rsid w:val="54A10984"/>
    <w:rsid w:val="54A33843"/>
    <w:rsid w:val="54AB746C"/>
    <w:rsid w:val="54BA7B0F"/>
    <w:rsid w:val="54BC0A6D"/>
    <w:rsid w:val="54C25D78"/>
    <w:rsid w:val="54C26B95"/>
    <w:rsid w:val="54CA4808"/>
    <w:rsid w:val="54CC0A10"/>
    <w:rsid w:val="54D45C2B"/>
    <w:rsid w:val="54D838DF"/>
    <w:rsid w:val="54DD25DA"/>
    <w:rsid w:val="54EE0758"/>
    <w:rsid w:val="54F21199"/>
    <w:rsid w:val="55156E6F"/>
    <w:rsid w:val="55287578"/>
    <w:rsid w:val="554028FD"/>
    <w:rsid w:val="554D43A8"/>
    <w:rsid w:val="55511911"/>
    <w:rsid w:val="55530036"/>
    <w:rsid w:val="55566B53"/>
    <w:rsid w:val="55573AD9"/>
    <w:rsid w:val="555D4ADC"/>
    <w:rsid w:val="55680229"/>
    <w:rsid w:val="55806349"/>
    <w:rsid w:val="55A2468A"/>
    <w:rsid w:val="55A75606"/>
    <w:rsid w:val="55AA1DCC"/>
    <w:rsid w:val="55B51E72"/>
    <w:rsid w:val="55B624AF"/>
    <w:rsid w:val="55B72317"/>
    <w:rsid w:val="55C45CA8"/>
    <w:rsid w:val="55C66002"/>
    <w:rsid w:val="55CA789D"/>
    <w:rsid w:val="55D03625"/>
    <w:rsid w:val="55DF6C3E"/>
    <w:rsid w:val="55EB6565"/>
    <w:rsid w:val="55FC7816"/>
    <w:rsid w:val="56102936"/>
    <w:rsid w:val="5611051F"/>
    <w:rsid w:val="56116E3C"/>
    <w:rsid w:val="5612208B"/>
    <w:rsid w:val="561712E9"/>
    <w:rsid w:val="561A4278"/>
    <w:rsid w:val="56200E67"/>
    <w:rsid w:val="562041FB"/>
    <w:rsid w:val="56283E29"/>
    <w:rsid w:val="562C7B75"/>
    <w:rsid w:val="563D19C8"/>
    <w:rsid w:val="56427B16"/>
    <w:rsid w:val="56537465"/>
    <w:rsid w:val="56545DE3"/>
    <w:rsid w:val="566078FF"/>
    <w:rsid w:val="56612AF2"/>
    <w:rsid w:val="566B62B3"/>
    <w:rsid w:val="56726CAF"/>
    <w:rsid w:val="56771F3A"/>
    <w:rsid w:val="56796D6B"/>
    <w:rsid w:val="567A1E21"/>
    <w:rsid w:val="568674F9"/>
    <w:rsid w:val="56A71EF5"/>
    <w:rsid w:val="56BD7703"/>
    <w:rsid w:val="56BD7FCA"/>
    <w:rsid w:val="56BE6947"/>
    <w:rsid w:val="56C026CD"/>
    <w:rsid w:val="56C05DCD"/>
    <w:rsid w:val="56C11469"/>
    <w:rsid w:val="56C804DB"/>
    <w:rsid w:val="56CE4A87"/>
    <w:rsid w:val="56E831A3"/>
    <w:rsid w:val="56F907B3"/>
    <w:rsid w:val="57032B1B"/>
    <w:rsid w:val="57057469"/>
    <w:rsid w:val="57066D19"/>
    <w:rsid w:val="570C4AE6"/>
    <w:rsid w:val="5712069D"/>
    <w:rsid w:val="57122D85"/>
    <w:rsid w:val="573356F2"/>
    <w:rsid w:val="57342DAE"/>
    <w:rsid w:val="57391BC7"/>
    <w:rsid w:val="573D72DC"/>
    <w:rsid w:val="573F3395"/>
    <w:rsid w:val="575829D6"/>
    <w:rsid w:val="57594CD9"/>
    <w:rsid w:val="57595ED2"/>
    <w:rsid w:val="576839E7"/>
    <w:rsid w:val="576D4221"/>
    <w:rsid w:val="57787FDD"/>
    <w:rsid w:val="57793ED6"/>
    <w:rsid w:val="577E726B"/>
    <w:rsid w:val="57852F40"/>
    <w:rsid w:val="57947046"/>
    <w:rsid w:val="57987DD4"/>
    <w:rsid w:val="579E657C"/>
    <w:rsid w:val="57A72A06"/>
    <w:rsid w:val="57B412F8"/>
    <w:rsid w:val="57C06D0F"/>
    <w:rsid w:val="57D367F9"/>
    <w:rsid w:val="57D46449"/>
    <w:rsid w:val="57E27CD4"/>
    <w:rsid w:val="58070714"/>
    <w:rsid w:val="580B1C9E"/>
    <w:rsid w:val="581B2CD4"/>
    <w:rsid w:val="581D1822"/>
    <w:rsid w:val="583B5543"/>
    <w:rsid w:val="584F64CE"/>
    <w:rsid w:val="58666E5B"/>
    <w:rsid w:val="588076B5"/>
    <w:rsid w:val="58896B4C"/>
    <w:rsid w:val="588B3186"/>
    <w:rsid w:val="58971450"/>
    <w:rsid w:val="589E630C"/>
    <w:rsid w:val="58B01932"/>
    <w:rsid w:val="58BB45FF"/>
    <w:rsid w:val="58C62B58"/>
    <w:rsid w:val="58D270F7"/>
    <w:rsid w:val="58FA1D89"/>
    <w:rsid w:val="58FB7B70"/>
    <w:rsid w:val="59481DDC"/>
    <w:rsid w:val="59482C48"/>
    <w:rsid w:val="59554FEC"/>
    <w:rsid w:val="596C35C7"/>
    <w:rsid w:val="597170AA"/>
    <w:rsid w:val="597474CE"/>
    <w:rsid w:val="597B287E"/>
    <w:rsid w:val="59836FF2"/>
    <w:rsid w:val="59960225"/>
    <w:rsid w:val="59A45C5B"/>
    <w:rsid w:val="59A76531"/>
    <w:rsid w:val="59BF6791"/>
    <w:rsid w:val="59D304F8"/>
    <w:rsid w:val="59F216EE"/>
    <w:rsid w:val="59F36784"/>
    <w:rsid w:val="59F915B9"/>
    <w:rsid w:val="5A146E4E"/>
    <w:rsid w:val="5A1D0200"/>
    <w:rsid w:val="5A207907"/>
    <w:rsid w:val="5A3E4763"/>
    <w:rsid w:val="5A494DD3"/>
    <w:rsid w:val="5A554C83"/>
    <w:rsid w:val="5A5B1F7C"/>
    <w:rsid w:val="5A5F6EFC"/>
    <w:rsid w:val="5A6900DB"/>
    <w:rsid w:val="5A9E76FC"/>
    <w:rsid w:val="5A9F65EB"/>
    <w:rsid w:val="5AAE487E"/>
    <w:rsid w:val="5AAE66A0"/>
    <w:rsid w:val="5ABC5E04"/>
    <w:rsid w:val="5AD40CC4"/>
    <w:rsid w:val="5B125C86"/>
    <w:rsid w:val="5B1E4B5D"/>
    <w:rsid w:val="5B20177C"/>
    <w:rsid w:val="5B2D1D8E"/>
    <w:rsid w:val="5B2D6DA9"/>
    <w:rsid w:val="5B407334"/>
    <w:rsid w:val="5B431227"/>
    <w:rsid w:val="5B8C7005"/>
    <w:rsid w:val="5BAF0BE9"/>
    <w:rsid w:val="5BB04CB0"/>
    <w:rsid w:val="5BB1235F"/>
    <w:rsid w:val="5BB6420F"/>
    <w:rsid w:val="5BC86E46"/>
    <w:rsid w:val="5BC933E8"/>
    <w:rsid w:val="5BDE751B"/>
    <w:rsid w:val="5BE82AB0"/>
    <w:rsid w:val="5BEF1961"/>
    <w:rsid w:val="5BF84B2A"/>
    <w:rsid w:val="5C012825"/>
    <w:rsid w:val="5C182F1B"/>
    <w:rsid w:val="5C26561D"/>
    <w:rsid w:val="5C496A4B"/>
    <w:rsid w:val="5C5B2435"/>
    <w:rsid w:val="5C611080"/>
    <w:rsid w:val="5C6E40D8"/>
    <w:rsid w:val="5C7A0526"/>
    <w:rsid w:val="5C7E1928"/>
    <w:rsid w:val="5C813EAD"/>
    <w:rsid w:val="5C8231F7"/>
    <w:rsid w:val="5C8D30BC"/>
    <w:rsid w:val="5CA5105D"/>
    <w:rsid w:val="5CA76EEA"/>
    <w:rsid w:val="5CB15402"/>
    <w:rsid w:val="5CB85B41"/>
    <w:rsid w:val="5CB9171F"/>
    <w:rsid w:val="5CB93BD0"/>
    <w:rsid w:val="5CC1464D"/>
    <w:rsid w:val="5CD449C8"/>
    <w:rsid w:val="5CD77F8F"/>
    <w:rsid w:val="5CE662A8"/>
    <w:rsid w:val="5CE92FAC"/>
    <w:rsid w:val="5CEA770B"/>
    <w:rsid w:val="5CEC7D56"/>
    <w:rsid w:val="5CF13AF2"/>
    <w:rsid w:val="5CFE757D"/>
    <w:rsid w:val="5D024229"/>
    <w:rsid w:val="5D04533B"/>
    <w:rsid w:val="5D0E25F0"/>
    <w:rsid w:val="5D45447F"/>
    <w:rsid w:val="5D46737C"/>
    <w:rsid w:val="5D6D7849"/>
    <w:rsid w:val="5D7138F5"/>
    <w:rsid w:val="5D780581"/>
    <w:rsid w:val="5D7B500F"/>
    <w:rsid w:val="5DA65615"/>
    <w:rsid w:val="5DB87DA1"/>
    <w:rsid w:val="5DC13A63"/>
    <w:rsid w:val="5DC42414"/>
    <w:rsid w:val="5DC56ADF"/>
    <w:rsid w:val="5DC81582"/>
    <w:rsid w:val="5DCE4B75"/>
    <w:rsid w:val="5DD96FB6"/>
    <w:rsid w:val="5DDC43B5"/>
    <w:rsid w:val="5DEF2531"/>
    <w:rsid w:val="5DF016D2"/>
    <w:rsid w:val="5DF26889"/>
    <w:rsid w:val="5E04630A"/>
    <w:rsid w:val="5E194A1C"/>
    <w:rsid w:val="5E3331ED"/>
    <w:rsid w:val="5E475E47"/>
    <w:rsid w:val="5E495096"/>
    <w:rsid w:val="5E4A09B6"/>
    <w:rsid w:val="5E61498E"/>
    <w:rsid w:val="5E637AE5"/>
    <w:rsid w:val="5E67215A"/>
    <w:rsid w:val="5E771F38"/>
    <w:rsid w:val="5E7B7E06"/>
    <w:rsid w:val="5E7C1305"/>
    <w:rsid w:val="5EA34F20"/>
    <w:rsid w:val="5EA5530B"/>
    <w:rsid w:val="5EAD39B4"/>
    <w:rsid w:val="5EC65C94"/>
    <w:rsid w:val="5EC91F4D"/>
    <w:rsid w:val="5ECF603A"/>
    <w:rsid w:val="5ED5198C"/>
    <w:rsid w:val="5ED86DAC"/>
    <w:rsid w:val="5EDB12E2"/>
    <w:rsid w:val="5EEB4428"/>
    <w:rsid w:val="5EFB32D4"/>
    <w:rsid w:val="5F063CA8"/>
    <w:rsid w:val="5F11517A"/>
    <w:rsid w:val="5F1542AB"/>
    <w:rsid w:val="5F1B74B7"/>
    <w:rsid w:val="5F223F31"/>
    <w:rsid w:val="5F304395"/>
    <w:rsid w:val="5F3A64AD"/>
    <w:rsid w:val="5F3C3B94"/>
    <w:rsid w:val="5F486780"/>
    <w:rsid w:val="5F54062F"/>
    <w:rsid w:val="5F67293A"/>
    <w:rsid w:val="5F6E5B19"/>
    <w:rsid w:val="5F7A4551"/>
    <w:rsid w:val="5F7E6FBB"/>
    <w:rsid w:val="5F8379B7"/>
    <w:rsid w:val="5F926F9A"/>
    <w:rsid w:val="5F930745"/>
    <w:rsid w:val="5FA85114"/>
    <w:rsid w:val="5FCA5103"/>
    <w:rsid w:val="5FDD0633"/>
    <w:rsid w:val="5FEF18A9"/>
    <w:rsid w:val="60000CAF"/>
    <w:rsid w:val="60064F26"/>
    <w:rsid w:val="60210522"/>
    <w:rsid w:val="6021580D"/>
    <w:rsid w:val="603563B6"/>
    <w:rsid w:val="60552D4F"/>
    <w:rsid w:val="60576B96"/>
    <w:rsid w:val="606519E6"/>
    <w:rsid w:val="6083496A"/>
    <w:rsid w:val="6088315D"/>
    <w:rsid w:val="60907A86"/>
    <w:rsid w:val="609D393F"/>
    <w:rsid w:val="60A9338D"/>
    <w:rsid w:val="60AD3C3E"/>
    <w:rsid w:val="60B531CB"/>
    <w:rsid w:val="60B85E7F"/>
    <w:rsid w:val="60C24BFB"/>
    <w:rsid w:val="60CA51E0"/>
    <w:rsid w:val="60D0373E"/>
    <w:rsid w:val="60F15F71"/>
    <w:rsid w:val="610416ED"/>
    <w:rsid w:val="61101A17"/>
    <w:rsid w:val="611729A2"/>
    <w:rsid w:val="61261405"/>
    <w:rsid w:val="61411A85"/>
    <w:rsid w:val="61480E2B"/>
    <w:rsid w:val="614E6B7E"/>
    <w:rsid w:val="615901DF"/>
    <w:rsid w:val="615B3718"/>
    <w:rsid w:val="616D3334"/>
    <w:rsid w:val="6172529D"/>
    <w:rsid w:val="61844944"/>
    <w:rsid w:val="619762AA"/>
    <w:rsid w:val="61A31024"/>
    <w:rsid w:val="61B02C07"/>
    <w:rsid w:val="61B71215"/>
    <w:rsid w:val="61C37DAF"/>
    <w:rsid w:val="61C72C71"/>
    <w:rsid w:val="61D6303B"/>
    <w:rsid w:val="61DD7EAF"/>
    <w:rsid w:val="61E6327B"/>
    <w:rsid w:val="61EA6F23"/>
    <w:rsid w:val="61EF4C39"/>
    <w:rsid w:val="620A257E"/>
    <w:rsid w:val="6212688F"/>
    <w:rsid w:val="622B58E4"/>
    <w:rsid w:val="622D3B08"/>
    <w:rsid w:val="622E047C"/>
    <w:rsid w:val="62335D72"/>
    <w:rsid w:val="6235628D"/>
    <w:rsid w:val="623C10CC"/>
    <w:rsid w:val="624550F7"/>
    <w:rsid w:val="624C0693"/>
    <w:rsid w:val="624F5A05"/>
    <w:rsid w:val="62534E89"/>
    <w:rsid w:val="625C2BF5"/>
    <w:rsid w:val="62635CB2"/>
    <w:rsid w:val="6279096D"/>
    <w:rsid w:val="6279199C"/>
    <w:rsid w:val="629E17B2"/>
    <w:rsid w:val="62A57C4E"/>
    <w:rsid w:val="62AF5712"/>
    <w:rsid w:val="62B000B2"/>
    <w:rsid w:val="62B37519"/>
    <w:rsid w:val="62B419C8"/>
    <w:rsid w:val="62CF2914"/>
    <w:rsid w:val="62DD3FB2"/>
    <w:rsid w:val="62E658F3"/>
    <w:rsid w:val="62E9072E"/>
    <w:rsid w:val="62ED1021"/>
    <w:rsid w:val="630721FA"/>
    <w:rsid w:val="631B12FE"/>
    <w:rsid w:val="631C71B3"/>
    <w:rsid w:val="63343EC4"/>
    <w:rsid w:val="633F06A2"/>
    <w:rsid w:val="634363B4"/>
    <w:rsid w:val="634F68D8"/>
    <w:rsid w:val="63865D94"/>
    <w:rsid w:val="63967A9D"/>
    <w:rsid w:val="63A31776"/>
    <w:rsid w:val="63AF0E28"/>
    <w:rsid w:val="63B019C5"/>
    <w:rsid w:val="63BB7D52"/>
    <w:rsid w:val="63C130CC"/>
    <w:rsid w:val="63CB4250"/>
    <w:rsid w:val="63D52C19"/>
    <w:rsid w:val="63D92EB4"/>
    <w:rsid w:val="63EA73A4"/>
    <w:rsid w:val="64020711"/>
    <w:rsid w:val="641A4F53"/>
    <w:rsid w:val="643D708A"/>
    <w:rsid w:val="64422124"/>
    <w:rsid w:val="64486578"/>
    <w:rsid w:val="64610954"/>
    <w:rsid w:val="646D7A5D"/>
    <w:rsid w:val="64837602"/>
    <w:rsid w:val="648D12C0"/>
    <w:rsid w:val="64937045"/>
    <w:rsid w:val="64941D03"/>
    <w:rsid w:val="64962ADB"/>
    <w:rsid w:val="64980B03"/>
    <w:rsid w:val="64A34C18"/>
    <w:rsid w:val="64AA481D"/>
    <w:rsid w:val="64B35F14"/>
    <w:rsid w:val="64CA33BB"/>
    <w:rsid w:val="64CD6291"/>
    <w:rsid w:val="64E0471D"/>
    <w:rsid w:val="64F17FB6"/>
    <w:rsid w:val="64F31ABC"/>
    <w:rsid w:val="64F804B6"/>
    <w:rsid w:val="651C1580"/>
    <w:rsid w:val="652D1A5C"/>
    <w:rsid w:val="65507504"/>
    <w:rsid w:val="65594D61"/>
    <w:rsid w:val="655B19F7"/>
    <w:rsid w:val="656806A0"/>
    <w:rsid w:val="656A595B"/>
    <w:rsid w:val="658B105D"/>
    <w:rsid w:val="659A6C82"/>
    <w:rsid w:val="65A167D8"/>
    <w:rsid w:val="65C544D3"/>
    <w:rsid w:val="65CA722B"/>
    <w:rsid w:val="65F92235"/>
    <w:rsid w:val="6600404B"/>
    <w:rsid w:val="660E2891"/>
    <w:rsid w:val="660E3893"/>
    <w:rsid w:val="66143F57"/>
    <w:rsid w:val="662C7273"/>
    <w:rsid w:val="662D4297"/>
    <w:rsid w:val="66300A4F"/>
    <w:rsid w:val="66345C6B"/>
    <w:rsid w:val="663900B7"/>
    <w:rsid w:val="663B021F"/>
    <w:rsid w:val="663D17F4"/>
    <w:rsid w:val="66416332"/>
    <w:rsid w:val="664307D5"/>
    <w:rsid w:val="6647313A"/>
    <w:rsid w:val="66614EFB"/>
    <w:rsid w:val="666D7837"/>
    <w:rsid w:val="66700C45"/>
    <w:rsid w:val="668A43C5"/>
    <w:rsid w:val="669048D1"/>
    <w:rsid w:val="6691102F"/>
    <w:rsid w:val="6698335F"/>
    <w:rsid w:val="66A93263"/>
    <w:rsid w:val="66B92679"/>
    <w:rsid w:val="66C45095"/>
    <w:rsid w:val="66CD7AAE"/>
    <w:rsid w:val="66D04754"/>
    <w:rsid w:val="66D16BDD"/>
    <w:rsid w:val="66D51432"/>
    <w:rsid w:val="67121AD9"/>
    <w:rsid w:val="671E7365"/>
    <w:rsid w:val="672047BB"/>
    <w:rsid w:val="67430785"/>
    <w:rsid w:val="674D1DF9"/>
    <w:rsid w:val="67572A37"/>
    <w:rsid w:val="67593B39"/>
    <w:rsid w:val="675C5D7F"/>
    <w:rsid w:val="67601FF9"/>
    <w:rsid w:val="67660009"/>
    <w:rsid w:val="67751995"/>
    <w:rsid w:val="67794398"/>
    <w:rsid w:val="6779465F"/>
    <w:rsid w:val="678B5A6D"/>
    <w:rsid w:val="678F3DBF"/>
    <w:rsid w:val="6791224B"/>
    <w:rsid w:val="67952D6B"/>
    <w:rsid w:val="67A74DC8"/>
    <w:rsid w:val="67BB1188"/>
    <w:rsid w:val="67D95EDF"/>
    <w:rsid w:val="67DB707C"/>
    <w:rsid w:val="6809510D"/>
    <w:rsid w:val="6812150A"/>
    <w:rsid w:val="68230C9B"/>
    <w:rsid w:val="682F3E5E"/>
    <w:rsid w:val="68310E26"/>
    <w:rsid w:val="68390BE3"/>
    <w:rsid w:val="683A5046"/>
    <w:rsid w:val="68657AF4"/>
    <w:rsid w:val="6867650B"/>
    <w:rsid w:val="68817AEA"/>
    <w:rsid w:val="68835019"/>
    <w:rsid w:val="6884144A"/>
    <w:rsid w:val="68856EDC"/>
    <w:rsid w:val="688827FE"/>
    <w:rsid w:val="68950E1B"/>
    <w:rsid w:val="68A0612E"/>
    <w:rsid w:val="68A608B5"/>
    <w:rsid w:val="68B975C4"/>
    <w:rsid w:val="68BA0C3B"/>
    <w:rsid w:val="68BE3ED0"/>
    <w:rsid w:val="68C14ED1"/>
    <w:rsid w:val="68C479BD"/>
    <w:rsid w:val="68C47A98"/>
    <w:rsid w:val="68C55EB8"/>
    <w:rsid w:val="68CA1534"/>
    <w:rsid w:val="68FA271B"/>
    <w:rsid w:val="68FA6404"/>
    <w:rsid w:val="69136ABD"/>
    <w:rsid w:val="69354D32"/>
    <w:rsid w:val="693B677C"/>
    <w:rsid w:val="693D5B9E"/>
    <w:rsid w:val="694D7787"/>
    <w:rsid w:val="695140B5"/>
    <w:rsid w:val="6961623D"/>
    <w:rsid w:val="69674FF3"/>
    <w:rsid w:val="69675EF1"/>
    <w:rsid w:val="6995609F"/>
    <w:rsid w:val="69977381"/>
    <w:rsid w:val="69986DB3"/>
    <w:rsid w:val="699D520F"/>
    <w:rsid w:val="69B36B8F"/>
    <w:rsid w:val="69C77D00"/>
    <w:rsid w:val="69CD5473"/>
    <w:rsid w:val="69D41B2A"/>
    <w:rsid w:val="69F02037"/>
    <w:rsid w:val="69FA34D4"/>
    <w:rsid w:val="69FC2AE6"/>
    <w:rsid w:val="6A0002E0"/>
    <w:rsid w:val="6A185A9B"/>
    <w:rsid w:val="6A2B6F13"/>
    <w:rsid w:val="6A367908"/>
    <w:rsid w:val="6A375CA7"/>
    <w:rsid w:val="6A3D0BD8"/>
    <w:rsid w:val="6A47607F"/>
    <w:rsid w:val="6A4F363B"/>
    <w:rsid w:val="6A4F56D5"/>
    <w:rsid w:val="6A550DB3"/>
    <w:rsid w:val="6A5D47C9"/>
    <w:rsid w:val="6A5D4F3E"/>
    <w:rsid w:val="6A655E11"/>
    <w:rsid w:val="6A704584"/>
    <w:rsid w:val="6A714EB0"/>
    <w:rsid w:val="6A793241"/>
    <w:rsid w:val="6A7E54D8"/>
    <w:rsid w:val="6A8240B1"/>
    <w:rsid w:val="6A940E3D"/>
    <w:rsid w:val="6A960D3F"/>
    <w:rsid w:val="6AAB52E9"/>
    <w:rsid w:val="6AB516ED"/>
    <w:rsid w:val="6AC135EB"/>
    <w:rsid w:val="6AC1707A"/>
    <w:rsid w:val="6AC20E07"/>
    <w:rsid w:val="6AD2059E"/>
    <w:rsid w:val="6AD5667B"/>
    <w:rsid w:val="6AD96DFF"/>
    <w:rsid w:val="6AE80D42"/>
    <w:rsid w:val="6AEC7965"/>
    <w:rsid w:val="6AF31995"/>
    <w:rsid w:val="6AF80245"/>
    <w:rsid w:val="6AF80A6F"/>
    <w:rsid w:val="6AF911E0"/>
    <w:rsid w:val="6B021795"/>
    <w:rsid w:val="6B0C7FB7"/>
    <w:rsid w:val="6B186DAE"/>
    <w:rsid w:val="6B35765E"/>
    <w:rsid w:val="6B362ECF"/>
    <w:rsid w:val="6B3F7D17"/>
    <w:rsid w:val="6B7169CB"/>
    <w:rsid w:val="6B761001"/>
    <w:rsid w:val="6B864C3E"/>
    <w:rsid w:val="6B8C7201"/>
    <w:rsid w:val="6B9775A7"/>
    <w:rsid w:val="6B9E6D88"/>
    <w:rsid w:val="6BA87479"/>
    <w:rsid w:val="6BBA4E12"/>
    <w:rsid w:val="6BCA1DAB"/>
    <w:rsid w:val="6BCC34D2"/>
    <w:rsid w:val="6BCD6443"/>
    <w:rsid w:val="6BE00AAC"/>
    <w:rsid w:val="6BEB35A9"/>
    <w:rsid w:val="6BEE1809"/>
    <w:rsid w:val="6BF30CA7"/>
    <w:rsid w:val="6BFA11B1"/>
    <w:rsid w:val="6BFB4313"/>
    <w:rsid w:val="6C02655E"/>
    <w:rsid w:val="6C0B617C"/>
    <w:rsid w:val="6C0C053C"/>
    <w:rsid w:val="6C0F0F2A"/>
    <w:rsid w:val="6C1312E9"/>
    <w:rsid w:val="6C190AFF"/>
    <w:rsid w:val="6C195FC7"/>
    <w:rsid w:val="6C252569"/>
    <w:rsid w:val="6C277C70"/>
    <w:rsid w:val="6C312954"/>
    <w:rsid w:val="6C37643E"/>
    <w:rsid w:val="6C383229"/>
    <w:rsid w:val="6C3D50F4"/>
    <w:rsid w:val="6C557DFC"/>
    <w:rsid w:val="6C78161F"/>
    <w:rsid w:val="6C7950C8"/>
    <w:rsid w:val="6C7C2B64"/>
    <w:rsid w:val="6C800E41"/>
    <w:rsid w:val="6C820AA8"/>
    <w:rsid w:val="6C932900"/>
    <w:rsid w:val="6C9D732F"/>
    <w:rsid w:val="6C9E30F3"/>
    <w:rsid w:val="6CB82C48"/>
    <w:rsid w:val="6CC12A94"/>
    <w:rsid w:val="6CD16534"/>
    <w:rsid w:val="6CDC5E27"/>
    <w:rsid w:val="6CE303A9"/>
    <w:rsid w:val="6CEA6D00"/>
    <w:rsid w:val="6CFA192C"/>
    <w:rsid w:val="6D0541AE"/>
    <w:rsid w:val="6D351C0E"/>
    <w:rsid w:val="6D3A43AA"/>
    <w:rsid w:val="6D6D5C4B"/>
    <w:rsid w:val="6D7D14BF"/>
    <w:rsid w:val="6D9909EB"/>
    <w:rsid w:val="6DB43B05"/>
    <w:rsid w:val="6DB75ADB"/>
    <w:rsid w:val="6DBA2F52"/>
    <w:rsid w:val="6DBA61F5"/>
    <w:rsid w:val="6DCB100E"/>
    <w:rsid w:val="6DD540D4"/>
    <w:rsid w:val="6DD94931"/>
    <w:rsid w:val="6DD94BF2"/>
    <w:rsid w:val="6DDA7A2F"/>
    <w:rsid w:val="6DDB4755"/>
    <w:rsid w:val="6DE6288A"/>
    <w:rsid w:val="6DE71555"/>
    <w:rsid w:val="6DF7196B"/>
    <w:rsid w:val="6E062704"/>
    <w:rsid w:val="6E13734A"/>
    <w:rsid w:val="6E2C7E25"/>
    <w:rsid w:val="6E3230B6"/>
    <w:rsid w:val="6E417AF7"/>
    <w:rsid w:val="6E5A2E80"/>
    <w:rsid w:val="6E631DBA"/>
    <w:rsid w:val="6E635BA5"/>
    <w:rsid w:val="6E6C51E6"/>
    <w:rsid w:val="6E760BB3"/>
    <w:rsid w:val="6E7A00B8"/>
    <w:rsid w:val="6E7B7F2D"/>
    <w:rsid w:val="6E7D245F"/>
    <w:rsid w:val="6E9343C4"/>
    <w:rsid w:val="6E9A4F2D"/>
    <w:rsid w:val="6EA93605"/>
    <w:rsid w:val="6EB23D3B"/>
    <w:rsid w:val="6EB6782D"/>
    <w:rsid w:val="6ED63DFB"/>
    <w:rsid w:val="6EDC1551"/>
    <w:rsid w:val="6EE8656E"/>
    <w:rsid w:val="6EE94BE9"/>
    <w:rsid w:val="6EE97495"/>
    <w:rsid w:val="6F0768ED"/>
    <w:rsid w:val="6F0E20F6"/>
    <w:rsid w:val="6F151480"/>
    <w:rsid w:val="6F1A287A"/>
    <w:rsid w:val="6F1F5650"/>
    <w:rsid w:val="6F28036B"/>
    <w:rsid w:val="6F322B3C"/>
    <w:rsid w:val="6F351740"/>
    <w:rsid w:val="6F410C8C"/>
    <w:rsid w:val="6F5143BB"/>
    <w:rsid w:val="6F67154E"/>
    <w:rsid w:val="6F6D36D3"/>
    <w:rsid w:val="6F7029B4"/>
    <w:rsid w:val="6F7640EF"/>
    <w:rsid w:val="6F77073C"/>
    <w:rsid w:val="6F92269E"/>
    <w:rsid w:val="6FAD572A"/>
    <w:rsid w:val="6FB969B2"/>
    <w:rsid w:val="6FC90A0B"/>
    <w:rsid w:val="6FD95D43"/>
    <w:rsid w:val="6FDB3D85"/>
    <w:rsid w:val="6FE42F4F"/>
    <w:rsid w:val="6FF458DC"/>
    <w:rsid w:val="6FF86E93"/>
    <w:rsid w:val="700E4ECA"/>
    <w:rsid w:val="70184495"/>
    <w:rsid w:val="70275408"/>
    <w:rsid w:val="70303805"/>
    <w:rsid w:val="703C515A"/>
    <w:rsid w:val="7040781C"/>
    <w:rsid w:val="704845E9"/>
    <w:rsid w:val="705D1AB8"/>
    <w:rsid w:val="707D4838"/>
    <w:rsid w:val="70A1038A"/>
    <w:rsid w:val="70A205D0"/>
    <w:rsid w:val="70A756E7"/>
    <w:rsid w:val="70AB23BB"/>
    <w:rsid w:val="70B272E5"/>
    <w:rsid w:val="70BC3320"/>
    <w:rsid w:val="70C8064B"/>
    <w:rsid w:val="70E9502E"/>
    <w:rsid w:val="70F156B7"/>
    <w:rsid w:val="71091301"/>
    <w:rsid w:val="711138BE"/>
    <w:rsid w:val="711437F1"/>
    <w:rsid w:val="71210ED3"/>
    <w:rsid w:val="712B3B05"/>
    <w:rsid w:val="712B5C14"/>
    <w:rsid w:val="71310C59"/>
    <w:rsid w:val="7139027D"/>
    <w:rsid w:val="713C63F5"/>
    <w:rsid w:val="71411FD0"/>
    <w:rsid w:val="71421DFE"/>
    <w:rsid w:val="71461A10"/>
    <w:rsid w:val="71574772"/>
    <w:rsid w:val="715B3881"/>
    <w:rsid w:val="715E5655"/>
    <w:rsid w:val="715E66CB"/>
    <w:rsid w:val="719119DA"/>
    <w:rsid w:val="719D7ED8"/>
    <w:rsid w:val="719E489D"/>
    <w:rsid w:val="71B52AC1"/>
    <w:rsid w:val="71B76AB3"/>
    <w:rsid w:val="71D76C59"/>
    <w:rsid w:val="71EE35A0"/>
    <w:rsid w:val="71F93A60"/>
    <w:rsid w:val="720537CA"/>
    <w:rsid w:val="72077F03"/>
    <w:rsid w:val="720E69A0"/>
    <w:rsid w:val="722802B5"/>
    <w:rsid w:val="727549FF"/>
    <w:rsid w:val="72757389"/>
    <w:rsid w:val="72816057"/>
    <w:rsid w:val="728269FA"/>
    <w:rsid w:val="72914252"/>
    <w:rsid w:val="72993969"/>
    <w:rsid w:val="729A0A14"/>
    <w:rsid w:val="729C657B"/>
    <w:rsid w:val="72A20E4A"/>
    <w:rsid w:val="72A677BC"/>
    <w:rsid w:val="72A83AA6"/>
    <w:rsid w:val="72AE07DD"/>
    <w:rsid w:val="72BF1CE1"/>
    <w:rsid w:val="72C74270"/>
    <w:rsid w:val="72DB6911"/>
    <w:rsid w:val="72DF6382"/>
    <w:rsid w:val="72E94D4D"/>
    <w:rsid w:val="72EB2F1A"/>
    <w:rsid w:val="72ED13D1"/>
    <w:rsid w:val="72F2473D"/>
    <w:rsid w:val="72F35C55"/>
    <w:rsid w:val="72F52339"/>
    <w:rsid w:val="72FE766F"/>
    <w:rsid w:val="730E4F07"/>
    <w:rsid w:val="731143AC"/>
    <w:rsid w:val="731C6472"/>
    <w:rsid w:val="731F24F9"/>
    <w:rsid w:val="733467F9"/>
    <w:rsid w:val="7348642B"/>
    <w:rsid w:val="7393239B"/>
    <w:rsid w:val="739F1C5A"/>
    <w:rsid w:val="73A350F2"/>
    <w:rsid w:val="73A737AF"/>
    <w:rsid w:val="73B2647C"/>
    <w:rsid w:val="73BF79FD"/>
    <w:rsid w:val="73D3438E"/>
    <w:rsid w:val="73DB6981"/>
    <w:rsid w:val="73FF34E7"/>
    <w:rsid w:val="74090509"/>
    <w:rsid w:val="74123BB0"/>
    <w:rsid w:val="741257F7"/>
    <w:rsid w:val="74137A68"/>
    <w:rsid w:val="741B3BD3"/>
    <w:rsid w:val="742E645C"/>
    <w:rsid w:val="74305145"/>
    <w:rsid w:val="74372F7F"/>
    <w:rsid w:val="74480E08"/>
    <w:rsid w:val="745A18ED"/>
    <w:rsid w:val="74663A1A"/>
    <w:rsid w:val="74672FC0"/>
    <w:rsid w:val="747A19E5"/>
    <w:rsid w:val="748915EC"/>
    <w:rsid w:val="749F793A"/>
    <w:rsid w:val="74B93BC3"/>
    <w:rsid w:val="74BD1F21"/>
    <w:rsid w:val="74D71B46"/>
    <w:rsid w:val="74DF7750"/>
    <w:rsid w:val="74EC0C68"/>
    <w:rsid w:val="74EC45FF"/>
    <w:rsid w:val="750E0FF3"/>
    <w:rsid w:val="7513273D"/>
    <w:rsid w:val="75202BF2"/>
    <w:rsid w:val="752D6026"/>
    <w:rsid w:val="75302FA9"/>
    <w:rsid w:val="753605DA"/>
    <w:rsid w:val="75544963"/>
    <w:rsid w:val="75597AE2"/>
    <w:rsid w:val="755D538B"/>
    <w:rsid w:val="75621259"/>
    <w:rsid w:val="75755565"/>
    <w:rsid w:val="757A1C0A"/>
    <w:rsid w:val="757B4C92"/>
    <w:rsid w:val="759C1CCB"/>
    <w:rsid w:val="75A97258"/>
    <w:rsid w:val="75BB0D7A"/>
    <w:rsid w:val="75C30333"/>
    <w:rsid w:val="75DB5C60"/>
    <w:rsid w:val="75E94FE3"/>
    <w:rsid w:val="75EF68F9"/>
    <w:rsid w:val="76047E3F"/>
    <w:rsid w:val="76093E92"/>
    <w:rsid w:val="76110152"/>
    <w:rsid w:val="762A6B88"/>
    <w:rsid w:val="76440332"/>
    <w:rsid w:val="764F3EAF"/>
    <w:rsid w:val="76550301"/>
    <w:rsid w:val="766131E5"/>
    <w:rsid w:val="766A0B4F"/>
    <w:rsid w:val="766E189A"/>
    <w:rsid w:val="76790543"/>
    <w:rsid w:val="767B4926"/>
    <w:rsid w:val="76861A7C"/>
    <w:rsid w:val="76965F4B"/>
    <w:rsid w:val="7698763F"/>
    <w:rsid w:val="76AA5F56"/>
    <w:rsid w:val="76CE1732"/>
    <w:rsid w:val="76D13EC5"/>
    <w:rsid w:val="76EF3D3A"/>
    <w:rsid w:val="76F26983"/>
    <w:rsid w:val="76FC3314"/>
    <w:rsid w:val="770179FF"/>
    <w:rsid w:val="770C6008"/>
    <w:rsid w:val="771468E1"/>
    <w:rsid w:val="771A63A5"/>
    <w:rsid w:val="771F283A"/>
    <w:rsid w:val="77324B48"/>
    <w:rsid w:val="77342C74"/>
    <w:rsid w:val="77392263"/>
    <w:rsid w:val="7740560C"/>
    <w:rsid w:val="774919D9"/>
    <w:rsid w:val="77511550"/>
    <w:rsid w:val="775177CA"/>
    <w:rsid w:val="77543D60"/>
    <w:rsid w:val="77D72F9C"/>
    <w:rsid w:val="77E223D3"/>
    <w:rsid w:val="77FD1949"/>
    <w:rsid w:val="78052C4F"/>
    <w:rsid w:val="781E071D"/>
    <w:rsid w:val="781E16DA"/>
    <w:rsid w:val="78207581"/>
    <w:rsid w:val="782B1496"/>
    <w:rsid w:val="78503046"/>
    <w:rsid w:val="785C58BD"/>
    <w:rsid w:val="78606C12"/>
    <w:rsid w:val="786B097A"/>
    <w:rsid w:val="786B7919"/>
    <w:rsid w:val="786D436D"/>
    <w:rsid w:val="78711A35"/>
    <w:rsid w:val="787D1B14"/>
    <w:rsid w:val="788E69D6"/>
    <w:rsid w:val="78975CEE"/>
    <w:rsid w:val="78B34431"/>
    <w:rsid w:val="78B77B6A"/>
    <w:rsid w:val="78BB2D88"/>
    <w:rsid w:val="78C301F6"/>
    <w:rsid w:val="78E75D73"/>
    <w:rsid w:val="78F10906"/>
    <w:rsid w:val="78F31168"/>
    <w:rsid w:val="78F65FF2"/>
    <w:rsid w:val="78F7045B"/>
    <w:rsid w:val="78FD41A4"/>
    <w:rsid w:val="790A12A6"/>
    <w:rsid w:val="79210197"/>
    <w:rsid w:val="792A6CB1"/>
    <w:rsid w:val="79321AE6"/>
    <w:rsid w:val="7945613F"/>
    <w:rsid w:val="79475963"/>
    <w:rsid w:val="79503677"/>
    <w:rsid w:val="79514D85"/>
    <w:rsid w:val="79681C50"/>
    <w:rsid w:val="797C695F"/>
    <w:rsid w:val="797C72D1"/>
    <w:rsid w:val="79823214"/>
    <w:rsid w:val="799A4DE9"/>
    <w:rsid w:val="79A664DB"/>
    <w:rsid w:val="79BD73F0"/>
    <w:rsid w:val="79CE6EA1"/>
    <w:rsid w:val="79CF1766"/>
    <w:rsid w:val="79EC51DC"/>
    <w:rsid w:val="79FE2C78"/>
    <w:rsid w:val="7A066594"/>
    <w:rsid w:val="7A13587B"/>
    <w:rsid w:val="7A2C652E"/>
    <w:rsid w:val="7A36754C"/>
    <w:rsid w:val="7A375C81"/>
    <w:rsid w:val="7A3947E2"/>
    <w:rsid w:val="7A5840FE"/>
    <w:rsid w:val="7A5860BC"/>
    <w:rsid w:val="7A724CF2"/>
    <w:rsid w:val="7A9452B2"/>
    <w:rsid w:val="7A99415C"/>
    <w:rsid w:val="7AA13B8F"/>
    <w:rsid w:val="7AB3098C"/>
    <w:rsid w:val="7AB61C7E"/>
    <w:rsid w:val="7ACA2A4C"/>
    <w:rsid w:val="7ACD1D2D"/>
    <w:rsid w:val="7AE80FCC"/>
    <w:rsid w:val="7AE96304"/>
    <w:rsid w:val="7B1304F0"/>
    <w:rsid w:val="7B212E8E"/>
    <w:rsid w:val="7B2E60A4"/>
    <w:rsid w:val="7B385F51"/>
    <w:rsid w:val="7B3867F0"/>
    <w:rsid w:val="7B47148D"/>
    <w:rsid w:val="7B6D3428"/>
    <w:rsid w:val="7B746C85"/>
    <w:rsid w:val="7B936D7B"/>
    <w:rsid w:val="7B9D2C18"/>
    <w:rsid w:val="7BA051AE"/>
    <w:rsid w:val="7BA30EB5"/>
    <w:rsid w:val="7BAF522F"/>
    <w:rsid w:val="7BBA51EB"/>
    <w:rsid w:val="7BDC6552"/>
    <w:rsid w:val="7BE43B01"/>
    <w:rsid w:val="7BE72B8F"/>
    <w:rsid w:val="7BF63B61"/>
    <w:rsid w:val="7BF9483A"/>
    <w:rsid w:val="7C076ADA"/>
    <w:rsid w:val="7C0A338D"/>
    <w:rsid w:val="7C0B254F"/>
    <w:rsid w:val="7C0D65C4"/>
    <w:rsid w:val="7C1B3D80"/>
    <w:rsid w:val="7C1C10A6"/>
    <w:rsid w:val="7C1E14F6"/>
    <w:rsid w:val="7C1E4E75"/>
    <w:rsid w:val="7C202354"/>
    <w:rsid w:val="7C256A85"/>
    <w:rsid w:val="7C2C733F"/>
    <w:rsid w:val="7C3511F1"/>
    <w:rsid w:val="7C417A1A"/>
    <w:rsid w:val="7C462FD1"/>
    <w:rsid w:val="7C466504"/>
    <w:rsid w:val="7C4E3D9F"/>
    <w:rsid w:val="7C532582"/>
    <w:rsid w:val="7C544857"/>
    <w:rsid w:val="7C667938"/>
    <w:rsid w:val="7C7259B4"/>
    <w:rsid w:val="7C926B62"/>
    <w:rsid w:val="7C941D9F"/>
    <w:rsid w:val="7C9E7A00"/>
    <w:rsid w:val="7CA939E5"/>
    <w:rsid w:val="7CB449CE"/>
    <w:rsid w:val="7CB52666"/>
    <w:rsid w:val="7CBA371F"/>
    <w:rsid w:val="7CE156DA"/>
    <w:rsid w:val="7CE24B0E"/>
    <w:rsid w:val="7D0C151B"/>
    <w:rsid w:val="7D0E4F87"/>
    <w:rsid w:val="7D183F21"/>
    <w:rsid w:val="7D25142D"/>
    <w:rsid w:val="7D262D92"/>
    <w:rsid w:val="7D2960B6"/>
    <w:rsid w:val="7D2C496A"/>
    <w:rsid w:val="7D3323D5"/>
    <w:rsid w:val="7D35348B"/>
    <w:rsid w:val="7D512CD2"/>
    <w:rsid w:val="7D522331"/>
    <w:rsid w:val="7D5C7887"/>
    <w:rsid w:val="7D6B189D"/>
    <w:rsid w:val="7DAC0DD7"/>
    <w:rsid w:val="7DCB3D7C"/>
    <w:rsid w:val="7DE332CB"/>
    <w:rsid w:val="7DEC38C1"/>
    <w:rsid w:val="7DED067B"/>
    <w:rsid w:val="7E041DAD"/>
    <w:rsid w:val="7E0531D9"/>
    <w:rsid w:val="7E2D6E7C"/>
    <w:rsid w:val="7E3805CD"/>
    <w:rsid w:val="7E3947AA"/>
    <w:rsid w:val="7E3C41C5"/>
    <w:rsid w:val="7E3D23AA"/>
    <w:rsid w:val="7E534248"/>
    <w:rsid w:val="7E6126DB"/>
    <w:rsid w:val="7E7214DC"/>
    <w:rsid w:val="7E9005C7"/>
    <w:rsid w:val="7E9605C0"/>
    <w:rsid w:val="7EA27301"/>
    <w:rsid w:val="7EA276B5"/>
    <w:rsid w:val="7EA5171B"/>
    <w:rsid w:val="7EA80AF3"/>
    <w:rsid w:val="7EAB2553"/>
    <w:rsid w:val="7EAE6D18"/>
    <w:rsid w:val="7EC86B24"/>
    <w:rsid w:val="7ED06219"/>
    <w:rsid w:val="7EE07FC9"/>
    <w:rsid w:val="7EE17F8F"/>
    <w:rsid w:val="7EEB3921"/>
    <w:rsid w:val="7EF57698"/>
    <w:rsid w:val="7EFA2974"/>
    <w:rsid w:val="7EFE5FC2"/>
    <w:rsid w:val="7F013DD3"/>
    <w:rsid w:val="7F1C2EF4"/>
    <w:rsid w:val="7F1C782A"/>
    <w:rsid w:val="7F25127C"/>
    <w:rsid w:val="7F3900E6"/>
    <w:rsid w:val="7F456216"/>
    <w:rsid w:val="7F4F4425"/>
    <w:rsid w:val="7F5E6515"/>
    <w:rsid w:val="7F681462"/>
    <w:rsid w:val="7F751663"/>
    <w:rsid w:val="7F791185"/>
    <w:rsid w:val="7F8339F4"/>
    <w:rsid w:val="7F860582"/>
    <w:rsid w:val="7F93453E"/>
    <w:rsid w:val="7FA4265B"/>
    <w:rsid w:val="7FB47634"/>
    <w:rsid w:val="7FC22B2C"/>
    <w:rsid w:val="7FCB0502"/>
    <w:rsid w:val="7FCC1A71"/>
    <w:rsid w:val="7FD96C3A"/>
    <w:rsid w:val="7FDA01A5"/>
    <w:rsid w:val="7FDF7637"/>
    <w:rsid w:val="7FE44DEC"/>
    <w:rsid w:val="7FE57388"/>
    <w:rsid w:val="7FE913DF"/>
    <w:rsid w:val="7FEA5D95"/>
    <w:rsid w:val="7FEC11AC"/>
    <w:rsid w:val="7FF4483D"/>
    <w:rsid w:val="7FF54C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99"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1"/>
    <w:autoRedefine/>
    <w:qFormat/>
    <w:uiPriority w:val="0"/>
    <w:pPr>
      <w:keepNext/>
      <w:keepLines/>
      <w:spacing w:before="340" w:after="330" w:line="240" w:lineRule="auto"/>
      <w:jc w:val="center"/>
      <w:outlineLvl w:val="0"/>
    </w:pPr>
    <w:rPr>
      <w:rFonts w:ascii="Times New Roman" w:hAnsi="Times New Roman" w:eastAsia="宋体"/>
      <w:b/>
      <w:bCs/>
      <w:kern w:val="44"/>
      <w:sz w:val="32"/>
      <w:szCs w:val="44"/>
    </w:rPr>
  </w:style>
  <w:style w:type="paragraph" w:styleId="3">
    <w:name w:val="heading 2"/>
    <w:basedOn w:val="1"/>
    <w:next w:val="1"/>
    <w:autoRedefine/>
    <w:qFormat/>
    <w:uiPriority w:val="0"/>
    <w:pPr>
      <w:keepNext/>
      <w:keepLines/>
      <w:autoSpaceDE w:val="0"/>
      <w:autoSpaceDN w:val="0"/>
      <w:adjustRightInd w:val="0"/>
      <w:spacing w:line="300" w:lineRule="auto"/>
      <w:jc w:val="center"/>
      <w:outlineLvl w:val="1"/>
    </w:pPr>
    <w:rPr>
      <w:rFonts w:ascii="Arial" w:hAnsi="Arial" w:eastAsia="黑体"/>
      <w:b/>
      <w:sz w:val="30"/>
    </w:rPr>
  </w:style>
  <w:style w:type="paragraph" w:styleId="4">
    <w:name w:val="heading 3"/>
    <w:basedOn w:val="1"/>
    <w:next w:val="1"/>
    <w:autoRedefine/>
    <w:qFormat/>
    <w:uiPriority w:val="0"/>
    <w:pPr>
      <w:keepNext/>
      <w:keepLines/>
      <w:widowControl/>
      <w:spacing w:before="260" w:after="260" w:line="416" w:lineRule="auto"/>
      <w:outlineLvl w:val="2"/>
    </w:pPr>
    <w:rPr>
      <w:b/>
      <w:bCs/>
      <w:sz w:val="32"/>
      <w:szCs w:val="32"/>
    </w:rPr>
  </w:style>
  <w:style w:type="paragraph" w:styleId="5">
    <w:name w:val="heading 4"/>
    <w:basedOn w:val="1"/>
    <w:next w:val="1"/>
    <w:autoRedefine/>
    <w:qFormat/>
    <w:uiPriority w:val="1"/>
    <w:pPr>
      <w:outlineLvl w:val="3"/>
    </w:pPr>
    <w:rPr>
      <w:rFonts w:ascii="黑体" w:hAnsi="黑体" w:eastAsia="黑体"/>
      <w:sz w:val="32"/>
      <w:szCs w:val="32"/>
    </w:rPr>
  </w:style>
  <w:style w:type="paragraph" w:styleId="6">
    <w:name w:val="heading 5"/>
    <w:basedOn w:val="1"/>
    <w:next w:val="1"/>
    <w:autoRedefine/>
    <w:qFormat/>
    <w:uiPriority w:val="1"/>
    <w:pPr>
      <w:outlineLvl w:val="4"/>
    </w:pPr>
    <w:rPr>
      <w:rFonts w:ascii="宋体" w:hAnsi="宋体" w:cs="宋体"/>
      <w:b/>
      <w:bCs/>
      <w:sz w:val="28"/>
      <w:szCs w:val="28"/>
      <w:lang w:val="zh-CN" w:bidi="zh-CN"/>
    </w:rPr>
  </w:style>
  <w:style w:type="paragraph" w:styleId="7">
    <w:name w:val="heading 6"/>
    <w:basedOn w:val="1"/>
    <w:next w:val="1"/>
    <w:autoRedefine/>
    <w:qFormat/>
    <w:uiPriority w:val="1"/>
    <w:pPr>
      <w:ind w:left="306"/>
      <w:outlineLvl w:val="5"/>
    </w:pPr>
    <w:rPr>
      <w:rFonts w:ascii="MS UI Gothic" w:hAnsi="MS UI Gothic" w:eastAsia="MS UI Gothic" w:cs="MS UI Gothic"/>
      <w:b/>
      <w:bCs/>
      <w:sz w:val="24"/>
      <w:lang w:val="zh-CN" w:bidi="zh-CN"/>
    </w:rPr>
  </w:style>
  <w:style w:type="character" w:default="1" w:styleId="37">
    <w:name w:val="Default Paragraph Font"/>
    <w:autoRedefine/>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8">
    <w:name w:val="table of authorities"/>
    <w:basedOn w:val="1"/>
    <w:next w:val="1"/>
    <w:autoRedefine/>
    <w:qFormat/>
    <w:uiPriority w:val="0"/>
    <w:pPr>
      <w:ind w:left="420" w:leftChars="200"/>
    </w:pPr>
  </w:style>
  <w:style w:type="paragraph" w:styleId="9">
    <w:name w:val="Normal Indent"/>
    <w:basedOn w:val="1"/>
    <w:next w:val="10"/>
    <w:autoRedefine/>
    <w:qFormat/>
    <w:uiPriority w:val="0"/>
    <w:pPr>
      <w:widowControl/>
      <w:spacing w:line="360" w:lineRule="atLeast"/>
      <w:ind w:firstLine="200" w:firstLineChars="200"/>
    </w:pPr>
    <w:rPr>
      <w:sz w:val="24"/>
      <w:szCs w:val="20"/>
    </w:rPr>
  </w:style>
  <w:style w:type="paragraph" w:styleId="10">
    <w:name w:val="toc 4"/>
    <w:basedOn w:val="1"/>
    <w:next w:val="1"/>
    <w:autoRedefine/>
    <w:qFormat/>
    <w:uiPriority w:val="99"/>
    <w:pPr>
      <w:ind w:left="1260" w:leftChars="600"/>
    </w:pPr>
    <w:rPr>
      <w:sz w:val="24"/>
    </w:rPr>
  </w:style>
  <w:style w:type="paragraph" w:styleId="11">
    <w:name w:val="annotation text"/>
    <w:basedOn w:val="1"/>
    <w:autoRedefine/>
    <w:qFormat/>
    <w:uiPriority w:val="0"/>
    <w:pPr>
      <w:jc w:val="left"/>
    </w:pPr>
  </w:style>
  <w:style w:type="paragraph" w:styleId="12">
    <w:name w:val="Body Text"/>
    <w:basedOn w:val="1"/>
    <w:next w:val="1"/>
    <w:link w:val="65"/>
    <w:autoRedefine/>
    <w:qFormat/>
    <w:uiPriority w:val="0"/>
    <w:pPr>
      <w:spacing w:after="120"/>
    </w:pPr>
  </w:style>
  <w:style w:type="paragraph" w:styleId="13">
    <w:name w:val="Body Text Indent"/>
    <w:basedOn w:val="1"/>
    <w:next w:val="14"/>
    <w:autoRedefine/>
    <w:qFormat/>
    <w:uiPriority w:val="0"/>
    <w:pPr>
      <w:spacing w:after="120"/>
      <w:ind w:left="420" w:leftChars="200"/>
    </w:pPr>
  </w:style>
  <w:style w:type="paragraph" w:styleId="14">
    <w:name w:val="envelope return"/>
    <w:basedOn w:val="1"/>
    <w:autoRedefine/>
    <w:qFormat/>
    <w:uiPriority w:val="0"/>
    <w:pPr>
      <w:snapToGrid w:val="0"/>
    </w:pPr>
    <w:rPr>
      <w:rFonts w:ascii="Arial" w:hAnsi="Arial"/>
    </w:rPr>
  </w:style>
  <w:style w:type="paragraph" w:styleId="15">
    <w:name w:val="Block Text"/>
    <w:basedOn w:val="1"/>
    <w:autoRedefine/>
    <w:qFormat/>
    <w:uiPriority w:val="0"/>
    <w:pPr>
      <w:spacing w:beforeLines="50" w:afterLines="50"/>
      <w:ind w:left="426" w:right="-11" w:hanging="426" w:hangingChars="203"/>
    </w:pPr>
    <w:rPr>
      <w:rFonts w:eastAsia="楷体_GB2312"/>
    </w:rPr>
  </w:style>
  <w:style w:type="paragraph" w:styleId="16">
    <w:name w:val="toc 3"/>
    <w:basedOn w:val="1"/>
    <w:next w:val="1"/>
    <w:autoRedefine/>
    <w:qFormat/>
    <w:uiPriority w:val="0"/>
    <w:pPr>
      <w:widowControl/>
      <w:spacing w:after="100" w:line="276" w:lineRule="auto"/>
      <w:ind w:left="440"/>
      <w:jc w:val="left"/>
    </w:pPr>
    <w:rPr>
      <w:rFonts w:ascii="Calibri" w:hAnsi="Calibri"/>
      <w:kern w:val="0"/>
      <w:sz w:val="22"/>
      <w:szCs w:val="22"/>
    </w:rPr>
  </w:style>
  <w:style w:type="paragraph" w:styleId="17">
    <w:name w:val="Plain Text"/>
    <w:basedOn w:val="1"/>
    <w:next w:val="2"/>
    <w:link w:val="75"/>
    <w:autoRedefine/>
    <w:qFormat/>
    <w:uiPriority w:val="0"/>
    <w:rPr>
      <w:rFonts w:ascii="宋体" w:hAnsi="Courier New" w:cs="Courier New"/>
      <w:szCs w:val="21"/>
    </w:rPr>
  </w:style>
  <w:style w:type="paragraph" w:styleId="18">
    <w:name w:val="Date"/>
    <w:basedOn w:val="1"/>
    <w:next w:val="1"/>
    <w:link w:val="79"/>
    <w:autoRedefine/>
    <w:qFormat/>
    <w:uiPriority w:val="0"/>
    <w:pPr>
      <w:ind w:left="100" w:leftChars="2500"/>
    </w:pPr>
  </w:style>
  <w:style w:type="paragraph" w:styleId="19">
    <w:name w:val="Body Text Indent 2"/>
    <w:basedOn w:val="1"/>
    <w:link w:val="71"/>
    <w:autoRedefine/>
    <w:qFormat/>
    <w:uiPriority w:val="0"/>
    <w:pPr>
      <w:spacing w:line="440" w:lineRule="exact"/>
      <w:ind w:firstLine="560"/>
      <w:jc w:val="left"/>
    </w:pPr>
    <w:rPr>
      <w:rFonts w:ascii="Batang" w:hAnsi="Batang" w:eastAsia="方正仿宋简体"/>
      <w:sz w:val="28"/>
      <w:szCs w:val="20"/>
    </w:rPr>
  </w:style>
  <w:style w:type="paragraph" w:styleId="20">
    <w:name w:val="Balloon Text"/>
    <w:basedOn w:val="1"/>
    <w:link w:val="77"/>
    <w:autoRedefine/>
    <w:qFormat/>
    <w:uiPriority w:val="0"/>
    <w:rPr>
      <w:sz w:val="18"/>
      <w:szCs w:val="18"/>
    </w:rPr>
  </w:style>
  <w:style w:type="paragraph" w:styleId="21">
    <w:name w:val="footer"/>
    <w:basedOn w:val="1"/>
    <w:link w:val="78"/>
    <w:autoRedefine/>
    <w:qFormat/>
    <w:uiPriority w:val="0"/>
    <w:pPr>
      <w:tabs>
        <w:tab w:val="center" w:pos="4153"/>
        <w:tab w:val="right" w:pos="8306"/>
      </w:tabs>
      <w:snapToGrid w:val="0"/>
      <w:jc w:val="left"/>
    </w:pPr>
    <w:rPr>
      <w:sz w:val="18"/>
      <w:szCs w:val="18"/>
    </w:rPr>
  </w:style>
  <w:style w:type="paragraph" w:styleId="22">
    <w:name w:val="header"/>
    <w:basedOn w:val="1"/>
    <w:link w:val="69"/>
    <w:autoRedefine/>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autoRedefine/>
    <w:qFormat/>
    <w:uiPriority w:val="0"/>
    <w:pPr>
      <w:widowControl/>
      <w:tabs>
        <w:tab w:val="right" w:leader="dot" w:pos="8280"/>
      </w:tabs>
      <w:spacing w:after="100" w:line="360" w:lineRule="auto"/>
      <w:jc w:val="left"/>
    </w:pPr>
    <w:rPr>
      <w:rFonts w:ascii="Calibri" w:hAnsi="Calibri"/>
      <w:kern w:val="0"/>
      <w:sz w:val="22"/>
      <w:szCs w:val="22"/>
    </w:rPr>
  </w:style>
  <w:style w:type="paragraph" w:styleId="24">
    <w:name w:val="Subtitle"/>
    <w:basedOn w:val="1"/>
    <w:next w:val="1"/>
    <w:autoRedefine/>
    <w:qFormat/>
    <w:uiPriority w:val="0"/>
    <w:pPr>
      <w:spacing w:before="240" w:beforeLines="0" w:beforeAutospacing="0" w:after="60" w:afterLines="0" w:afterAutospacing="0" w:line="312" w:lineRule="auto"/>
      <w:jc w:val="center"/>
      <w:outlineLvl w:val="1"/>
    </w:pPr>
    <w:rPr>
      <w:rFonts w:ascii="Arial" w:hAnsi="Arial"/>
      <w:b/>
      <w:kern w:val="28"/>
      <w:sz w:val="32"/>
    </w:rPr>
  </w:style>
  <w:style w:type="paragraph" w:styleId="25">
    <w:name w:val="toc 6"/>
    <w:basedOn w:val="1"/>
    <w:next w:val="1"/>
    <w:autoRedefine/>
    <w:qFormat/>
    <w:uiPriority w:val="0"/>
    <w:pPr>
      <w:ind w:left="1400"/>
    </w:pPr>
    <w:rPr>
      <w:rFonts w:ascii="Calibri"/>
      <w:sz w:val="18"/>
      <w:szCs w:val="18"/>
    </w:rPr>
  </w:style>
  <w:style w:type="paragraph" w:styleId="26">
    <w:name w:val="Body Text Indent 3"/>
    <w:basedOn w:val="1"/>
    <w:autoRedefine/>
    <w:qFormat/>
    <w:uiPriority w:val="0"/>
    <w:pPr>
      <w:spacing w:before="200"/>
      <w:ind w:left="632" w:leftChars="100" w:hanging="422" w:hangingChars="200"/>
    </w:pPr>
    <w:rPr>
      <w:b/>
      <w:bCs/>
    </w:rPr>
  </w:style>
  <w:style w:type="paragraph" w:styleId="27">
    <w:name w:val="table of figures"/>
    <w:basedOn w:val="1"/>
    <w:next w:val="1"/>
    <w:autoRedefine/>
    <w:qFormat/>
    <w:uiPriority w:val="0"/>
    <w:pPr>
      <w:ind w:left="200" w:leftChars="200" w:hanging="200" w:hangingChars="200"/>
    </w:pPr>
  </w:style>
  <w:style w:type="paragraph" w:styleId="28">
    <w:name w:val="toc 2"/>
    <w:basedOn w:val="1"/>
    <w:next w:val="1"/>
    <w:autoRedefine/>
    <w:qFormat/>
    <w:uiPriority w:val="0"/>
    <w:pPr>
      <w:widowControl/>
      <w:spacing w:after="100" w:line="276" w:lineRule="auto"/>
      <w:ind w:left="220"/>
      <w:jc w:val="left"/>
    </w:pPr>
    <w:rPr>
      <w:rFonts w:ascii="Calibri" w:hAnsi="Calibri"/>
      <w:kern w:val="0"/>
      <w:sz w:val="22"/>
      <w:szCs w:val="22"/>
    </w:rPr>
  </w:style>
  <w:style w:type="paragraph" w:styleId="29">
    <w:name w:val="Body Text 2"/>
    <w:basedOn w:val="1"/>
    <w:autoRedefine/>
    <w:unhideWhenUsed/>
    <w:qFormat/>
    <w:uiPriority w:val="99"/>
    <w:pPr>
      <w:spacing w:after="120" w:line="480" w:lineRule="auto"/>
    </w:pPr>
  </w:style>
  <w:style w:type="paragraph" w:styleId="30">
    <w:name w:val="Message Header"/>
    <w:basedOn w:val="5"/>
    <w:next w:val="5"/>
    <w:autoRedefine/>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sz w:val="21"/>
    </w:rPr>
  </w:style>
  <w:style w:type="paragraph" w:styleId="31">
    <w:name w:val="Normal (Web)"/>
    <w:basedOn w:val="1"/>
    <w:next w:val="10"/>
    <w:autoRedefine/>
    <w:qFormat/>
    <w:uiPriority w:val="0"/>
    <w:pPr>
      <w:spacing w:before="100" w:beforeAutospacing="1" w:after="100" w:afterAutospacing="1"/>
      <w:jc w:val="left"/>
    </w:pPr>
    <w:rPr>
      <w:kern w:val="0"/>
      <w:sz w:val="24"/>
    </w:rPr>
  </w:style>
  <w:style w:type="paragraph" w:styleId="32">
    <w:name w:val="Title"/>
    <w:basedOn w:val="1"/>
    <w:next w:val="1"/>
    <w:link w:val="105"/>
    <w:qFormat/>
    <w:uiPriority w:val="0"/>
    <w:pPr>
      <w:widowControl w:val="0"/>
      <w:adjustRightInd/>
      <w:snapToGrid/>
      <w:spacing w:line="560" w:lineRule="exact"/>
      <w:jc w:val="center"/>
      <w:outlineLvl w:val="0"/>
    </w:pPr>
    <w:rPr>
      <w:rFonts w:ascii="Cambria" w:hAnsi="Cambria" w:eastAsia="黑体" w:cs="Times New Roman"/>
      <w:b/>
      <w:bCs/>
      <w:kern w:val="2"/>
      <w:sz w:val="32"/>
      <w:szCs w:val="32"/>
    </w:rPr>
  </w:style>
  <w:style w:type="paragraph" w:styleId="33">
    <w:name w:val="Body Text First Indent"/>
    <w:basedOn w:val="12"/>
    <w:next w:val="25"/>
    <w:link w:val="64"/>
    <w:autoRedefine/>
    <w:qFormat/>
    <w:uiPriority w:val="0"/>
    <w:pPr>
      <w:ind w:firstLine="420" w:firstLineChars="100"/>
    </w:pPr>
  </w:style>
  <w:style w:type="paragraph" w:styleId="34">
    <w:name w:val="Body Text First Indent 2"/>
    <w:basedOn w:val="13"/>
    <w:autoRedefine/>
    <w:qFormat/>
    <w:uiPriority w:val="0"/>
    <w:pPr>
      <w:ind w:firstLine="420" w:firstLineChars="200"/>
    </w:pPr>
  </w:style>
  <w:style w:type="table" w:styleId="36">
    <w:name w:val="Table Grid"/>
    <w:basedOn w:val="3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8">
    <w:name w:val="Strong"/>
    <w:basedOn w:val="37"/>
    <w:autoRedefine/>
    <w:qFormat/>
    <w:uiPriority w:val="0"/>
    <w:rPr>
      <w:rFonts w:ascii="Times New Roman" w:hAnsi="Times New Roman" w:eastAsia="宋体" w:cs="Times New Roman"/>
      <w:b/>
    </w:rPr>
  </w:style>
  <w:style w:type="character" w:styleId="39">
    <w:name w:val="page number"/>
    <w:basedOn w:val="37"/>
    <w:autoRedefine/>
    <w:qFormat/>
    <w:uiPriority w:val="0"/>
    <w:rPr>
      <w:rFonts w:ascii="Times New Roman" w:hAnsi="Times New Roman" w:eastAsia="宋体" w:cs="Times New Roman"/>
    </w:rPr>
  </w:style>
  <w:style w:type="character" w:styleId="40">
    <w:name w:val="FollowedHyperlink"/>
    <w:basedOn w:val="37"/>
    <w:autoRedefine/>
    <w:qFormat/>
    <w:uiPriority w:val="0"/>
    <w:rPr>
      <w:rFonts w:hint="eastAsia" w:ascii="微软雅黑" w:hAnsi="微软雅黑" w:eastAsia="微软雅黑" w:cs="微软雅黑"/>
      <w:color w:val="02396F"/>
      <w:u w:val="single"/>
    </w:rPr>
  </w:style>
  <w:style w:type="character" w:styleId="41">
    <w:name w:val="Emphasis"/>
    <w:basedOn w:val="37"/>
    <w:autoRedefine/>
    <w:qFormat/>
    <w:uiPriority w:val="0"/>
    <w:rPr>
      <w:rFonts w:ascii="Times New Roman" w:hAnsi="Times New Roman" w:eastAsia="宋体" w:cs="Times New Roman"/>
    </w:rPr>
  </w:style>
  <w:style w:type="character" w:styleId="42">
    <w:name w:val="HTML Definition"/>
    <w:basedOn w:val="37"/>
    <w:autoRedefine/>
    <w:qFormat/>
    <w:uiPriority w:val="0"/>
  </w:style>
  <w:style w:type="character" w:styleId="43">
    <w:name w:val="HTML Variable"/>
    <w:basedOn w:val="37"/>
    <w:autoRedefine/>
    <w:qFormat/>
    <w:uiPriority w:val="0"/>
  </w:style>
  <w:style w:type="character" w:styleId="44">
    <w:name w:val="Hyperlink"/>
    <w:basedOn w:val="37"/>
    <w:autoRedefine/>
    <w:qFormat/>
    <w:uiPriority w:val="0"/>
    <w:rPr>
      <w:rFonts w:ascii="Times New Roman" w:hAnsi="Times New Roman" w:eastAsia="宋体" w:cs="Times New Roman"/>
      <w:color w:val="0000FF"/>
      <w:u w:val="single"/>
    </w:rPr>
  </w:style>
  <w:style w:type="character" w:styleId="45">
    <w:name w:val="HTML Code"/>
    <w:basedOn w:val="37"/>
    <w:autoRedefine/>
    <w:qFormat/>
    <w:uiPriority w:val="0"/>
    <w:rPr>
      <w:rFonts w:ascii="Courier New" w:hAnsi="Courier New"/>
      <w:sz w:val="20"/>
    </w:rPr>
  </w:style>
  <w:style w:type="character" w:styleId="46">
    <w:name w:val="HTML Cite"/>
    <w:basedOn w:val="37"/>
    <w:autoRedefine/>
    <w:qFormat/>
    <w:uiPriority w:val="0"/>
  </w:style>
  <w:style w:type="paragraph" w:customStyle="1" w:styleId="47">
    <w:name w:val="正文缩进1"/>
    <w:basedOn w:val="1"/>
    <w:autoRedefine/>
    <w:qFormat/>
    <w:uiPriority w:val="0"/>
    <w:pPr>
      <w:ind w:firstLine="420" w:firstLineChars="200"/>
    </w:pPr>
  </w:style>
  <w:style w:type="paragraph" w:customStyle="1" w:styleId="48">
    <w:name w:val="段落正文"/>
    <w:basedOn w:val="1"/>
    <w:autoRedefine/>
    <w:qFormat/>
    <w:uiPriority w:val="0"/>
    <w:pPr>
      <w:spacing w:before="50" w:beforeLines="50" w:line="360" w:lineRule="auto"/>
      <w:ind w:firstLine="200" w:firstLineChars="200"/>
    </w:pPr>
    <w:rPr>
      <w:rFonts w:ascii="Times New Roman" w:hAnsi="Times New Roman"/>
      <w:spacing w:val="2"/>
      <w:sz w:val="24"/>
      <w:szCs w:val="20"/>
    </w:rPr>
  </w:style>
  <w:style w:type="paragraph" w:customStyle="1" w:styleId="49">
    <w:name w:val="首行缩进"/>
    <w:basedOn w:val="1"/>
    <w:autoRedefine/>
    <w:qFormat/>
    <w:uiPriority w:val="0"/>
    <w:pPr>
      <w:ind w:firstLine="480"/>
    </w:pPr>
    <w:rPr>
      <w:lang w:val="zh-CN"/>
    </w:rPr>
  </w:style>
  <w:style w:type="paragraph" w:customStyle="1" w:styleId="50">
    <w:name w:val="Default"/>
    <w:next w:val="1"/>
    <w:autoRedefine/>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customStyle="1" w:styleId="51">
    <w:name w:val="表格文字"/>
    <w:next w:val="12"/>
    <w:autoRedefine/>
    <w:qFormat/>
    <w:uiPriority w:val="0"/>
    <w:pPr>
      <w:widowControl w:val="0"/>
      <w:autoSpaceDE w:val="0"/>
      <w:autoSpaceDN w:val="0"/>
      <w:adjustRightInd w:val="0"/>
      <w:spacing w:line="420" w:lineRule="atLeast"/>
      <w:jc w:val="both"/>
      <w:textAlignment w:val="baseline"/>
    </w:pPr>
    <w:rPr>
      <w:rFonts w:ascii="Times New Roman" w:hAnsi="Times New Roman" w:eastAsia="宋体" w:cs="Times New Roman"/>
      <w:color w:val="000000"/>
      <w:sz w:val="21"/>
      <w:szCs w:val="24"/>
      <w:lang w:val="en-US" w:eastAsia="zh-CN" w:bidi="ar-SA"/>
    </w:rPr>
  </w:style>
  <w:style w:type="paragraph" w:customStyle="1" w:styleId="52">
    <w:name w:val="List Paragraph1"/>
    <w:basedOn w:val="1"/>
    <w:autoRedefine/>
    <w:qFormat/>
    <w:uiPriority w:val="0"/>
    <w:pPr>
      <w:ind w:firstLine="420" w:firstLineChars="200"/>
    </w:pPr>
    <w:rPr>
      <w:rFonts w:ascii="Calibri" w:hAnsi="Calibri" w:cs="黑体"/>
    </w:rPr>
  </w:style>
  <w:style w:type="paragraph" w:customStyle="1" w:styleId="53">
    <w:name w:val="_Style 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4">
    <w:name w:val="TOC 标题1"/>
    <w:basedOn w:val="2"/>
    <w:next w:val="1"/>
    <w:autoRedefine/>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55">
    <w:name w:val="p0"/>
    <w:basedOn w:val="1"/>
    <w:autoRedefine/>
    <w:qFormat/>
    <w:uiPriority w:val="0"/>
    <w:pPr>
      <w:widowControl/>
    </w:pPr>
    <w:rPr>
      <w:kern w:val="0"/>
      <w:szCs w:val="21"/>
    </w:rPr>
  </w:style>
  <w:style w:type="paragraph" w:customStyle="1" w:styleId="56">
    <w:name w:val="列出段落2"/>
    <w:basedOn w:val="1"/>
    <w:autoRedefine/>
    <w:qFormat/>
    <w:uiPriority w:val="0"/>
    <w:pPr>
      <w:ind w:firstLine="420" w:firstLineChars="200"/>
    </w:pPr>
  </w:style>
  <w:style w:type="paragraph" w:customStyle="1" w:styleId="57">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styleId="58">
    <w:name w:val="List Paragraph"/>
    <w:basedOn w:val="1"/>
    <w:autoRedefine/>
    <w:qFormat/>
    <w:uiPriority w:val="1"/>
    <w:pPr>
      <w:ind w:left="306" w:hanging="242"/>
    </w:pPr>
    <w:rPr>
      <w:rFonts w:ascii="MS UI Gothic" w:hAnsi="MS UI Gothic" w:eastAsia="MS UI Gothic" w:cs="MS UI Gothic"/>
      <w:lang w:val="zh-CN" w:bidi="zh-CN"/>
    </w:rPr>
  </w:style>
  <w:style w:type="paragraph" w:customStyle="1" w:styleId="59">
    <w:name w:val="Table Paragraph"/>
    <w:basedOn w:val="1"/>
    <w:autoRedefine/>
    <w:qFormat/>
    <w:uiPriority w:val="1"/>
    <w:rPr>
      <w:rFonts w:ascii="宋体" w:hAnsi="宋体" w:cs="宋体"/>
      <w:lang w:val="zh-CN" w:bidi="zh-CN"/>
    </w:rPr>
  </w:style>
  <w:style w:type="paragraph" w:customStyle="1" w:styleId="60">
    <w:name w:val="标准书脚_奇数页"/>
    <w:autoRedefine/>
    <w:qFormat/>
    <w:uiPriority w:val="0"/>
    <w:pPr>
      <w:spacing w:before="120"/>
      <w:jc w:val="right"/>
    </w:pPr>
    <w:rPr>
      <w:rFonts w:ascii="Times New Roman" w:hAnsi="Times New Roman" w:eastAsia="宋体" w:cs="Times New Roman"/>
      <w:sz w:val="18"/>
      <w:lang w:val="en-US" w:eastAsia="zh-CN" w:bidi="ar-SA"/>
    </w:rPr>
  </w:style>
  <w:style w:type="paragraph" w:customStyle="1" w:styleId="61">
    <w:name w:val="正文-公1"/>
    <w:basedOn w:val="1"/>
    <w:next w:val="22"/>
    <w:autoRedefine/>
    <w:qFormat/>
    <w:uiPriority w:val="99"/>
    <w:pPr>
      <w:ind w:firstLine="200" w:firstLineChars="200"/>
    </w:pPr>
    <w:rPr>
      <w:rFonts w:ascii="Calibri" w:hAnsi="Calibri"/>
    </w:rPr>
  </w:style>
  <w:style w:type="paragraph" w:customStyle="1" w:styleId="62">
    <w:name w:val="列出段落1"/>
    <w:basedOn w:val="1"/>
    <w:autoRedefine/>
    <w:qFormat/>
    <w:uiPriority w:val="0"/>
    <w:pPr>
      <w:widowControl/>
      <w:spacing w:line="360" w:lineRule="auto"/>
      <w:ind w:firstLine="420" w:firstLineChars="200"/>
    </w:pPr>
    <w:rPr>
      <w:sz w:val="28"/>
    </w:rPr>
  </w:style>
  <w:style w:type="character" w:customStyle="1" w:styleId="63">
    <w:name w:val="zh"/>
    <w:basedOn w:val="37"/>
    <w:autoRedefine/>
    <w:qFormat/>
    <w:uiPriority w:val="0"/>
  </w:style>
  <w:style w:type="character" w:customStyle="1" w:styleId="64">
    <w:name w:val="正文首行缩进 Char"/>
    <w:basedOn w:val="65"/>
    <w:link w:val="33"/>
    <w:autoRedefine/>
    <w:qFormat/>
    <w:uiPriority w:val="0"/>
    <w:rPr>
      <w:rFonts w:ascii="Times New Roman" w:hAnsi="Times New Roman" w:eastAsia="宋体" w:cs="Times New Roman"/>
      <w:kern w:val="2"/>
      <w:sz w:val="21"/>
      <w:szCs w:val="24"/>
    </w:rPr>
  </w:style>
  <w:style w:type="character" w:customStyle="1" w:styleId="65">
    <w:name w:val="正文文本 Char"/>
    <w:basedOn w:val="37"/>
    <w:link w:val="12"/>
    <w:autoRedefine/>
    <w:qFormat/>
    <w:uiPriority w:val="0"/>
    <w:rPr>
      <w:rFonts w:ascii="Times New Roman" w:hAnsi="Times New Roman" w:eastAsia="宋体" w:cs="Times New Roman"/>
      <w:kern w:val="2"/>
      <w:sz w:val="21"/>
      <w:szCs w:val="24"/>
    </w:rPr>
  </w:style>
  <w:style w:type="character" w:customStyle="1" w:styleId="66">
    <w:name w:val="gpa"/>
    <w:basedOn w:val="37"/>
    <w:autoRedefine/>
    <w:qFormat/>
    <w:uiPriority w:val="0"/>
    <w:rPr>
      <w:rFonts w:ascii="Arial" w:hAnsi="Arial" w:cs="Arial"/>
      <w:sz w:val="15"/>
      <w:szCs w:val="15"/>
    </w:rPr>
  </w:style>
  <w:style w:type="character" w:customStyle="1" w:styleId="67">
    <w:name w:val="纯文本 Char1"/>
    <w:basedOn w:val="37"/>
    <w:autoRedefine/>
    <w:qFormat/>
    <w:uiPriority w:val="0"/>
    <w:rPr>
      <w:rFonts w:ascii="宋体" w:hAnsi="Courier New" w:eastAsia="宋体" w:cs="Courier New"/>
      <w:szCs w:val="21"/>
    </w:rPr>
  </w:style>
  <w:style w:type="character" w:customStyle="1" w:styleId="68">
    <w:name w:val="selected"/>
    <w:basedOn w:val="37"/>
    <w:autoRedefine/>
    <w:qFormat/>
    <w:uiPriority w:val="0"/>
    <w:rPr>
      <w:shd w:val="clear" w:color="auto" w:fill="B00006"/>
    </w:rPr>
  </w:style>
  <w:style w:type="character" w:customStyle="1" w:styleId="69">
    <w:name w:val="页眉 Char"/>
    <w:basedOn w:val="37"/>
    <w:link w:val="22"/>
    <w:autoRedefine/>
    <w:qFormat/>
    <w:uiPriority w:val="0"/>
    <w:rPr>
      <w:rFonts w:ascii="Times New Roman" w:hAnsi="Times New Roman" w:eastAsia="宋体" w:cs="Times New Roman"/>
      <w:sz w:val="18"/>
      <w:szCs w:val="18"/>
    </w:rPr>
  </w:style>
  <w:style w:type="character" w:customStyle="1" w:styleId="70">
    <w:name w:val="cfdate"/>
    <w:basedOn w:val="37"/>
    <w:autoRedefine/>
    <w:qFormat/>
    <w:uiPriority w:val="0"/>
    <w:rPr>
      <w:color w:val="333333"/>
      <w:sz w:val="18"/>
      <w:szCs w:val="18"/>
    </w:rPr>
  </w:style>
  <w:style w:type="character" w:customStyle="1" w:styleId="71">
    <w:name w:val="正文文本缩进 2 Char"/>
    <w:basedOn w:val="37"/>
    <w:link w:val="19"/>
    <w:autoRedefine/>
    <w:qFormat/>
    <w:uiPriority w:val="0"/>
    <w:rPr>
      <w:rFonts w:ascii="Batang" w:hAnsi="Batang" w:eastAsia="方正仿宋简体" w:cs="Times New Roman"/>
      <w:sz w:val="28"/>
      <w:szCs w:val="20"/>
    </w:rPr>
  </w:style>
  <w:style w:type="character" w:customStyle="1" w:styleId="72">
    <w:name w:val="bsharetext"/>
    <w:basedOn w:val="37"/>
    <w:autoRedefine/>
    <w:qFormat/>
    <w:uiPriority w:val="0"/>
  </w:style>
  <w:style w:type="character" w:customStyle="1" w:styleId="73">
    <w:name w:val="font11"/>
    <w:basedOn w:val="37"/>
    <w:autoRedefine/>
    <w:qFormat/>
    <w:uiPriority w:val="0"/>
    <w:rPr>
      <w:rFonts w:hint="eastAsia" w:ascii="宋体" w:hAnsi="宋体" w:eastAsia="宋体" w:cs="宋体"/>
      <w:color w:val="000000"/>
      <w:sz w:val="21"/>
      <w:szCs w:val="21"/>
      <w:u w:val="none"/>
    </w:rPr>
  </w:style>
  <w:style w:type="character" w:customStyle="1" w:styleId="74">
    <w:name w:val="apple-converted-space"/>
    <w:basedOn w:val="37"/>
    <w:autoRedefine/>
    <w:qFormat/>
    <w:uiPriority w:val="0"/>
    <w:rPr>
      <w:rFonts w:ascii="Times New Roman" w:hAnsi="Times New Roman" w:eastAsia="宋体" w:cs="Times New Roman"/>
    </w:rPr>
  </w:style>
  <w:style w:type="character" w:customStyle="1" w:styleId="75">
    <w:name w:val="纯文本 Char"/>
    <w:basedOn w:val="37"/>
    <w:link w:val="17"/>
    <w:autoRedefine/>
    <w:qFormat/>
    <w:uiPriority w:val="0"/>
    <w:rPr>
      <w:rFonts w:ascii="宋体" w:hAnsi="Courier New" w:eastAsia="宋体" w:cs="Courier New"/>
      <w:szCs w:val="21"/>
    </w:rPr>
  </w:style>
  <w:style w:type="character" w:customStyle="1" w:styleId="76">
    <w:name w:val="redfilefwwh"/>
    <w:basedOn w:val="37"/>
    <w:autoRedefine/>
    <w:qFormat/>
    <w:uiPriority w:val="0"/>
    <w:rPr>
      <w:color w:val="BA2636"/>
      <w:sz w:val="18"/>
      <w:szCs w:val="18"/>
    </w:rPr>
  </w:style>
  <w:style w:type="character" w:customStyle="1" w:styleId="77">
    <w:name w:val="批注框文本 Char"/>
    <w:basedOn w:val="37"/>
    <w:link w:val="20"/>
    <w:autoRedefine/>
    <w:qFormat/>
    <w:uiPriority w:val="0"/>
    <w:rPr>
      <w:rFonts w:ascii="Times New Roman" w:hAnsi="Times New Roman" w:eastAsia="宋体" w:cs="Times New Roman"/>
      <w:kern w:val="2"/>
      <w:sz w:val="18"/>
      <w:szCs w:val="18"/>
    </w:rPr>
  </w:style>
  <w:style w:type="character" w:customStyle="1" w:styleId="78">
    <w:name w:val="页脚 Char"/>
    <w:basedOn w:val="37"/>
    <w:link w:val="21"/>
    <w:autoRedefine/>
    <w:qFormat/>
    <w:uiPriority w:val="0"/>
    <w:rPr>
      <w:rFonts w:ascii="Times New Roman" w:hAnsi="Times New Roman" w:eastAsia="宋体" w:cs="Times New Roman"/>
      <w:sz w:val="18"/>
      <w:szCs w:val="18"/>
    </w:rPr>
  </w:style>
  <w:style w:type="character" w:customStyle="1" w:styleId="79">
    <w:name w:val="日期 Char"/>
    <w:basedOn w:val="37"/>
    <w:link w:val="18"/>
    <w:autoRedefine/>
    <w:qFormat/>
    <w:uiPriority w:val="0"/>
    <w:rPr>
      <w:rFonts w:ascii="Times New Roman" w:hAnsi="Times New Roman" w:eastAsia="宋体" w:cs="Times New Roman"/>
      <w:szCs w:val="24"/>
    </w:rPr>
  </w:style>
  <w:style w:type="character" w:customStyle="1" w:styleId="80">
    <w:name w:val="redfilenumber"/>
    <w:basedOn w:val="37"/>
    <w:autoRedefine/>
    <w:qFormat/>
    <w:uiPriority w:val="0"/>
    <w:rPr>
      <w:color w:val="BA2636"/>
      <w:sz w:val="18"/>
      <w:szCs w:val="18"/>
    </w:rPr>
  </w:style>
  <w:style w:type="character" w:customStyle="1" w:styleId="81">
    <w:name w:val="标题 1 Char"/>
    <w:basedOn w:val="37"/>
    <w:link w:val="2"/>
    <w:autoRedefine/>
    <w:qFormat/>
    <w:uiPriority w:val="0"/>
    <w:rPr>
      <w:rFonts w:ascii="Times New Roman" w:hAnsi="Times New Roman" w:eastAsia="宋体" w:cs="Times New Roman"/>
      <w:b/>
      <w:bCs/>
      <w:kern w:val="44"/>
      <w:sz w:val="32"/>
      <w:szCs w:val="44"/>
    </w:rPr>
  </w:style>
  <w:style w:type="character" w:customStyle="1" w:styleId="82">
    <w:name w:val="qxdate"/>
    <w:basedOn w:val="37"/>
    <w:autoRedefine/>
    <w:qFormat/>
    <w:uiPriority w:val="0"/>
    <w:rPr>
      <w:color w:val="333333"/>
      <w:sz w:val="18"/>
      <w:szCs w:val="18"/>
    </w:rPr>
  </w:style>
  <w:style w:type="character" w:customStyle="1" w:styleId="83">
    <w:name w:val="gjfg"/>
    <w:basedOn w:val="37"/>
    <w:autoRedefine/>
    <w:qFormat/>
    <w:uiPriority w:val="0"/>
  </w:style>
  <w:style w:type="character" w:customStyle="1" w:styleId="84">
    <w:name w:val="font01"/>
    <w:basedOn w:val="37"/>
    <w:autoRedefine/>
    <w:qFormat/>
    <w:uiPriority w:val="0"/>
    <w:rPr>
      <w:rFonts w:ascii="Calibri" w:hAnsi="Calibri" w:eastAsia="宋体" w:cs="Calibri"/>
      <w:color w:val="000000"/>
      <w:sz w:val="20"/>
      <w:szCs w:val="20"/>
      <w:u w:val="none"/>
    </w:rPr>
  </w:style>
  <w:style w:type="character" w:customStyle="1" w:styleId="85">
    <w:name w:val="displayarti"/>
    <w:basedOn w:val="37"/>
    <w:autoRedefine/>
    <w:qFormat/>
    <w:uiPriority w:val="0"/>
    <w:rPr>
      <w:color w:val="FFFFFF"/>
      <w:shd w:val="clear" w:color="auto" w:fill="A00000"/>
    </w:rPr>
  </w:style>
  <w:style w:type="character" w:customStyle="1" w:styleId="86">
    <w:name w:val="case3"/>
    <w:basedOn w:val="37"/>
    <w:autoRedefine/>
    <w:qFormat/>
    <w:uiPriority w:val="0"/>
    <w:rPr>
      <w:rFonts w:ascii="Times New Roman" w:hAnsi="Times New Roman" w:eastAsia="宋体" w:cs="Times New Roman"/>
    </w:rPr>
  </w:style>
  <w:style w:type="character" w:customStyle="1" w:styleId="87">
    <w:name w:val="font31"/>
    <w:basedOn w:val="37"/>
    <w:autoRedefine/>
    <w:qFormat/>
    <w:uiPriority w:val="0"/>
    <w:rPr>
      <w:rFonts w:hint="eastAsia" w:ascii="宋体" w:hAnsi="宋体" w:eastAsia="宋体" w:cs="宋体"/>
      <w:color w:val="000000"/>
      <w:sz w:val="20"/>
      <w:szCs w:val="20"/>
      <w:u w:val="none"/>
    </w:rPr>
  </w:style>
  <w:style w:type="character" w:customStyle="1" w:styleId="88">
    <w:name w:val="font61"/>
    <w:basedOn w:val="37"/>
    <w:autoRedefine/>
    <w:qFormat/>
    <w:uiPriority w:val="0"/>
    <w:rPr>
      <w:rFonts w:hint="eastAsia" w:ascii="微软雅黑" w:hAnsi="微软雅黑" w:eastAsia="微软雅黑" w:cs="微软雅黑"/>
      <w:color w:val="000000"/>
      <w:sz w:val="22"/>
      <w:szCs w:val="22"/>
      <w:u w:val="none"/>
    </w:rPr>
  </w:style>
  <w:style w:type="character" w:customStyle="1" w:styleId="89">
    <w:name w:val="ll-span1"/>
    <w:basedOn w:val="37"/>
    <w:autoRedefine/>
    <w:qFormat/>
    <w:uiPriority w:val="0"/>
  </w:style>
  <w:style w:type="character" w:customStyle="1" w:styleId="90">
    <w:name w:val="font121"/>
    <w:basedOn w:val="37"/>
    <w:autoRedefine/>
    <w:qFormat/>
    <w:uiPriority w:val="0"/>
    <w:rPr>
      <w:rFonts w:hint="eastAsia" w:ascii="微软雅黑" w:hAnsi="微软雅黑" w:eastAsia="微软雅黑" w:cs="微软雅黑"/>
      <w:color w:val="000000"/>
      <w:sz w:val="18"/>
      <w:szCs w:val="18"/>
      <w:u w:val="none"/>
    </w:rPr>
  </w:style>
  <w:style w:type="character" w:customStyle="1" w:styleId="91">
    <w:name w:val="font71"/>
    <w:basedOn w:val="37"/>
    <w:autoRedefine/>
    <w:qFormat/>
    <w:uiPriority w:val="0"/>
    <w:rPr>
      <w:rFonts w:hint="eastAsia" w:ascii="宋体" w:hAnsi="宋体" w:eastAsia="宋体" w:cs="宋体"/>
      <w:color w:val="000000"/>
      <w:sz w:val="18"/>
      <w:szCs w:val="18"/>
      <w:u w:val="none"/>
    </w:rPr>
  </w:style>
  <w:style w:type="character" w:customStyle="1" w:styleId="92">
    <w:name w:val="font21"/>
    <w:basedOn w:val="37"/>
    <w:autoRedefine/>
    <w:qFormat/>
    <w:uiPriority w:val="0"/>
    <w:rPr>
      <w:rFonts w:hint="eastAsia" w:ascii="宋体" w:hAnsi="宋体" w:eastAsia="宋体" w:cs="宋体"/>
      <w:color w:val="000000"/>
      <w:sz w:val="28"/>
      <w:szCs w:val="28"/>
      <w:u w:val="none"/>
    </w:rPr>
  </w:style>
  <w:style w:type="paragraph" w:customStyle="1" w:styleId="93">
    <w:name w:val="列出段落11"/>
    <w:basedOn w:val="1"/>
    <w:autoRedefine/>
    <w:qFormat/>
    <w:uiPriority w:val="0"/>
    <w:pPr>
      <w:ind w:firstLine="420" w:firstLineChars="200"/>
    </w:pPr>
  </w:style>
  <w:style w:type="paragraph" w:customStyle="1" w:styleId="94">
    <w:name w:val="Body text|2"/>
    <w:basedOn w:val="1"/>
    <w:autoRedefine/>
    <w:qFormat/>
    <w:uiPriority w:val="0"/>
    <w:pPr>
      <w:spacing w:after="300"/>
      <w:jc w:val="center"/>
    </w:pPr>
    <w:rPr>
      <w:rFonts w:ascii="宋体" w:hAnsi="宋体" w:cs="宋体"/>
      <w:b/>
      <w:bCs/>
      <w:sz w:val="28"/>
      <w:szCs w:val="28"/>
      <w:lang w:val="zh-TW" w:eastAsia="zh-TW" w:bidi="zh-TW"/>
    </w:rPr>
  </w:style>
  <w:style w:type="paragraph" w:customStyle="1" w:styleId="95">
    <w:name w:val="Other|1"/>
    <w:basedOn w:val="1"/>
    <w:autoRedefine/>
    <w:qFormat/>
    <w:uiPriority w:val="0"/>
    <w:pPr>
      <w:spacing w:line="311" w:lineRule="exact"/>
    </w:pPr>
    <w:rPr>
      <w:rFonts w:ascii="宋体" w:hAnsi="宋体" w:cs="宋体"/>
      <w:sz w:val="20"/>
      <w:szCs w:val="20"/>
      <w:lang w:val="zh-TW" w:eastAsia="zh-TW" w:bidi="zh-TW"/>
    </w:rPr>
  </w:style>
  <w:style w:type="paragraph" w:customStyle="1" w:styleId="96">
    <w:name w:val="Body text|1"/>
    <w:basedOn w:val="1"/>
    <w:autoRedefine/>
    <w:qFormat/>
    <w:uiPriority w:val="0"/>
    <w:pPr>
      <w:spacing w:line="418" w:lineRule="auto"/>
      <w:ind w:firstLine="400"/>
    </w:pPr>
    <w:rPr>
      <w:rFonts w:ascii="宋体" w:hAnsi="宋体" w:cs="宋体"/>
      <w:sz w:val="20"/>
      <w:szCs w:val="20"/>
      <w:lang w:val="zh-TW" w:eastAsia="zh-TW" w:bidi="zh-TW"/>
    </w:rPr>
  </w:style>
  <w:style w:type="character" w:customStyle="1" w:styleId="97">
    <w:name w:val="font91"/>
    <w:basedOn w:val="37"/>
    <w:autoRedefine/>
    <w:qFormat/>
    <w:uiPriority w:val="0"/>
    <w:rPr>
      <w:rFonts w:hint="eastAsia" w:ascii="微软雅黑" w:hAnsi="微软雅黑" w:eastAsia="微软雅黑" w:cs="微软雅黑"/>
      <w:b/>
      <w:bCs/>
      <w:color w:val="000000"/>
      <w:sz w:val="20"/>
      <w:szCs w:val="20"/>
      <w:u w:val="none"/>
    </w:rPr>
  </w:style>
  <w:style w:type="table" w:customStyle="1" w:styleId="98">
    <w:name w:val="Table Normal"/>
    <w:autoRedefine/>
    <w:semiHidden/>
    <w:unhideWhenUsed/>
    <w:qFormat/>
    <w:uiPriority w:val="0"/>
    <w:tblPr>
      <w:tblCellMar>
        <w:top w:w="0" w:type="dxa"/>
        <w:left w:w="0" w:type="dxa"/>
        <w:bottom w:w="0" w:type="dxa"/>
        <w:right w:w="0" w:type="dxa"/>
      </w:tblCellMar>
    </w:tblPr>
  </w:style>
  <w:style w:type="paragraph" w:customStyle="1" w:styleId="99">
    <w:name w:val="Body Text First Indent 21"/>
    <w:basedOn w:val="1"/>
    <w:autoRedefine/>
    <w:qFormat/>
    <w:uiPriority w:val="0"/>
    <w:pPr>
      <w:spacing w:after="120"/>
      <w:ind w:left="200" w:leftChars="200" w:firstLine="420"/>
      <w:jc w:val="both"/>
    </w:pPr>
    <w:rPr>
      <w:rFonts w:ascii="仿宋_GB2312" w:eastAsia="仿宋_GB2312" w:cs="仿宋_GB2312"/>
      <w:kern w:val="2"/>
      <w:sz w:val="32"/>
      <w:szCs w:val="32"/>
      <w:lang w:eastAsia="zh-CN"/>
    </w:rPr>
  </w:style>
  <w:style w:type="paragraph" w:customStyle="1" w:styleId="100">
    <w:name w:val="样式 标题 3 + (中文) 黑体 小四 非加粗 段前: 7.8 磅 段后: 0 磅 行距: 固定值 20 磅"/>
    <w:basedOn w:val="4"/>
    <w:autoRedefine/>
    <w:qFormat/>
    <w:uiPriority w:val="0"/>
    <w:pPr>
      <w:spacing w:before="0" w:beforeLines="0" w:after="0" w:afterLines="0" w:line="400" w:lineRule="exact"/>
    </w:pPr>
    <w:rPr>
      <w:rFonts w:eastAsia="黑体" w:cs="宋体"/>
      <w:sz w:val="24"/>
      <w:szCs w:val="20"/>
    </w:rPr>
  </w:style>
  <w:style w:type="paragraph" w:customStyle="1" w:styleId="101">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paragraph" w:customStyle="1" w:styleId="102">
    <w:name w:val="协议段落"/>
    <w:basedOn w:val="1"/>
    <w:autoRedefine/>
    <w:qFormat/>
    <w:uiPriority w:val="0"/>
    <w:pPr>
      <w:ind w:firstLine="480" w:firstLineChars="200"/>
    </w:pPr>
    <w:rPr>
      <w:rFonts w:ascii="宋体"/>
      <w:sz w:val="24"/>
      <w:szCs w:val="24"/>
    </w:rPr>
  </w:style>
  <w:style w:type="paragraph" w:customStyle="1" w:styleId="103">
    <w:name w:val="格式条款-1"/>
    <w:basedOn w:val="1"/>
    <w:autoRedefine/>
    <w:qFormat/>
    <w:uiPriority w:val="0"/>
    <w:pPr>
      <w:tabs>
        <w:tab w:val="left" w:pos="735"/>
      </w:tabs>
    </w:pPr>
    <w:rPr>
      <w:rFonts w:ascii="宋体"/>
      <w:sz w:val="24"/>
      <w:szCs w:val="24"/>
    </w:rPr>
  </w:style>
  <w:style w:type="paragraph" w:customStyle="1" w:styleId="104">
    <w:name w:val="格式条款-2"/>
    <w:basedOn w:val="1"/>
    <w:autoRedefine/>
    <w:qFormat/>
    <w:uiPriority w:val="0"/>
    <w:pPr>
      <w:tabs>
        <w:tab w:val="left" w:pos="735"/>
      </w:tabs>
    </w:pPr>
    <w:rPr>
      <w:rFonts w:ascii="宋体" w:hAnsi="宋体"/>
      <w:sz w:val="24"/>
      <w:szCs w:val="24"/>
    </w:rPr>
  </w:style>
  <w:style w:type="character" w:customStyle="1" w:styleId="105">
    <w:name w:val="标题 Char"/>
    <w:basedOn w:val="37"/>
    <w:link w:val="32"/>
    <w:autoRedefine/>
    <w:qFormat/>
    <w:uiPriority w:val="0"/>
    <w:rPr>
      <w:rFonts w:ascii="Cambria" w:hAnsi="Cambria" w:eastAsia="黑体" w:cs="Times New Roman"/>
      <w:b/>
      <w:bCs/>
      <w:kern w:val="2"/>
      <w:sz w:val="32"/>
      <w:szCs w:val="32"/>
    </w:rPr>
  </w:style>
  <w:style w:type="paragraph" w:customStyle="1" w:styleId="106">
    <w:name w:val="一级条标题"/>
    <w:next w:val="107"/>
    <w:autoRedefine/>
    <w:qFormat/>
    <w:uiPriority w:val="0"/>
    <w:pPr>
      <w:numPr>
        <w:ilvl w:val="1"/>
        <w:numId w:val="1"/>
      </w:numPr>
      <w:spacing w:beforeLines="50" w:afterLines="50"/>
      <w:outlineLvl w:val="2"/>
    </w:pPr>
    <w:rPr>
      <w:rFonts w:ascii="黑体" w:hAnsi="Times New Roman" w:eastAsia="黑体" w:cs="Times New Roman"/>
      <w:sz w:val="21"/>
      <w:szCs w:val="21"/>
      <w:lang w:val="en-US" w:eastAsia="zh-CN" w:bidi="ar-SA"/>
    </w:rPr>
  </w:style>
  <w:style w:type="paragraph" w:customStyle="1" w:styleId="107">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08">
    <w:name w:val="二级条标题"/>
    <w:basedOn w:val="106"/>
    <w:next w:val="107"/>
    <w:qFormat/>
    <w:uiPriority w:val="0"/>
    <w:pPr>
      <w:numPr>
        <w:ilvl w:val="2"/>
      </w:numPr>
      <w:spacing w:before="50" w:after="50"/>
      <w:outlineLvl w:val="3"/>
    </w:pPr>
  </w:style>
  <w:style w:type="paragraph" w:customStyle="1" w:styleId="109">
    <w:name w:val="无间隔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0">
    <w:name w:val="二级无"/>
    <w:basedOn w:val="108"/>
    <w:autoRedefine/>
    <w:qFormat/>
    <w:uiPriority w:val="0"/>
    <w:pPr>
      <w:spacing w:before="0" w:beforeLines="0" w:after="0" w:afterLines="0"/>
      <w:ind w:left="0" w:firstLine="0"/>
    </w:pPr>
    <w:rPr>
      <w:rFonts w:ascii="宋体" w:eastAsia="宋体"/>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9.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70</Pages>
  <Words>27832</Words>
  <Characters>30024</Characters>
  <Lines>311</Lines>
  <Paragraphs>87</Paragraphs>
  <TotalTime>14</TotalTime>
  <ScaleCrop>false</ScaleCrop>
  <LinksUpToDate>false</LinksUpToDate>
  <CharactersWithSpaces>30666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2021-05-20T10:52:00Z</dcterms:created>
  <dc:creator>Administrator</dc:creator>
  <cp:lastModifiedBy>晴天</cp:lastModifiedBy>
  <cp:lastPrinted>2023-08-04T08:11:00Z</cp:lastPrinted>
  <dcterms:modified xsi:type="dcterms:W3CDTF">2025-09-12T07:04:23Z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455B838F8DD94800BDBEB6D24FB552A8_13</vt:lpwstr>
  </property>
  <property fmtid="{D5CDD505-2E9C-101B-9397-08002B2CF9AE}" pid="4" name="KSOTemplateDocerSaveRecord">
    <vt:lpwstr>eyJoZGlkIjoiOWY2YTM2MjcyN2NhMWUxOTFmODhjOTZiOGU3Mjk5NDQiLCJ1c2VySWQiOiI0NDYxMjU5NzgifQ==</vt:lpwstr>
  </property>
</Properties>
</file>