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BCBA">
      <w:pPr>
        <w:pStyle w:val="12"/>
        <w:rPr>
          <w:rFonts w:hint="eastAsia" w:ascii="宋体" w:hAnsi="宋体" w:eastAsia="宋体" w:cs="宋体"/>
        </w:rPr>
      </w:pPr>
    </w:p>
    <w:p w14:paraId="31734BBC">
      <w:pPr>
        <w:spacing w:line="800" w:lineRule="exact"/>
        <w:jc w:val="center"/>
        <w:rPr>
          <w:rFonts w:hint="eastAsia" w:ascii="宋体" w:hAnsi="宋体" w:eastAsia="宋体" w:cs="宋体"/>
          <w:b/>
          <w:spacing w:val="78"/>
          <w:sz w:val="72"/>
          <w:szCs w:val="88"/>
          <w:lang w:val="en-US" w:eastAsia="zh-CN"/>
        </w:rPr>
      </w:pPr>
    </w:p>
    <w:p w14:paraId="37E60F62">
      <w:pPr>
        <w:spacing w:line="800" w:lineRule="exact"/>
        <w:jc w:val="center"/>
        <w:rPr>
          <w:rFonts w:hint="eastAsia" w:ascii="宋体" w:hAnsi="宋体" w:eastAsia="宋体" w:cs="宋体"/>
          <w:b/>
          <w:spacing w:val="78"/>
          <w:sz w:val="72"/>
          <w:szCs w:val="88"/>
        </w:rPr>
      </w:pPr>
      <w:r>
        <w:rPr>
          <w:rFonts w:hint="eastAsia" w:ascii="宋体" w:hAnsi="宋体" w:eastAsia="宋体" w:cs="宋体"/>
          <w:b/>
          <w:spacing w:val="78"/>
          <w:sz w:val="72"/>
          <w:szCs w:val="88"/>
          <w:lang w:val="en-US" w:eastAsia="zh-CN"/>
        </w:rPr>
        <w:t>企业</w:t>
      </w:r>
      <w:r>
        <w:rPr>
          <w:rFonts w:hint="eastAsia" w:ascii="宋体" w:hAnsi="宋体" w:eastAsia="宋体" w:cs="宋体"/>
          <w:b/>
          <w:spacing w:val="78"/>
          <w:sz w:val="72"/>
          <w:szCs w:val="88"/>
        </w:rPr>
        <w:t>采购</w:t>
      </w:r>
    </w:p>
    <w:p w14:paraId="236AAD73">
      <w:pPr>
        <w:spacing w:line="800" w:lineRule="exact"/>
        <w:jc w:val="center"/>
        <w:rPr>
          <w:rFonts w:hint="eastAsia" w:ascii="宋体" w:hAnsi="宋体" w:eastAsia="宋体" w:cs="宋体"/>
          <w:b/>
          <w:spacing w:val="78"/>
          <w:sz w:val="72"/>
          <w:szCs w:val="88"/>
        </w:rPr>
      </w:pPr>
      <w:r>
        <w:rPr>
          <w:rFonts w:hint="eastAsia" w:ascii="宋体" w:hAnsi="宋体" w:cs="宋体"/>
          <w:b/>
          <w:spacing w:val="78"/>
          <w:sz w:val="72"/>
          <w:szCs w:val="88"/>
          <w:lang w:eastAsia="zh-CN"/>
        </w:rPr>
        <w:t>竞争性谈判</w:t>
      </w:r>
      <w:r>
        <w:rPr>
          <w:rFonts w:hint="eastAsia" w:ascii="宋体" w:hAnsi="宋体" w:eastAsia="宋体" w:cs="宋体"/>
          <w:b/>
          <w:spacing w:val="78"/>
          <w:sz w:val="72"/>
          <w:szCs w:val="88"/>
        </w:rPr>
        <w:t>文件</w:t>
      </w:r>
    </w:p>
    <w:p w14:paraId="5DCBB65C">
      <w:pPr>
        <w:spacing w:before="240" w:beforeLines="100" w:after="120" w:afterLines="50" w:line="200" w:lineRule="exact"/>
        <w:ind w:firstLine="1846" w:firstLineChars="460"/>
        <w:rPr>
          <w:rFonts w:hint="eastAsia" w:ascii="宋体" w:hAnsi="宋体" w:eastAsia="宋体" w:cs="宋体"/>
          <w:b/>
          <w:spacing w:val="40"/>
          <w:sz w:val="32"/>
        </w:rPr>
      </w:pPr>
    </w:p>
    <w:p w14:paraId="553B636C">
      <w:pPr>
        <w:ind w:left="2183" w:hanging="2183" w:hangingChars="544"/>
        <w:jc w:val="center"/>
        <w:rPr>
          <w:rFonts w:hint="eastAsia" w:ascii="宋体" w:hAnsi="宋体" w:eastAsia="宋体" w:cs="宋体"/>
          <w:b/>
          <w:spacing w:val="40"/>
          <w:sz w:val="32"/>
        </w:rPr>
      </w:pPr>
    </w:p>
    <w:p w14:paraId="6F460E23">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eastAsia="宋体" w:cs="宋体"/>
          <w:b/>
          <w:spacing w:val="40"/>
          <w:sz w:val="28"/>
          <w:szCs w:val="28"/>
        </w:rPr>
        <w:t>项目名称：</w:t>
      </w:r>
      <w:r>
        <w:rPr>
          <w:rFonts w:hint="eastAsia" w:ascii="宋体" w:hAnsi="宋体" w:cs="宋体"/>
          <w:b/>
          <w:spacing w:val="40"/>
          <w:sz w:val="28"/>
          <w:szCs w:val="28"/>
          <w:lang w:eastAsia="zh-CN"/>
        </w:rPr>
        <w:t>贵州钟山野马寨热电有限责任公司</w:t>
      </w:r>
    </w:p>
    <w:p w14:paraId="57A5485C">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cs="宋体"/>
          <w:b/>
          <w:spacing w:val="40"/>
          <w:sz w:val="28"/>
          <w:szCs w:val="28"/>
          <w:lang w:eastAsia="zh-CN"/>
        </w:rPr>
        <w:t>202</w:t>
      </w:r>
      <w:r>
        <w:rPr>
          <w:rFonts w:hint="eastAsia" w:ascii="宋体" w:hAnsi="宋体" w:cs="宋体"/>
          <w:b/>
          <w:spacing w:val="40"/>
          <w:sz w:val="28"/>
          <w:szCs w:val="28"/>
          <w:lang w:val="en-US" w:eastAsia="zh-CN"/>
        </w:rPr>
        <w:t>5</w:t>
      </w:r>
      <w:r>
        <w:rPr>
          <w:rFonts w:hint="eastAsia" w:ascii="宋体" w:hAnsi="宋体" w:cs="宋体"/>
          <w:b/>
          <w:spacing w:val="40"/>
          <w:sz w:val="28"/>
          <w:szCs w:val="28"/>
          <w:lang w:eastAsia="zh-CN"/>
        </w:rPr>
        <w:t>年</w:t>
      </w:r>
      <w:r>
        <w:rPr>
          <w:rFonts w:hint="eastAsia" w:ascii="宋体" w:hAnsi="宋体" w:cs="宋体"/>
          <w:b/>
          <w:spacing w:val="40"/>
          <w:sz w:val="28"/>
          <w:szCs w:val="28"/>
          <w:lang w:val="en-US" w:eastAsia="zh-CN"/>
        </w:rPr>
        <w:t>第二十二批次</w:t>
      </w:r>
      <w:r>
        <w:rPr>
          <w:rFonts w:hint="eastAsia" w:ascii="宋体" w:hAnsi="宋体" w:cs="宋体"/>
          <w:b/>
          <w:spacing w:val="40"/>
          <w:sz w:val="28"/>
          <w:szCs w:val="28"/>
          <w:lang w:eastAsia="zh-CN"/>
        </w:rPr>
        <w:t>燃煤采购项目</w:t>
      </w:r>
    </w:p>
    <w:p w14:paraId="4D267F82">
      <w:pPr>
        <w:spacing w:line="360" w:lineRule="auto"/>
        <w:ind w:left="2128" w:leftChars="580" w:hanging="910" w:hangingChars="244"/>
        <w:jc w:val="both"/>
        <w:rPr>
          <w:rFonts w:hint="eastAsia" w:ascii="宋体" w:hAnsi="宋体" w:cs="宋体"/>
          <w:b/>
          <w:spacing w:val="46"/>
          <w:kern w:val="0"/>
          <w:sz w:val="28"/>
          <w:szCs w:val="28"/>
          <w:fitText w:val="1400" w:id="597450788"/>
          <w:lang w:val="en-US" w:eastAsia="zh-CN"/>
        </w:rPr>
      </w:pPr>
    </w:p>
    <w:p w14:paraId="39FB19FA">
      <w:pPr>
        <w:spacing w:line="360" w:lineRule="auto"/>
        <w:ind w:left="2128" w:leftChars="580" w:hanging="910" w:hangingChars="244"/>
        <w:jc w:val="both"/>
        <w:rPr>
          <w:rFonts w:hint="default" w:ascii="宋体" w:hAnsi="宋体" w:eastAsia="宋体" w:cs="宋体"/>
          <w:b/>
          <w:sz w:val="28"/>
          <w:szCs w:val="28"/>
          <w:lang w:val="en-US" w:eastAsia="zh-CN"/>
        </w:rPr>
      </w:pPr>
      <w:r>
        <w:rPr>
          <w:rFonts w:hint="eastAsia" w:ascii="宋体" w:hAnsi="宋体" w:cs="宋体"/>
          <w:b/>
          <w:spacing w:val="46"/>
          <w:kern w:val="0"/>
          <w:sz w:val="28"/>
          <w:szCs w:val="28"/>
          <w:fitText w:val="1400" w:id="597450788"/>
          <w:lang w:val="en-US" w:eastAsia="zh-CN"/>
        </w:rPr>
        <w:t>项目编</w:t>
      </w:r>
      <w:r>
        <w:rPr>
          <w:rFonts w:hint="eastAsia" w:ascii="宋体" w:hAnsi="宋体" w:cs="宋体"/>
          <w:b/>
          <w:spacing w:val="2"/>
          <w:kern w:val="0"/>
          <w:sz w:val="28"/>
          <w:szCs w:val="28"/>
          <w:fitText w:val="1400" w:id="597450788"/>
          <w:lang w:val="en-US" w:eastAsia="zh-CN"/>
        </w:rPr>
        <w:t>号</w:t>
      </w:r>
      <w:r>
        <w:rPr>
          <w:rFonts w:hint="eastAsia" w:ascii="宋体" w:hAnsi="宋体" w:cs="宋体"/>
          <w:b/>
          <w:sz w:val="28"/>
          <w:szCs w:val="28"/>
          <w:lang w:val="en-US" w:eastAsia="zh-CN"/>
        </w:rPr>
        <w:t>：ZSRD2025000122</w:t>
      </w:r>
    </w:p>
    <w:p w14:paraId="3D22255D">
      <w:pPr>
        <w:pStyle w:val="10"/>
        <w:rPr>
          <w:rFonts w:hint="eastAsia" w:ascii="宋体" w:hAnsi="宋体" w:eastAsia="宋体" w:cs="宋体"/>
          <w:b/>
          <w:sz w:val="28"/>
          <w:szCs w:val="28"/>
        </w:rPr>
      </w:pPr>
    </w:p>
    <w:p w14:paraId="018032A8">
      <w:pPr>
        <w:rPr>
          <w:rFonts w:hint="eastAsia" w:ascii="宋体" w:hAnsi="宋体" w:eastAsia="宋体" w:cs="宋体"/>
          <w:b/>
          <w:sz w:val="28"/>
          <w:szCs w:val="28"/>
        </w:rPr>
      </w:pPr>
    </w:p>
    <w:p w14:paraId="42DE160A">
      <w:pPr>
        <w:pStyle w:val="9"/>
        <w:rPr>
          <w:rFonts w:hint="eastAsia" w:ascii="宋体" w:hAnsi="宋体" w:eastAsia="宋体" w:cs="宋体"/>
          <w:b/>
          <w:sz w:val="28"/>
          <w:szCs w:val="28"/>
        </w:rPr>
      </w:pPr>
    </w:p>
    <w:p w14:paraId="7C657497">
      <w:pPr>
        <w:pStyle w:val="10"/>
        <w:rPr>
          <w:rFonts w:hint="eastAsia" w:ascii="宋体" w:hAnsi="宋体" w:eastAsia="宋体" w:cs="宋体"/>
          <w:b/>
          <w:sz w:val="28"/>
          <w:szCs w:val="28"/>
        </w:rPr>
      </w:pPr>
    </w:p>
    <w:p w14:paraId="7B181238">
      <w:pPr>
        <w:rPr>
          <w:rFonts w:hint="eastAsia" w:ascii="宋体" w:hAnsi="宋体" w:eastAsia="宋体" w:cs="宋体"/>
          <w:b/>
          <w:sz w:val="28"/>
          <w:szCs w:val="28"/>
        </w:rPr>
      </w:pPr>
    </w:p>
    <w:p w14:paraId="1969B7E3">
      <w:pPr>
        <w:rPr>
          <w:rFonts w:hint="eastAsia" w:ascii="宋体" w:hAnsi="宋体" w:eastAsia="宋体" w:cs="宋体"/>
          <w:b/>
          <w:sz w:val="28"/>
          <w:szCs w:val="28"/>
        </w:rPr>
      </w:pPr>
    </w:p>
    <w:p w14:paraId="1FA26676">
      <w:pPr>
        <w:spacing w:after="0" w:line="360" w:lineRule="auto"/>
        <w:rPr>
          <w:rFonts w:hint="eastAsia" w:ascii="宋体" w:hAnsi="宋体" w:eastAsia="宋体" w:cs="宋体"/>
          <w:b/>
          <w:sz w:val="28"/>
          <w:szCs w:val="28"/>
        </w:rPr>
      </w:pPr>
    </w:p>
    <w:p w14:paraId="2EFAA24D">
      <w:pPr>
        <w:spacing w:after="0" w:line="360" w:lineRule="auto"/>
        <w:ind w:firstLine="1405" w:firstLineChars="500"/>
        <w:jc w:val="both"/>
        <w:rPr>
          <w:rFonts w:hint="eastAsia" w:ascii="宋体" w:hAnsi="宋体" w:eastAsia="宋体" w:cs="宋体"/>
          <w:b/>
          <w:sz w:val="28"/>
          <w:szCs w:val="28"/>
          <w:u w:val="none"/>
          <w:lang w:eastAsia="zh-CN"/>
        </w:rPr>
      </w:pPr>
      <w:r>
        <w:rPr>
          <w:rFonts w:hint="eastAsia" w:ascii="宋体" w:hAnsi="宋体" w:eastAsia="宋体" w:cs="宋体"/>
          <w:b/>
          <w:sz w:val="28"/>
          <w:szCs w:val="28"/>
        </w:rPr>
        <w:t>采 购</w:t>
      </w:r>
      <w:r>
        <w:rPr>
          <w:rFonts w:hint="eastAsia" w:ascii="宋体" w:hAnsi="宋体" w:cs="宋体"/>
          <w:b/>
          <w:sz w:val="28"/>
          <w:szCs w:val="28"/>
          <w:lang w:val="en-US" w:eastAsia="zh-CN"/>
        </w:rPr>
        <w:t>人</w:t>
      </w:r>
      <w:r>
        <w:rPr>
          <w:rFonts w:hint="eastAsia" w:ascii="宋体" w:hAnsi="宋体" w:eastAsia="宋体" w:cs="宋体"/>
          <w:b/>
          <w:sz w:val="28"/>
          <w:szCs w:val="28"/>
        </w:rPr>
        <w:t>：</w:t>
      </w:r>
      <w:r>
        <w:rPr>
          <w:rFonts w:hint="eastAsia" w:ascii="宋体" w:hAnsi="宋体" w:eastAsia="宋体" w:cs="宋体"/>
          <w:b/>
          <w:sz w:val="28"/>
          <w:szCs w:val="28"/>
          <w:u w:val="none"/>
          <w:lang w:eastAsia="zh-CN"/>
        </w:rPr>
        <w:t>贵州钟山野马寨热电有限责任公司</w:t>
      </w:r>
      <w:bookmarkStart w:id="0" w:name="_Toc21075"/>
      <w:bookmarkStart w:id="1" w:name="_Toc392506291"/>
      <w:bookmarkStart w:id="2" w:name="_Toc319574045"/>
    </w:p>
    <w:p w14:paraId="234748F8">
      <w:pPr>
        <w:spacing w:after="0" w:line="360" w:lineRule="auto"/>
        <w:ind w:firstLine="1405" w:firstLineChars="500"/>
        <w:jc w:val="both"/>
        <w:rPr>
          <w:rFonts w:hint="eastAsia" w:ascii="宋体" w:hAnsi="宋体" w:eastAsia="宋体" w:cs="宋体"/>
          <w:sz w:val="52"/>
          <w:szCs w:val="52"/>
          <w:lang w:val="en-US" w:eastAsia="zh-CN"/>
        </w:rPr>
      </w:pPr>
      <w:r>
        <w:rPr>
          <w:rFonts w:hint="eastAsia" w:ascii="宋体" w:hAnsi="宋体" w:eastAsia="宋体" w:cs="宋体"/>
          <w:b/>
          <w:bCs/>
          <w:sz w:val="28"/>
          <w:szCs w:val="28"/>
        </w:rPr>
        <w:t>时   间：</w:t>
      </w:r>
      <w:bookmarkEnd w:id="0"/>
      <w:bookmarkEnd w:id="1"/>
      <w:bookmarkEnd w:id="2"/>
      <w:r>
        <w:rPr>
          <w:rFonts w:hint="eastAsia" w:ascii="宋体" w:hAnsi="宋体" w:cs="宋体"/>
          <w:b/>
          <w:bCs/>
          <w:sz w:val="28"/>
          <w:szCs w:val="28"/>
          <w:u w:val="none"/>
          <w:lang w:eastAsia="zh-CN"/>
        </w:rPr>
        <w:t>二○二五年</w:t>
      </w:r>
      <w:r>
        <w:rPr>
          <w:rFonts w:hint="eastAsia" w:ascii="宋体" w:hAnsi="宋体" w:cs="宋体"/>
          <w:b/>
          <w:bCs/>
          <w:sz w:val="28"/>
          <w:szCs w:val="28"/>
          <w:u w:val="none"/>
          <w:lang w:val="en-US" w:eastAsia="zh-CN"/>
        </w:rPr>
        <w:t>九</w:t>
      </w:r>
      <w:r>
        <w:rPr>
          <w:rFonts w:hint="eastAsia" w:ascii="宋体" w:hAnsi="宋体" w:cs="宋体"/>
          <w:b/>
          <w:bCs/>
          <w:sz w:val="28"/>
          <w:szCs w:val="28"/>
          <w:u w:val="none"/>
          <w:lang w:eastAsia="zh-CN"/>
        </w:rPr>
        <w:t>月</w:t>
      </w:r>
      <w:r>
        <w:rPr>
          <w:rFonts w:hint="eastAsia" w:ascii="宋体" w:hAnsi="宋体" w:cs="宋体"/>
          <w:b/>
          <w:bCs/>
          <w:sz w:val="28"/>
          <w:szCs w:val="28"/>
          <w:u w:val="none"/>
          <w:lang w:val="en-US" w:eastAsia="zh-CN"/>
        </w:rPr>
        <w:t>二十三</w:t>
      </w:r>
      <w:r>
        <w:rPr>
          <w:rFonts w:hint="eastAsia" w:ascii="宋体" w:hAnsi="宋体" w:cs="宋体"/>
          <w:b/>
          <w:bCs/>
          <w:sz w:val="28"/>
          <w:szCs w:val="28"/>
          <w:u w:val="none"/>
          <w:lang w:eastAsia="zh-CN"/>
        </w:rPr>
        <w:t>日</w:t>
      </w:r>
    </w:p>
    <w:p w14:paraId="14C174D6">
      <w:pPr>
        <w:pStyle w:val="33"/>
        <w:rPr>
          <w:rFonts w:hint="eastAsia" w:ascii="宋体" w:hAnsi="宋体" w:eastAsia="宋体" w:cs="宋体"/>
          <w:lang w:val="zh-CN" w:eastAsia="zh-CN"/>
        </w:rPr>
      </w:pPr>
    </w:p>
    <w:p w14:paraId="528A76A8">
      <w:pPr>
        <w:pStyle w:val="25"/>
        <w:rPr>
          <w:rFonts w:hint="eastAsia" w:ascii="宋体" w:hAnsi="宋体" w:eastAsia="宋体" w:cs="宋体"/>
          <w:lang w:val="zh-CN" w:eastAsia="zh-CN"/>
        </w:rPr>
      </w:pPr>
    </w:p>
    <w:p w14:paraId="09A0D904">
      <w:pPr>
        <w:rPr>
          <w:rFonts w:hint="eastAsia" w:ascii="宋体" w:hAnsi="宋体" w:eastAsia="宋体" w:cs="宋体"/>
          <w:lang w:val="zh-CN" w:eastAsia="zh-CN"/>
        </w:rPr>
      </w:pPr>
    </w:p>
    <w:p w14:paraId="0E417CD9">
      <w:pPr>
        <w:pStyle w:val="8"/>
        <w:rPr>
          <w:rFonts w:hint="eastAsia"/>
          <w:lang w:val="zh-CN" w:eastAsia="zh-CN"/>
        </w:rPr>
      </w:pPr>
    </w:p>
    <w:p w14:paraId="0D507E87">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583E74A5">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目    录</w:t>
      </w:r>
    </w:p>
    <w:p w14:paraId="49DC3A50">
      <w:pPr>
        <w:pStyle w:val="49"/>
        <w:keepNext w:val="0"/>
        <w:keepLines w:val="0"/>
        <w:pageBreakBefore w:val="0"/>
        <w:kinsoku/>
        <w:wordWrap/>
        <w:overflowPunct/>
        <w:topLinePunct w:val="0"/>
        <w:autoSpaceDE/>
        <w:autoSpaceDN/>
        <w:bidi w:val="0"/>
        <w:adjustRightInd/>
        <w:snapToGrid/>
        <w:spacing w:line="360" w:lineRule="auto"/>
        <w:ind w:firstLine="420" w:firstLineChars="200"/>
        <w:jc w:val="center"/>
        <w:rPr>
          <w:rFonts w:hint="eastAsia" w:ascii="宋体" w:hAnsi="宋体" w:eastAsia="宋体" w:cs="宋体"/>
          <w:color w:val="auto"/>
        </w:rPr>
      </w:pPr>
    </w:p>
    <w:p w14:paraId="0155C391">
      <w:pPr>
        <w:keepNext w:val="0"/>
        <w:keepLines w:val="0"/>
        <w:pageBreakBefore w:val="0"/>
        <w:kinsoku/>
        <w:wordWrap/>
        <w:overflowPunct/>
        <w:topLinePunct w:val="0"/>
        <w:autoSpaceDE/>
        <w:autoSpaceDN/>
        <w:bidi w:val="0"/>
        <w:adjustRightInd/>
        <w:snapToGrid/>
        <w:spacing w:line="360" w:lineRule="auto"/>
        <w:ind w:firstLine="422" w:firstLineChars="200"/>
        <w:jc w:val="center"/>
        <w:rPr>
          <w:rFonts w:hint="eastAsia" w:ascii="宋体" w:hAnsi="宋体" w:eastAsia="宋体" w:cs="宋体"/>
          <w:b/>
          <w:color w:val="auto"/>
          <w:lang w:val="zh-CN"/>
        </w:rPr>
      </w:pPr>
    </w:p>
    <w:p w14:paraId="145A20F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_Toc2378 </w:instrText>
      </w:r>
      <w:r>
        <w:rPr>
          <w:rFonts w:hint="eastAsia" w:ascii="宋体" w:hAnsi="宋体" w:eastAsia="宋体" w:cs="宋体"/>
        </w:rPr>
        <w:fldChar w:fldCharType="separate"/>
      </w:r>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szCs w:val="30"/>
          <w:lang w:val="en-US" w:eastAsia="zh-CN"/>
        </w:rPr>
        <w:t>竞争性谈判通知</w:t>
      </w:r>
      <w:r>
        <w:tab/>
      </w:r>
      <w:r>
        <w:fldChar w:fldCharType="begin"/>
      </w:r>
      <w:r>
        <w:instrText xml:space="preserve"> PAGEREF _Toc2378 \h </w:instrText>
      </w:r>
      <w:r>
        <w:fldChar w:fldCharType="separate"/>
      </w:r>
      <w:r>
        <w:t>1</w:t>
      </w:r>
      <w:r>
        <w:fldChar w:fldCharType="end"/>
      </w:r>
      <w:r>
        <w:rPr>
          <w:rFonts w:hint="eastAsia" w:ascii="宋体" w:hAnsi="宋体" w:eastAsia="宋体" w:cs="宋体"/>
          <w:color w:val="auto"/>
        </w:rPr>
        <w:fldChar w:fldCharType="end"/>
      </w:r>
    </w:p>
    <w:p w14:paraId="6F32109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_Toc4281 </w:instrText>
      </w:r>
      <w:r>
        <w:rPr>
          <w:rFonts w:hint="eastAsia" w:ascii="宋体" w:hAnsi="宋体" w:eastAsia="宋体" w:cs="宋体"/>
        </w:rPr>
        <w:fldChar w:fldCharType="separate"/>
      </w:r>
      <w:r>
        <w:rPr>
          <w:rFonts w:hint="eastAsia" w:ascii="宋体" w:hAnsi="宋体" w:eastAsia="宋体" w:cs="宋体"/>
          <w:lang w:val="en-US" w:eastAsia="zh-CN"/>
        </w:rPr>
        <w:t>第二章  供应</w:t>
      </w:r>
      <w:r>
        <w:rPr>
          <w:rFonts w:hint="eastAsia" w:ascii="宋体" w:hAnsi="宋体" w:eastAsia="宋体" w:cs="宋体"/>
        </w:rPr>
        <w:t>商须知</w:t>
      </w:r>
      <w:r>
        <w:tab/>
      </w:r>
      <w:r>
        <w:fldChar w:fldCharType="begin"/>
      </w:r>
      <w:r>
        <w:instrText xml:space="preserve"> PAGEREF _Toc4281 \h </w:instrText>
      </w:r>
      <w:r>
        <w:fldChar w:fldCharType="separate"/>
      </w:r>
      <w:r>
        <w:t>4</w:t>
      </w:r>
      <w:r>
        <w:fldChar w:fldCharType="end"/>
      </w:r>
      <w:r>
        <w:rPr>
          <w:rFonts w:hint="eastAsia" w:ascii="宋体" w:hAnsi="宋体" w:eastAsia="宋体" w:cs="宋体"/>
          <w:color w:val="auto"/>
        </w:rPr>
        <w:fldChar w:fldCharType="end"/>
      </w:r>
    </w:p>
    <w:p w14:paraId="5ACDD63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_Toc3366 </w:instrText>
      </w:r>
      <w:r>
        <w:rPr>
          <w:rFonts w:hint="eastAsia" w:ascii="宋体" w:hAnsi="宋体" w:eastAsia="宋体" w:cs="宋体"/>
        </w:rPr>
        <w:fldChar w:fldCharType="separate"/>
      </w:r>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r>
        <w:tab/>
      </w:r>
      <w:r>
        <w:fldChar w:fldCharType="begin"/>
      </w:r>
      <w:r>
        <w:instrText xml:space="preserve"> PAGEREF _Toc3366 \h </w:instrText>
      </w:r>
      <w:r>
        <w:fldChar w:fldCharType="separate"/>
      </w:r>
      <w:r>
        <w:t>18</w:t>
      </w:r>
      <w:r>
        <w:fldChar w:fldCharType="end"/>
      </w:r>
      <w:r>
        <w:rPr>
          <w:rFonts w:hint="eastAsia" w:ascii="宋体" w:hAnsi="宋体" w:eastAsia="宋体" w:cs="宋体"/>
          <w:color w:val="auto"/>
        </w:rPr>
        <w:fldChar w:fldCharType="end"/>
      </w:r>
    </w:p>
    <w:p w14:paraId="3E1B68F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_Toc29085 </w:instrText>
      </w:r>
      <w:r>
        <w:rPr>
          <w:rFonts w:hint="eastAsia" w:ascii="宋体" w:hAnsi="宋体" w:eastAsia="宋体" w:cs="宋体"/>
        </w:rPr>
        <w:fldChar w:fldCharType="separate"/>
      </w:r>
      <w:r>
        <w:rPr>
          <w:rFonts w:hint="eastAsia" w:ascii="宋体" w:hAnsi="宋体" w:eastAsia="宋体" w:cs="宋体"/>
          <w:szCs w:val="30"/>
          <w:lang w:val="en-US" w:eastAsia="zh-CN"/>
        </w:rPr>
        <w:t>第</w:t>
      </w:r>
      <w:r>
        <w:rPr>
          <w:rFonts w:hint="eastAsia" w:ascii="宋体" w:hAnsi="宋体" w:cs="宋体"/>
          <w:szCs w:val="30"/>
          <w:lang w:val="en-US" w:eastAsia="zh-CN"/>
        </w:rPr>
        <w:t>四</w:t>
      </w:r>
      <w:r>
        <w:rPr>
          <w:rFonts w:hint="eastAsia" w:ascii="宋体" w:hAnsi="宋体" w:eastAsia="宋体" w:cs="宋体"/>
          <w:szCs w:val="30"/>
          <w:lang w:val="en-US" w:eastAsia="zh-CN"/>
        </w:rPr>
        <w:t>章</w:t>
      </w:r>
      <w:r>
        <w:rPr>
          <w:rFonts w:hint="eastAsia" w:ascii="宋体" w:hAnsi="宋体" w:eastAsia="宋体" w:cs="宋体"/>
          <w:szCs w:val="30"/>
        </w:rPr>
        <w:t xml:space="preserve"> </w:t>
      </w:r>
      <w:r>
        <w:rPr>
          <w:rFonts w:hint="eastAsia" w:ascii="宋体" w:hAnsi="宋体" w:eastAsia="宋体" w:cs="宋体"/>
          <w:szCs w:val="30"/>
          <w:lang w:val="en-US" w:eastAsia="zh-CN"/>
        </w:rPr>
        <w:t xml:space="preserve"> </w:t>
      </w:r>
      <w:r>
        <w:rPr>
          <w:rFonts w:hint="eastAsia" w:ascii="宋体" w:hAnsi="宋体" w:eastAsia="宋体" w:cs="宋体"/>
          <w:szCs w:val="30"/>
        </w:rPr>
        <w:t>采购项目的技术规格、数量、服务标准、验收等要求。</w:t>
      </w:r>
      <w:r>
        <w:tab/>
      </w:r>
      <w:r>
        <w:fldChar w:fldCharType="begin"/>
      </w:r>
      <w:r>
        <w:instrText xml:space="preserve"> PAGEREF _Toc29085 \h </w:instrText>
      </w:r>
      <w:r>
        <w:fldChar w:fldCharType="separate"/>
      </w:r>
      <w:r>
        <w:t>19</w:t>
      </w:r>
      <w:r>
        <w:fldChar w:fldCharType="end"/>
      </w:r>
      <w:r>
        <w:rPr>
          <w:rFonts w:hint="eastAsia" w:ascii="宋体" w:hAnsi="宋体" w:eastAsia="宋体" w:cs="宋体"/>
          <w:color w:val="auto"/>
        </w:rPr>
        <w:fldChar w:fldCharType="end"/>
      </w:r>
    </w:p>
    <w:p w14:paraId="285E6D55">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_Toc16691 </w:instrText>
      </w:r>
      <w:r>
        <w:rPr>
          <w:rFonts w:hint="eastAsia" w:ascii="宋体" w:hAnsi="宋体" w:eastAsia="宋体" w:cs="宋体"/>
        </w:rPr>
        <w:fldChar w:fldCharType="separate"/>
      </w:r>
      <w:r>
        <w:rPr>
          <w:rFonts w:hint="eastAsia" w:ascii="宋体" w:hAnsi="宋体" w:cs="宋体"/>
          <w:szCs w:val="30"/>
        </w:rPr>
        <w:t xml:space="preserve">第五章 </w:t>
      </w:r>
      <w:r>
        <w:rPr>
          <w:rFonts w:hint="eastAsia" w:ascii="宋体" w:hAnsi="宋体" w:cs="宋体"/>
          <w:szCs w:val="30"/>
          <w:lang w:val="en-US" w:eastAsia="zh-CN"/>
        </w:rPr>
        <w:t xml:space="preserve"> </w:t>
      </w:r>
      <w:r>
        <w:rPr>
          <w:rFonts w:hint="eastAsia" w:ascii="宋体" w:hAnsi="宋体" w:cs="宋体"/>
          <w:szCs w:val="30"/>
        </w:rPr>
        <w:t>合同格式文本</w:t>
      </w:r>
      <w:r>
        <w:tab/>
      </w:r>
      <w:r>
        <w:fldChar w:fldCharType="begin"/>
      </w:r>
      <w:r>
        <w:instrText xml:space="preserve"> PAGEREF _Toc16691 \h </w:instrText>
      </w:r>
      <w:r>
        <w:fldChar w:fldCharType="separate"/>
      </w:r>
      <w:r>
        <w:t>2</w:t>
      </w:r>
      <w:r>
        <w:rPr>
          <w:rFonts w:hint="eastAsia"/>
          <w:lang w:val="en-US" w:eastAsia="zh-CN"/>
        </w:rPr>
        <w:t>5</w:t>
      </w:r>
      <w:r>
        <w:fldChar w:fldCharType="end"/>
      </w:r>
      <w:r>
        <w:rPr>
          <w:rFonts w:hint="eastAsia" w:ascii="宋体" w:hAnsi="宋体" w:eastAsia="宋体" w:cs="宋体"/>
          <w:color w:val="auto"/>
        </w:rPr>
        <w:fldChar w:fldCharType="end"/>
      </w:r>
    </w:p>
    <w:p w14:paraId="5A1F927C">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_Toc31987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r>
        <w:tab/>
      </w:r>
      <w:r>
        <w:fldChar w:fldCharType="begin"/>
      </w:r>
      <w:r>
        <w:instrText xml:space="preserve"> PAGEREF _Toc31987 \h </w:instrText>
      </w:r>
      <w:r>
        <w:fldChar w:fldCharType="separate"/>
      </w:r>
      <w:r>
        <w:t>4</w:t>
      </w:r>
      <w:r>
        <w:rPr>
          <w:rFonts w:hint="eastAsia"/>
          <w:lang w:val="en-US" w:eastAsia="zh-CN"/>
        </w:rPr>
        <w:t>7</w:t>
      </w:r>
      <w:r>
        <w:fldChar w:fldCharType="end"/>
      </w:r>
      <w:r>
        <w:rPr>
          <w:rFonts w:hint="eastAsia" w:ascii="宋体" w:hAnsi="宋体" w:eastAsia="宋体" w:cs="宋体"/>
          <w:color w:val="auto"/>
        </w:rPr>
        <w:fldChar w:fldCharType="end"/>
      </w:r>
    </w:p>
    <w:p w14:paraId="3A914E94">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_Toc9691 </w:instrText>
      </w:r>
      <w:r>
        <w:rPr>
          <w:rFonts w:hint="eastAsia" w:eastAsia="宋体"/>
        </w:rPr>
        <w:fldChar w:fldCharType="separate"/>
      </w:r>
      <w:r>
        <w:rPr>
          <w:rFonts w:hint="eastAsia" w:eastAsia="宋体"/>
        </w:rPr>
        <w:t>第</w:t>
      </w:r>
      <w:r>
        <w:rPr>
          <w:rFonts w:hint="eastAsia" w:eastAsia="宋体"/>
          <w:lang w:val="en-US" w:eastAsia="zh-CN"/>
        </w:rPr>
        <w:t>七</w:t>
      </w:r>
      <w:r>
        <w:rPr>
          <w:rFonts w:hint="eastAsia" w:eastAsia="宋体"/>
        </w:rPr>
        <w:t xml:space="preserve">章  </w:t>
      </w:r>
      <w:r>
        <w:rPr>
          <w:rFonts w:hint="eastAsia" w:eastAsia="宋体"/>
          <w:lang w:eastAsia="zh-CN"/>
        </w:rPr>
        <w:t>谈判</w:t>
      </w:r>
      <w:r>
        <w:rPr>
          <w:rFonts w:hint="eastAsia" w:eastAsia="宋体"/>
        </w:rPr>
        <w:t>有效期</w:t>
      </w:r>
      <w:r>
        <w:rPr>
          <w:rFonts w:eastAsia="宋体"/>
        </w:rPr>
        <w:tab/>
      </w:r>
      <w:r>
        <w:rPr>
          <w:rFonts w:hint="eastAsia" w:eastAsia="宋体"/>
          <w:lang w:val="en-US" w:eastAsia="zh-CN"/>
        </w:rPr>
        <w:t>5</w:t>
      </w:r>
      <w:r>
        <w:rPr>
          <w:rFonts w:hint="eastAsia" w:eastAsia="宋体"/>
        </w:rPr>
        <w:fldChar w:fldCharType="end"/>
      </w:r>
      <w:r>
        <w:rPr>
          <w:rFonts w:hint="eastAsia"/>
          <w:lang w:val="en-US" w:eastAsia="zh-CN"/>
        </w:rPr>
        <w:t>3</w:t>
      </w:r>
    </w:p>
    <w:p w14:paraId="2BFBA4CE">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_Toc17311 </w:instrText>
      </w:r>
      <w:r>
        <w:rPr>
          <w:rFonts w:hint="eastAsia" w:eastAsia="宋体"/>
        </w:rPr>
        <w:fldChar w:fldCharType="separate"/>
      </w:r>
      <w:r>
        <w:rPr>
          <w:rFonts w:hint="eastAsia" w:eastAsia="宋体"/>
        </w:rPr>
        <w:t>第</w:t>
      </w:r>
      <w:r>
        <w:rPr>
          <w:rFonts w:hint="eastAsia" w:eastAsia="宋体"/>
          <w:lang w:val="en-US" w:eastAsia="zh-CN"/>
        </w:rPr>
        <w:t>八</w:t>
      </w:r>
      <w:r>
        <w:rPr>
          <w:rFonts w:hint="eastAsia" w:eastAsia="宋体"/>
        </w:rPr>
        <w:t>章  响应文件格式</w:t>
      </w:r>
      <w:r>
        <w:rPr>
          <w:rFonts w:hint="eastAsia" w:eastAsia="宋体"/>
        </w:rPr>
        <w:tab/>
      </w:r>
      <w:r>
        <w:rPr>
          <w:rFonts w:hint="eastAsia" w:eastAsia="宋体"/>
          <w:lang w:val="en-US" w:eastAsia="zh-CN"/>
        </w:rPr>
        <w:t>5</w:t>
      </w:r>
      <w:r>
        <w:rPr>
          <w:rFonts w:hint="eastAsia" w:eastAsia="宋体"/>
        </w:rPr>
        <w:fldChar w:fldCharType="end"/>
      </w:r>
      <w:r>
        <w:rPr>
          <w:rFonts w:hint="eastAsia"/>
          <w:lang w:val="en-US" w:eastAsia="zh-CN"/>
        </w:rPr>
        <w:t>4</w:t>
      </w:r>
    </w:p>
    <w:p w14:paraId="48AF9E60">
      <w:pPr>
        <w:pStyle w:val="23"/>
        <w:keepNext w:val="0"/>
        <w:keepLines w:val="0"/>
        <w:pageBreakBefore w:val="0"/>
        <w:widowControl/>
        <w:tabs>
          <w:tab w:val="right" w:leader="dot" w:pos="9660"/>
          <w:tab w:val="clear" w:pos="8280"/>
        </w:tabs>
        <w:kinsoku/>
        <w:wordWrap/>
        <w:overflowPunct/>
        <w:topLinePunct w:val="0"/>
        <w:autoSpaceDE/>
        <w:autoSpaceDN/>
        <w:bidi w:val="0"/>
        <w:adjustRightInd/>
        <w:snapToGrid/>
        <w:spacing w:after="0" w:line="360" w:lineRule="auto"/>
        <w:ind w:firstLine="440" w:firstLineChars="200"/>
        <w:jc w:val="left"/>
        <w:textAlignment w:val="bottom"/>
        <w:rPr>
          <w:rFonts w:hint="eastAsia" w:ascii="宋体" w:hAnsi="宋体" w:eastAsia="宋体" w:cs="宋体"/>
          <w:color w:val="auto"/>
        </w:rPr>
      </w:pPr>
      <w:r>
        <w:rPr>
          <w:rFonts w:hint="eastAsia" w:ascii="宋体" w:hAnsi="宋体" w:eastAsia="宋体" w:cs="宋体"/>
          <w:color w:val="auto"/>
        </w:rPr>
        <w:fldChar w:fldCharType="end"/>
      </w:r>
    </w:p>
    <w:p w14:paraId="583658BB">
      <w:pPr>
        <w:jc w:val="center"/>
        <w:rPr>
          <w:rFonts w:hint="eastAsia" w:ascii="宋体" w:hAnsi="宋体" w:eastAsia="宋体" w:cs="宋体"/>
          <w:b/>
          <w:bCs/>
          <w:color w:val="auto"/>
          <w:sz w:val="32"/>
        </w:rPr>
      </w:pPr>
    </w:p>
    <w:p w14:paraId="32DD0F88">
      <w:pPr>
        <w:jc w:val="center"/>
        <w:rPr>
          <w:rFonts w:hint="eastAsia" w:ascii="宋体" w:hAnsi="宋体" w:eastAsia="宋体" w:cs="宋体"/>
          <w:b/>
          <w:bCs/>
          <w:color w:val="auto"/>
          <w:sz w:val="32"/>
        </w:rPr>
      </w:pPr>
    </w:p>
    <w:p w14:paraId="74D9A974">
      <w:pPr>
        <w:pStyle w:val="27"/>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3" w:name="_Toc30261"/>
    </w:p>
    <w:p w14:paraId="79885A13">
      <w:pPr>
        <w:pStyle w:val="2"/>
        <w:keepNext/>
        <w:keepLines/>
        <w:pageBreakBefore w:val="0"/>
        <w:widowControl w:val="0"/>
        <w:kinsoku/>
        <w:wordWrap/>
        <w:overflowPunct/>
        <w:topLinePunct w:val="0"/>
        <w:autoSpaceDE/>
        <w:autoSpaceDN/>
        <w:bidi w:val="0"/>
        <w:adjustRightInd/>
        <w:snapToGrid/>
        <w:spacing w:after="240" w:line="120" w:lineRule="auto"/>
        <w:jc w:val="center"/>
        <w:textAlignment w:val="auto"/>
        <w:rPr>
          <w:rStyle w:val="89"/>
          <w:rFonts w:hint="eastAsia" w:eastAsia="仿宋_GB2312" w:cs="Times New Roman"/>
          <w:color w:val="auto"/>
          <w:sz w:val="32"/>
          <w:szCs w:val="32"/>
          <w:lang w:val="en-US" w:eastAsia="zh-CN"/>
        </w:rPr>
      </w:pPr>
      <w:bookmarkStart w:id="4" w:name="_Toc2378"/>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color w:val="auto"/>
          <w:sz w:val="30"/>
          <w:szCs w:val="30"/>
          <w:lang w:val="en-US" w:eastAsia="zh-CN"/>
        </w:rPr>
        <w:t>竞争性谈判通知</w:t>
      </w:r>
      <w:bookmarkEnd w:id="3"/>
      <w:bookmarkEnd w:id="4"/>
    </w:p>
    <w:p w14:paraId="0B950CC5">
      <w:pPr>
        <w:spacing w:line="360" w:lineRule="auto"/>
        <w:ind w:left="-210" w:leftChars="-1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各供应商：</w:t>
      </w:r>
      <w:r>
        <w:rPr>
          <w:rFonts w:hint="default" w:ascii="宋体" w:hAnsi="宋体" w:eastAsia="宋体" w:cs="宋体"/>
          <w:color w:val="auto"/>
          <w:szCs w:val="21"/>
          <w:lang w:val="en-US" w:eastAsia="zh-CN"/>
        </w:rPr>
        <w:t xml:space="preserve"> </w:t>
      </w:r>
    </w:p>
    <w:p w14:paraId="3071CA8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贵州钟山野马寨热电有限责任公司拟进行</w:t>
      </w:r>
      <w:r>
        <w:rPr>
          <w:rFonts w:hint="eastAsia" w:ascii="宋体" w:hAnsi="宋体" w:cs="宋体"/>
          <w:color w:val="auto"/>
          <w:szCs w:val="21"/>
          <w:lang w:val="en-US" w:eastAsia="zh-CN"/>
        </w:rPr>
        <w:t>2025年第二十二批次燃煤采购项目</w:t>
      </w:r>
      <w:r>
        <w:rPr>
          <w:rFonts w:hint="default" w:ascii="宋体" w:hAnsi="宋体" w:eastAsia="宋体" w:cs="宋体"/>
          <w:color w:val="auto"/>
          <w:szCs w:val="21"/>
          <w:lang w:val="en-US" w:eastAsia="zh-CN"/>
        </w:rPr>
        <w:t>竞争性谈判采购工作，本项目资金为企业自筹。欢迎</w:t>
      </w:r>
      <w:r>
        <w:rPr>
          <w:rFonts w:hint="eastAsia" w:ascii="宋体" w:hAnsi="宋体" w:eastAsia="宋体" w:cs="宋体"/>
          <w:color w:val="auto"/>
          <w:szCs w:val="21"/>
          <w:lang w:val="en-US" w:eastAsia="zh-CN"/>
        </w:rPr>
        <w:t>各位已报名入库的</w:t>
      </w:r>
      <w:r>
        <w:rPr>
          <w:rFonts w:hint="default" w:ascii="宋体" w:hAnsi="宋体" w:eastAsia="宋体" w:cs="宋体"/>
          <w:color w:val="auto"/>
          <w:szCs w:val="21"/>
          <w:lang w:eastAsia="zh-CN"/>
        </w:rPr>
        <w:t>供应商参加</w:t>
      </w:r>
      <w:r>
        <w:rPr>
          <w:rFonts w:hint="default" w:ascii="宋体" w:hAnsi="宋体" w:eastAsia="宋体" w:cs="宋体"/>
          <w:color w:val="auto"/>
          <w:szCs w:val="21"/>
          <w:lang w:val="en-US" w:eastAsia="zh-CN"/>
        </w:rPr>
        <w:t>本次竞争性谈判</w:t>
      </w:r>
      <w:r>
        <w:rPr>
          <w:rFonts w:hint="default" w:ascii="宋体" w:hAnsi="宋体" w:eastAsia="宋体" w:cs="宋体"/>
          <w:color w:val="auto"/>
          <w:szCs w:val="21"/>
          <w:lang w:eastAsia="zh-CN"/>
        </w:rPr>
        <w:t>。</w:t>
      </w:r>
    </w:p>
    <w:p w14:paraId="627BF6C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一、项目基本信息</w:t>
      </w:r>
    </w:p>
    <w:p w14:paraId="4C282D5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项目名称：贵州钟山野马寨热电有限责任公司</w:t>
      </w:r>
      <w:r>
        <w:rPr>
          <w:rFonts w:hint="eastAsia" w:ascii="宋体" w:hAnsi="宋体" w:cs="宋体"/>
          <w:color w:val="auto"/>
          <w:szCs w:val="21"/>
          <w:lang w:val="en-US" w:eastAsia="zh-CN"/>
        </w:rPr>
        <w:t>2025年第二十二批次燃煤采购项目</w:t>
      </w:r>
    </w:p>
    <w:p w14:paraId="3578D99B">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项目编号：</w:t>
      </w:r>
      <w:r>
        <w:rPr>
          <w:rFonts w:hint="eastAsia" w:ascii="宋体" w:hAnsi="宋体" w:cs="宋体"/>
          <w:color w:val="auto"/>
          <w:szCs w:val="21"/>
          <w:lang w:val="en-US" w:eastAsia="zh-CN"/>
        </w:rPr>
        <w:t>ZSRD2025000122</w:t>
      </w:r>
    </w:p>
    <w:p w14:paraId="578EE54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采购方式：竞争性谈判</w:t>
      </w:r>
    </w:p>
    <w:p w14:paraId="1A2C099E">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采购主要内容：</w:t>
      </w:r>
    </w:p>
    <w:tbl>
      <w:tblPr>
        <w:tblStyle w:val="36"/>
        <w:tblW w:w="6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73"/>
        <w:gridCol w:w="830"/>
        <w:gridCol w:w="872"/>
        <w:gridCol w:w="982"/>
        <w:gridCol w:w="904"/>
        <w:gridCol w:w="720"/>
        <w:gridCol w:w="1010"/>
        <w:gridCol w:w="1045"/>
        <w:gridCol w:w="1020"/>
        <w:gridCol w:w="1963"/>
      </w:tblGrid>
      <w:tr w14:paraId="6844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 w:type="pct"/>
            <w:vMerge w:val="restart"/>
            <w:noWrap w:val="0"/>
            <w:vAlign w:val="center"/>
          </w:tcPr>
          <w:p w14:paraId="39051C89">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89"/>
                <w:rFonts w:hint="default" w:ascii="宋体" w:hAnsi="宋体" w:eastAsia="宋体" w:cs="宋体"/>
                <w:color w:val="auto"/>
                <w:sz w:val="20"/>
                <w:szCs w:val="20"/>
                <w:lang w:val="en-US" w:eastAsia="zh-CN"/>
              </w:rPr>
            </w:pPr>
            <w:r>
              <w:rPr>
                <w:rStyle w:val="89"/>
                <w:rFonts w:hint="eastAsia" w:ascii="宋体" w:hAnsi="宋体" w:cs="宋体"/>
                <w:color w:val="auto"/>
                <w:sz w:val="20"/>
                <w:szCs w:val="20"/>
                <w:lang w:val="en-US" w:eastAsia="zh-CN"/>
              </w:rPr>
              <w:t>标段</w:t>
            </w:r>
          </w:p>
        </w:tc>
        <w:tc>
          <w:tcPr>
            <w:tcW w:w="314" w:type="pct"/>
            <w:vMerge w:val="restart"/>
            <w:noWrap w:val="0"/>
            <w:vAlign w:val="center"/>
          </w:tcPr>
          <w:p w14:paraId="181EA278">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煤种</w:t>
            </w:r>
          </w:p>
        </w:tc>
        <w:tc>
          <w:tcPr>
            <w:tcW w:w="2014" w:type="pct"/>
            <w:gridSpan w:val="5"/>
            <w:noWrap w:val="0"/>
            <w:vAlign w:val="center"/>
          </w:tcPr>
          <w:p w14:paraId="2040311E">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质量要求</w:t>
            </w:r>
          </w:p>
        </w:tc>
        <w:tc>
          <w:tcPr>
            <w:tcW w:w="472" w:type="pct"/>
            <w:vMerge w:val="restart"/>
            <w:noWrap w:val="0"/>
            <w:vAlign w:val="center"/>
          </w:tcPr>
          <w:p w14:paraId="6B63C9FA">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供应数量（吨）</w:t>
            </w:r>
          </w:p>
        </w:tc>
        <w:tc>
          <w:tcPr>
            <w:tcW w:w="1883" w:type="pct"/>
            <w:gridSpan w:val="3"/>
            <w:vMerge w:val="restart"/>
            <w:noWrap w:val="0"/>
            <w:vAlign w:val="center"/>
          </w:tcPr>
          <w:p w14:paraId="4A713C09">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控制价</w:t>
            </w:r>
          </w:p>
        </w:tc>
      </w:tr>
      <w:tr w14:paraId="1EF7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4" w:type="pct"/>
            <w:vMerge w:val="continue"/>
            <w:noWrap w:val="0"/>
            <w:vAlign w:val="center"/>
          </w:tcPr>
          <w:p w14:paraId="54474763">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314" w:type="pct"/>
            <w:vMerge w:val="continue"/>
            <w:noWrap w:val="0"/>
            <w:vAlign w:val="center"/>
          </w:tcPr>
          <w:p w14:paraId="454F17C1">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388" w:type="pct"/>
            <w:vMerge w:val="restart"/>
            <w:noWrap w:val="0"/>
            <w:vAlign w:val="center"/>
          </w:tcPr>
          <w:p w14:paraId="48D8C8A6">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Qnet,ar(kcal/kg)</w:t>
            </w:r>
          </w:p>
        </w:tc>
        <w:tc>
          <w:tcPr>
            <w:tcW w:w="407" w:type="pct"/>
            <w:vMerge w:val="restart"/>
            <w:noWrap w:val="0"/>
            <w:vAlign w:val="center"/>
          </w:tcPr>
          <w:p w14:paraId="5ADE210E">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Mt(%)</w:t>
            </w:r>
          </w:p>
        </w:tc>
        <w:tc>
          <w:tcPr>
            <w:tcW w:w="459" w:type="pct"/>
            <w:vMerge w:val="restart"/>
            <w:noWrap w:val="0"/>
            <w:vAlign w:val="center"/>
          </w:tcPr>
          <w:p w14:paraId="5D83EA21">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Var(%)</w:t>
            </w:r>
          </w:p>
        </w:tc>
        <w:tc>
          <w:tcPr>
            <w:tcW w:w="422" w:type="pct"/>
            <w:vMerge w:val="restart"/>
            <w:noWrap w:val="0"/>
            <w:vAlign w:val="center"/>
          </w:tcPr>
          <w:p w14:paraId="36EEB367">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St,</w:t>
            </w:r>
            <w:r>
              <w:rPr>
                <w:rStyle w:val="89"/>
                <w:rFonts w:hint="eastAsia" w:ascii="宋体" w:hAnsi="宋体" w:cs="宋体"/>
                <w:color w:val="auto"/>
                <w:sz w:val="20"/>
                <w:szCs w:val="20"/>
                <w:lang w:val="en-US" w:eastAsia="zh-CN"/>
              </w:rPr>
              <w:t>d</w:t>
            </w:r>
            <w:r>
              <w:rPr>
                <w:rStyle w:val="89"/>
                <w:rFonts w:hint="eastAsia" w:ascii="宋体" w:hAnsi="宋体" w:eastAsia="宋体" w:cs="宋体"/>
                <w:color w:val="auto"/>
                <w:sz w:val="20"/>
                <w:szCs w:val="20"/>
                <w:lang w:val="en-US" w:eastAsia="zh-CN"/>
              </w:rPr>
              <w:t>(%)</w:t>
            </w:r>
          </w:p>
        </w:tc>
        <w:tc>
          <w:tcPr>
            <w:tcW w:w="336" w:type="pct"/>
            <w:vMerge w:val="restart"/>
            <w:noWrap w:val="0"/>
            <w:vAlign w:val="center"/>
          </w:tcPr>
          <w:p w14:paraId="61362B74">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default" w:ascii="宋体" w:hAnsi="宋体" w:eastAsia="宋体" w:cs="宋体"/>
                <w:color w:val="auto"/>
                <w:sz w:val="20"/>
                <w:szCs w:val="20"/>
                <w:lang w:val="en-US" w:eastAsia="zh-CN"/>
              </w:rPr>
            </w:pPr>
            <w:r>
              <w:rPr>
                <w:rStyle w:val="89"/>
                <w:rFonts w:hint="eastAsia" w:ascii="宋体" w:hAnsi="宋体" w:cs="宋体"/>
                <w:color w:val="auto"/>
                <w:sz w:val="20"/>
                <w:szCs w:val="20"/>
                <w:lang w:val="en-US" w:eastAsia="zh-CN"/>
              </w:rPr>
              <w:t>粒度（mm）</w:t>
            </w:r>
          </w:p>
        </w:tc>
        <w:tc>
          <w:tcPr>
            <w:tcW w:w="472" w:type="pct"/>
            <w:vMerge w:val="continue"/>
            <w:noWrap w:val="0"/>
            <w:vAlign w:val="center"/>
          </w:tcPr>
          <w:p w14:paraId="0F4F8D08">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1883" w:type="pct"/>
            <w:gridSpan w:val="3"/>
            <w:vMerge w:val="continue"/>
            <w:noWrap w:val="0"/>
            <w:vAlign w:val="center"/>
          </w:tcPr>
          <w:p w14:paraId="4D977F36">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r>
      <w:tr w14:paraId="4A45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14" w:type="pct"/>
            <w:vMerge w:val="continue"/>
            <w:noWrap w:val="0"/>
            <w:vAlign w:val="center"/>
          </w:tcPr>
          <w:p w14:paraId="0BD619E9">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314" w:type="pct"/>
            <w:vMerge w:val="continue"/>
            <w:noWrap w:val="0"/>
            <w:vAlign w:val="center"/>
          </w:tcPr>
          <w:p w14:paraId="5D4ABA6B">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388" w:type="pct"/>
            <w:vMerge w:val="continue"/>
            <w:noWrap w:val="0"/>
            <w:vAlign w:val="center"/>
          </w:tcPr>
          <w:p w14:paraId="4DD6831E">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07" w:type="pct"/>
            <w:vMerge w:val="continue"/>
            <w:noWrap w:val="0"/>
            <w:vAlign w:val="center"/>
          </w:tcPr>
          <w:p w14:paraId="5B4B84FC">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59" w:type="pct"/>
            <w:vMerge w:val="continue"/>
            <w:noWrap w:val="0"/>
            <w:vAlign w:val="center"/>
          </w:tcPr>
          <w:p w14:paraId="484DB82B">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22" w:type="pct"/>
            <w:vMerge w:val="continue"/>
            <w:noWrap w:val="0"/>
            <w:vAlign w:val="center"/>
          </w:tcPr>
          <w:p w14:paraId="42DDF447">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336" w:type="pct"/>
            <w:vMerge w:val="continue"/>
            <w:noWrap w:val="0"/>
            <w:vAlign w:val="center"/>
          </w:tcPr>
          <w:p w14:paraId="0B14A2A7">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72" w:type="pct"/>
            <w:vMerge w:val="continue"/>
            <w:noWrap w:val="0"/>
            <w:vAlign w:val="center"/>
          </w:tcPr>
          <w:p w14:paraId="7B2B1E21">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88" w:type="pct"/>
            <w:noWrap w:val="0"/>
            <w:vAlign w:val="center"/>
          </w:tcPr>
          <w:p w14:paraId="04AC194A">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货物总价（</w:t>
            </w:r>
            <w:r>
              <w:rPr>
                <w:rStyle w:val="89"/>
                <w:rFonts w:hint="eastAsia" w:ascii="宋体" w:hAnsi="宋体" w:cs="宋体"/>
                <w:color w:val="auto"/>
                <w:sz w:val="20"/>
                <w:szCs w:val="20"/>
                <w:lang w:val="en-US" w:eastAsia="zh-CN"/>
              </w:rPr>
              <w:t>万</w:t>
            </w:r>
            <w:r>
              <w:rPr>
                <w:rStyle w:val="89"/>
                <w:rFonts w:hint="eastAsia" w:ascii="宋体" w:hAnsi="宋体" w:eastAsia="宋体" w:cs="宋体"/>
                <w:color w:val="auto"/>
                <w:sz w:val="20"/>
                <w:szCs w:val="20"/>
                <w:lang w:val="en-US" w:eastAsia="zh-CN"/>
              </w:rPr>
              <w:t>元）</w:t>
            </w:r>
          </w:p>
        </w:tc>
        <w:tc>
          <w:tcPr>
            <w:tcW w:w="476" w:type="pct"/>
            <w:noWrap w:val="0"/>
            <w:vAlign w:val="center"/>
          </w:tcPr>
          <w:p w14:paraId="3C103968">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货物单价（元/吨）</w:t>
            </w:r>
          </w:p>
        </w:tc>
        <w:tc>
          <w:tcPr>
            <w:tcW w:w="917" w:type="pct"/>
            <w:noWrap w:val="0"/>
            <w:vAlign w:val="center"/>
          </w:tcPr>
          <w:p w14:paraId="68A38D34">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热值基准单价（元 /[(kcal/kg)×吨]）</w:t>
            </w:r>
          </w:p>
        </w:tc>
      </w:tr>
      <w:tr w14:paraId="0618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14" w:type="pct"/>
            <w:shd w:val="clear" w:color="auto" w:fill="auto"/>
            <w:noWrap w:val="0"/>
            <w:vAlign w:val="center"/>
          </w:tcPr>
          <w:p w14:paraId="6B9586D2">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cs="宋体"/>
                <w:color w:val="auto"/>
                <w:sz w:val="20"/>
                <w:szCs w:val="20"/>
                <w:lang w:val="en-US" w:eastAsia="zh-CN"/>
              </w:rPr>
              <w:t>一标段</w:t>
            </w:r>
          </w:p>
        </w:tc>
        <w:tc>
          <w:tcPr>
            <w:tcW w:w="314" w:type="pct"/>
            <w:shd w:val="clear" w:color="auto" w:fill="auto"/>
            <w:noWrap w:val="0"/>
            <w:vAlign w:val="center"/>
          </w:tcPr>
          <w:p w14:paraId="47EB23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烟煤</w:t>
            </w:r>
          </w:p>
        </w:tc>
        <w:tc>
          <w:tcPr>
            <w:tcW w:w="388" w:type="pct"/>
            <w:shd w:val="clear" w:color="auto" w:fill="auto"/>
            <w:noWrap w:val="0"/>
            <w:vAlign w:val="center"/>
          </w:tcPr>
          <w:p w14:paraId="1CC773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w:t>
            </w:r>
            <w:r>
              <w:rPr>
                <w:rStyle w:val="89"/>
                <w:rFonts w:hint="eastAsia" w:ascii="宋体" w:hAnsi="宋体" w:cs="宋体"/>
                <w:color w:val="auto"/>
                <w:sz w:val="20"/>
                <w:szCs w:val="20"/>
                <w:lang w:val="en-US" w:eastAsia="zh-CN"/>
              </w:rPr>
              <w:t>42</w:t>
            </w:r>
            <w:r>
              <w:rPr>
                <w:rStyle w:val="89"/>
                <w:rFonts w:hint="eastAsia" w:ascii="宋体" w:hAnsi="宋体" w:eastAsia="宋体" w:cs="宋体"/>
                <w:color w:val="auto"/>
                <w:sz w:val="20"/>
                <w:szCs w:val="20"/>
                <w:lang w:val="en-US" w:eastAsia="zh-CN"/>
              </w:rPr>
              <w:t>00</w:t>
            </w:r>
          </w:p>
        </w:tc>
        <w:tc>
          <w:tcPr>
            <w:tcW w:w="407" w:type="pct"/>
            <w:shd w:val="clear" w:color="auto" w:fill="auto"/>
            <w:noWrap w:val="0"/>
            <w:vAlign w:val="center"/>
          </w:tcPr>
          <w:p w14:paraId="12AA17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≤15.0</w:t>
            </w:r>
          </w:p>
        </w:tc>
        <w:tc>
          <w:tcPr>
            <w:tcW w:w="459" w:type="pct"/>
            <w:shd w:val="clear" w:color="auto" w:fill="auto"/>
            <w:noWrap w:val="0"/>
            <w:vAlign w:val="center"/>
          </w:tcPr>
          <w:p w14:paraId="7CAE98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cs="宋体"/>
                <w:color w:val="auto"/>
                <w:sz w:val="20"/>
                <w:szCs w:val="20"/>
                <w:lang w:val="en-US" w:eastAsia="zh-CN"/>
              </w:rPr>
              <w:t>13.00≤Var(%)≤25.00</w:t>
            </w:r>
          </w:p>
        </w:tc>
        <w:tc>
          <w:tcPr>
            <w:tcW w:w="422" w:type="pct"/>
            <w:shd w:val="clear" w:color="auto" w:fill="auto"/>
            <w:noWrap w:val="0"/>
            <w:vAlign w:val="center"/>
          </w:tcPr>
          <w:p w14:paraId="5B2BAB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≤3.00</w:t>
            </w:r>
          </w:p>
        </w:tc>
        <w:tc>
          <w:tcPr>
            <w:tcW w:w="336" w:type="pct"/>
            <w:shd w:val="clear" w:color="auto" w:fill="auto"/>
            <w:noWrap w:val="0"/>
            <w:vAlign w:val="center"/>
          </w:tcPr>
          <w:p w14:paraId="454EDC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≤50</w:t>
            </w:r>
          </w:p>
        </w:tc>
        <w:tc>
          <w:tcPr>
            <w:tcW w:w="472" w:type="pct"/>
            <w:shd w:val="clear" w:color="auto" w:fill="auto"/>
            <w:noWrap w:val="0"/>
            <w:vAlign w:val="center"/>
          </w:tcPr>
          <w:p w14:paraId="68F6D2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≥20000</w:t>
            </w:r>
          </w:p>
        </w:tc>
        <w:tc>
          <w:tcPr>
            <w:tcW w:w="488" w:type="pct"/>
            <w:shd w:val="clear" w:color="auto" w:fill="auto"/>
            <w:noWrap w:val="0"/>
            <w:vAlign w:val="center"/>
          </w:tcPr>
          <w:p w14:paraId="5AC8A2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1024.8</w:t>
            </w:r>
          </w:p>
        </w:tc>
        <w:tc>
          <w:tcPr>
            <w:tcW w:w="476" w:type="pct"/>
            <w:shd w:val="clear" w:color="auto" w:fill="auto"/>
            <w:noWrap w:val="0"/>
            <w:vAlign w:val="center"/>
          </w:tcPr>
          <w:p w14:paraId="424397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512.4</w:t>
            </w:r>
          </w:p>
        </w:tc>
        <w:tc>
          <w:tcPr>
            <w:tcW w:w="917" w:type="pct"/>
            <w:shd w:val="clear" w:color="auto" w:fill="auto"/>
            <w:noWrap w:val="0"/>
            <w:vAlign w:val="center"/>
          </w:tcPr>
          <w:p w14:paraId="2C657A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0.122</w:t>
            </w:r>
          </w:p>
        </w:tc>
      </w:tr>
      <w:tr w14:paraId="76AA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14" w:type="pct"/>
            <w:shd w:val="clear" w:color="auto" w:fill="auto"/>
            <w:noWrap w:val="0"/>
            <w:vAlign w:val="center"/>
          </w:tcPr>
          <w:p w14:paraId="4ED2D189">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cs="宋体"/>
                <w:color w:val="auto"/>
                <w:sz w:val="20"/>
                <w:szCs w:val="20"/>
                <w:lang w:val="en-US" w:eastAsia="zh-CN"/>
              </w:rPr>
              <w:t>二标段</w:t>
            </w:r>
          </w:p>
        </w:tc>
        <w:tc>
          <w:tcPr>
            <w:tcW w:w="314" w:type="pct"/>
            <w:shd w:val="clear" w:color="auto" w:fill="auto"/>
            <w:noWrap w:val="0"/>
            <w:vAlign w:val="center"/>
          </w:tcPr>
          <w:p w14:paraId="46A4E0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烟煤</w:t>
            </w:r>
          </w:p>
        </w:tc>
        <w:tc>
          <w:tcPr>
            <w:tcW w:w="388" w:type="pct"/>
            <w:shd w:val="clear" w:color="auto" w:fill="auto"/>
            <w:noWrap w:val="0"/>
            <w:vAlign w:val="center"/>
          </w:tcPr>
          <w:p w14:paraId="047438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w:t>
            </w:r>
            <w:r>
              <w:rPr>
                <w:rStyle w:val="89"/>
                <w:rFonts w:hint="eastAsia" w:ascii="宋体" w:hAnsi="宋体" w:cs="宋体"/>
                <w:color w:val="auto"/>
                <w:sz w:val="20"/>
                <w:szCs w:val="20"/>
                <w:lang w:val="en-US" w:eastAsia="zh-CN"/>
              </w:rPr>
              <w:t>50</w:t>
            </w:r>
            <w:r>
              <w:rPr>
                <w:rStyle w:val="89"/>
                <w:rFonts w:hint="eastAsia" w:ascii="宋体" w:hAnsi="宋体" w:eastAsia="宋体" w:cs="宋体"/>
                <w:color w:val="auto"/>
                <w:sz w:val="20"/>
                <w:szCs w:val="20"/>
                <w:lang w:val="en-US" w:eastAsia="zh-CN"/>
              </w:rPr>
              <w:t>00</w:t>
            </w:r>
          </w:p>
        </w:tc>
        <w:tc>
          <w:tcPr>
            <w:tcW w:w="407" w:type="pct"/>
            <w:shd w:val="clear" w:color="auto" w:fill="auto"/>
            <w:noWrap w:val="0"/>
            <w:vAlign w:val="center"/>
          </w:tcPr>
          <w:p w14:paraId="2709B6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≤15.0</w:t>
            </w:r>
          </w:p>
        </w:tc>
        <w:tc>
          <w:tcPr>
            <w:tcW w:w="459" w:type="pct"/>
            <w:shd w:val="clear" w:color="auto" w:fill="auto"/>
            <w:noWrap w:val="0"/>
            <w:vAlign w:val="center"/>
          </w:tcPr>
          <w:p w14:paraId="23BC6A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cs="宋体"/>
                <w:color w:val="auto"/>
                <w:sz w:val="20"/>
                <w:szCs w:val="20"/>
                <w:lang w:val="en-US" w:eastAsia="zh-CN"/>
              </w:rPr>
              <w:t>13.00≤Var(%)≤25.00</w:t>
            </w:r>
          </w:p>
        </w:tc>
        <w:tc>
          <w:tcPr>
            <w:tcW w:w="422" w:type="pct"/>
            <w:shd w:val="clear" w:color="auto" w:fill="auto"/>
            <w:noWrap w:val="0"/>
            <w:vAlign w:val="center"/>
          </w:tcPr>
          <w:p w14:paraId="4CC855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≤3.00</w:t>
            </w:r>
          </w:p>
        </w:tc>
        <w:tc>
          <w:tcPr>
            <w:tcW w:w="336" w:type="pct"/>
            <w:shd w:val="clear" w:color="auto" w:fill="auto"/>
            <w:noWrap w:val="0"/>
            <w:vAlign w:val="center"/>
          </w:tcPr>
          <w:p w14:paraId="448FB8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≤50</w:t>
            </w:r>
          </w:p>
        </w:tc>
        <w:tc>
          <w:tcPr>
            <w:tcW w:w="472" w:type="pct"/>
            <w:shd w:val="clear" w:color="auto" w:fill="auto"/>
            <w:noWrap w:val="0"/>
            <w:vAlign w:val="center"/>
          </w:tcPr>
          <w:p w14:paraId="3A4D91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≥10000</w:t>
            </w:r>
          </w:p>
        </w:tc>
        <w:tc>
          <w:tcPr>
            <w:tcW w:w="488" w:type="pct"/>
            <w:shd w:val="clear" w:color="auto" w:fill="auto"/>
            <w:noWrap w:val="0"/>
            <w:vAlign w:val="center"/>
          </w:tcPr>
          <w:p w14:paraId="48860F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650</w:t>
            </w:r>
          </w:p>
        </w:tc>
        <w:tc>
          <w:tcPr>
            <w:tcW w:w="476" w:type="pct"/>
            <w:shd w:val="clear" w:color="auto" w:fill="auto"/>
            <w:noWrap w:val="0"/>
            <w:vAlign w:val="center"/>
          </w:tcPr>
          <w:p w14:paraId="18FC7F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650</w:t>
            </w:r>
          </w:p>
        </w:tc>
        <w:tc>
          <w:tcPr>
            <w:tcW w:w="917" w:type="pct"/>
            <w:shd w:val="clear" w:color="auto" w:fill="auto"/>
            <w:noWrap w:val="0"/>
            <w:vAlign w:val="center"/>
          </w:tcPr>
          <w:p w14:paraId="1AF195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0.130</w:t>
            </w:r>
          </w:p>
        </w:tc>
      </w:tr>
    </w:tbl>
    <w:p w14:paraId="7C345AA5">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燃煤采购区域：省内（来煤若掺配新疆煤</w:t>
      </w:r>
      <w:r>
        <w:rPr>
          <w:rFonts w:hint="eastAsia" w:ascii="宋体" w:hAnsi="宋体" w:cs="宋体"/>
          <w:color w:val="auto"/>
          <w:szCs w:val="21"/>
          <w:lang w:val="en-US" w:eastAsia="zh-CN"/>
        </w:rPr>
        <w:t>、无烟煤</w:t>
      </w:r>
      <w:r>
        <w:rPr>
          <w:rFonts w:hint="eastAsia" w:ascii="宋体" w:hAnsi="宋体" w:eastAsia="宋体" w:cs="宋体"/>
          <w:color w:val="auto"/>
          <w:szCs w:val="21"/>
          <w:lang w:val="en-US" w:eastAsia="zh-CN"/>
        </w:rPr>
        <w:t>采购人有权拒付）。</w:t>
      </w:r>
    </w:p>
    <w:p w14:paraId="56371574">
      <w:pPr>
        <w:keepNext w:val="0"/>
        <w:keepLines w:val="0"/>
        <w:pageBreakBefore w:val="0"/>
        <w:widowControl/>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合同期限：</w:t>
      </w:r>
      <w:r>
        <w:rPr>
          <w:rFonts w:hint="eastAsia" w:ascii="宋体" w:hAnsi="宋体" w:cs="宋体"/>
          <w:color w:val="auto"/>
          <w:szCs w:val="21"/>
          <w:lang w:val="en-US" w:eastAsia="zh-CN"/>
        </w:rPr>
        <w:t>一标段合同期为45个日历天，二标段合同期为30个日历天；一标段中标供应商在合同期45个日历天内供应燃煤均为≥20000吨，二标段中标供应商在合同期30个日历天内供应燃煤均为≥10000吨。各标段供应上限由采购人根据实际情况决定。供应商在收到采购人发出的《中标通知书》7个工作日内在采购人指定地点签订合同。</w:t>
      </w:r>
    </w:p>
    <w:p w14:paraId="062F7468">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二、谈判保证金要求</w:t>
      </w:r>
    </w:p>
    <w:p w14:paraId="7387B09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参与本批次燃煤采购项目谈判需</w:t>
      </w:r>
      <w:r>
        <w:rPr>
          <w:rFonts w:hint="eastAsia" w:ascii="宋体" w:hAnsi="宋体" w:cs="宋体"/>
          <w:color w:val="auto"/>
          <w:szCs w:val="21"/>
          <w:lang w:val="en-US" w:eastAsia="zh-CN"/>
        </w:rPr>
        <w:t>缴纳</w:t>
      </w:r>
      <w:r>
        <w:rPr>
          <w:rFonts w:hint="eastAsia" w:ascii="宋体" w:hAnsi="宋体" w:eastAsia="宋体" w:cs="宋体"/>
          <w:color w:val="auto"/>
          <w:szCs w:val="21"/>
          <w:lang w:val="en-US" w:eastAsia="zh-CN"/>
        </w:rPr>
        <w:t>谈判保证金</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0,000元（大写：人民币贰万元整），由供应商在该批次燃煤采购谈判开始前缴纳至采购人指定账户，未按时缴纳的，视为不参与该批次燃煤采购项目谈判；谈判完成后，由供应商提出申请，采购人于15个工作日内无息返还；供应商也可将此谈判保证金</w:t>
      </w:r>
      <w:r>
        <w:rPr>
          <w:rFonts w:hint="eastAsia" w:ascii="宋体" w:hAnsi="宋体" w:cs="宋体"/>
          <w:color w:val="auto"/>
          <w:szCs w:val="21"/>
          <w:lang w:val="en-US" w:eastAsia="zh-CN"/>
        </w:rPr>
        <w:t>作</w:t>
      </w:r>
      <w:r>
        <w:rPr>
          <w:rFonts w:hint="eastAsia" w:ascii="宋体" w:hAnsi="宋体" w:eastAsia="宋体" w:cs="宋体"/>
          <w:color w:val="auto"/>
          <w:szCs w:val="21"/>
          <w:lang w:val="en-US" w:eastAsia="zh-CN"/>
        </w:rPr>
        <w:t>为下一个批次燃煤采购项目谈判保证金。</w:t>
      </w:r>
    </w:p>
    <w:p w14:paraId="71A3422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注：1.</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"mailto:供应商谈判保证金缴纳后将银行回执在谈判会议开始前通过邮箱发送至277551725@qq.com。"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供应商缴纳谈判保证金后将银行回执通过邮箱发送至3696059436@qq.com。</w:t>
      </w:r>
      <w:r>
        <w:rPr>
          <w:rFonts w:hint="eastAsia" w:ascii="宋体" w:hAnsi="宋体" w:eastAsia="宋体" w:cs="宋体"/>
          <w:color w:val="auto"/>
          <w:szCs w:val="21"/>
          <w:lang w:val="en-US" w:eastAsia="zh-CN"/>
        </w:rPr>
        <w:fldChar w:fldCharType="end"/>
      </w:r>
    </w:p>
    <w:p w14:paraId="262ED91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2.若供应商确定参与该批次燃煤采购，未按约定时间参与竞争性谈判会议及提交竞争性谈判响应文件的，谈判保证金不予退还。</w:t>
      </w:r>
    </w:p>
    <w:p w14:paraId="77F1455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3.若中标供应商收到采购人发出的《中标通知书》后，未在《中标通知书》约定时间内与采购人签订合同及缴纳合同履约保证金的，谈判保证金将不予退还。</w:t>
      </w:r>
    </w:p>
    <w:p w14:paraId="30DCF9B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三、合同履约保证金</w:t>
      </w:r>
    </w:p>
    <w:p w14:paraId="70FDD8A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本批次燃煤采购一标段采购数量为≥</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0000吨，二标段采购数量为≥</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000吨</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一标段收取合同履约保证金</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00000元（大写：人民币</w:t>
      </w:r>
      <w:r>
        <w:rPr>
          <w:rFonts w:hint="eastAsia" w:ascii="宋体" w:hAnsi="宋体" w:cs="宋体"/>
          <w:color w:val="auto"/>
          <w:szCs w:val="21"/>
          <w:lang w:val="en-US" w:eastAsia="zh-CN"/>
        </w:rPr>
        <w:t>叁</w:t>
      </w:r>
      <w:r>
        <w:rPr>
          <w:rFonts w:hint="eastAsia" w:ascii="宋体" w:hAnsi="宋体" w:eastAsia="宋体" w:cs="宋体"/>
          <w:color w:val="auto"/>
          <w:szCs w:val="21"/>
          <w:lang w:val="en-US" w:eastAsia="zh-CN"/>
        </w:rPr>
        <w:t>拾万元整）</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二标段收取合同履约保证金</w:t>
      </w:r>
      <w:r>
        <w:rPr>
          <w:rFonts w:hint="eastAsia" w:ascii="宋体" w:hAnsi="宋体" w:cs="宋体"/>
          <w:color w:val="auto"/>
          <w:szCs w:val="21"/>
          <w:lang w:val="en-US" w:eastAsia="zh-CN"/>
        </w:rPr>
        <w:t>20</w:t>
      </w:r>
      <w:r>
        <w:rPr>
          <w:rFonts w:hint="eastAsia" w:ascii="宋体" w:hAnsi="宋体" w:eastAsia="宋体" w:cs="宋体"/>
          <w:color w:val="auto"/>
          <w:szCs w:val="21"/>
          <w:lang w:val="en-US" w:eastAsia="zh-CN"/>
        </w:rPr>
        <w:t>0000元（大写：人民币</w:t>
      </w:r>
      <w:r>
        <w:rPr>
          <w:rFonts w:hint="eastAsia" w:ascii="宋体" w:hAnsi="宋体" w:cs="宋体"/>
          <w:color w:val="auto"/>
          <w:szCs w:val="21"/>
          <w:lang w:val="en-US" w:eastAsia="zh-CN"/>
        </w:rPr>
        <w:t>贰</w:t>
      </w:r>
      <w:r>
        <w:rPr>
          <w:rFonts w:hint="eastAsia" w:ascii="宋体" w:hAnsi="宋体" w:eastAsia="宋体" w:cs="宋体"/>
          <w:color w:val="auto"/>
          <w:szCs w:val="21"/>
          <w:lang w:val="en-US" w:eastAsia="zh-CN"/>
        </w:rPr>
        <w:t>拾万元整），由中标供应商于合同签订前交纳至采购人指定账户；中标供应商也可按合同格式文本要求向采购人供应同等价值的燃煤。</w:t>
      </w:r>
    </w:p>
    <w:p w14:paraId="705A0D8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四、申请人的资格要求</w:t>
      </w:r>
    </w:p>
    <w:p w14:paraId="7D5EF28D">
      <w:pPr>
        <w:spacing w:line="360" w:lineRule="auto"/>
        <w:ind w:left="-210" w:leftChars="-10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一般资格要求：</w:t>
      </w:r>
    </w:p>
    <w:p w14:paraId="5F9EA96D">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1.符合中华人民共和国政府采购法第二十二条之规定。</w:t>
      </w:r>
    </w:p>
    <w:p w14:paraId="48B564D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14:paraId="02833FE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2.具有独立法人资格。 </w:t>
      </w:r>
    </w:p>
    <w:p w14:paraId="46D1685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3.本次竞争性谈判不接受联合体参与。 </w:t>
      </w:r>
    </w:p>
    <w:p w14:paraId="11AD38D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特殊资格要求：</w:t>
      </w:r>
    </w:p>
    <w:p w14:paraId="4332C6A2">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燃煤生产企业参与谈判的应提供采矿许可证和安全生产许可证。</w:t>
      </w:r>
    </w:p>
    <w:p w14:paraId="1B1C339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五、报名方式</w:t>
      </w:r>
    </w:p>
    <w:p w14:paraId="546F8BB1">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2025年9月23日至2025年9月25日</w:t>
      </w:r>
      <w:r>
        <w:rPr>
          <w:rFonts w:hint="eastAsia" w:ascii="宋体" w:hAnsi="宋体" w:eastAsia="宋体" w:cs="宋体"/>
          <w:color w:val="auto"/>
          <w:szCs w:val="21"/>
          <w:lang w:val="en-US" w:eastAsia="zh-CN"/>
        </w:rPr>
        <w:t>，每天上午09:00时至12:00时，下午14:30分至16 :30 分（北京时间）</w:t>
      </w:r>
      <w:r>
        <w:rPr>
          <w:rFonts w:hint="eastAsia" w:ascii="宋体" w:hAnsi="宋体" w:cs="宋体"/>
          <w:color w:val="auto"/>
          <w:szCs w:val="21"/>
          <w:lang w:val="en-US" w:eastAsia="zh-CN"/>
        </w:rPr>
        <w:t>。</w:t>
      </w:r>
    </w:p>
    <w:p w14:paraId="568EC325">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报名方式：线上报名或现场报名。</w:t>
      </w:r>
    </w:p>
    <w:p w14:paraId="6763EF3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线上报名资料要求：</w:t>
      </w:r>
    </w:p>
    <w:p w14:paraId="451EBFB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"mailto:供应商需提供竞争性磋商确认函原件和法定代表人证明或授权委托书原件至报名地点或发送以上资料扫描件至电子邮箱43383697@qq.com。"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若是法定代表人报名的，报名时提供营业执照和法定代表人身份证明彩色扫描件；若是授权委托人报名的，需提供营业执照、法定代表人身份证明和授权委托书彩色扫描件（以上资料需加盖供应商公章）。</w:t>
      </w:r>
    </w:p>
    <w:p w14:paraId="25E352B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线上报名资料提交至邮箱：3696059436@qq.com。</w:t>
      </w:r>
      <w:r>
        <w:rPr>
          <w:rFonts w:hint="eastAsia" w:ascii="宋体" w:hAnsi="宋体" w:eastAsia="宋体" w:cs="宋体"/>
          <w:color w:val="auto"/>
          <w:szCs w:val="21"/>
          <w:lang w:val="en-US" w:eastAsia="zh-CN"/>
        </w:rPr>
        <w:fldChar w:fldCharType="end"/>
      </w:r>
    </w:p>
    <w:p w14:paraId="5FA7BA4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现场报名资料要求：</w:t>
      </w:r>
    </w:p>
    <w:p w14:paraId="32EE39B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若是法定代表人报名的，报名时提供营业执照复印件、法定代表人身份证明原件；若是授权委托人报名的，需提供营业执照复印件、法定代表人身份证明和授权委托书原件（以上报名资料（格式详见附件2）需加盖供应商公章，并与响应文件（格式详见附件3）分开单独装订提供）。</w:t>
      </w:r>
    </w:p>
    <w:p w14:paraId="33857E6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现场报名地点：贵州省六盘水市钟山区汪家寨镇新塘村（贵州钟山野马寨热电有限责任公司）。</w:t>
      </w:r>
    </w:p>
    <w:p w14:paraId="78BA1BF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注：报名资料格式详见附件2</w:t>
      </w:r>
      <w:r>
        <w:rPr>
          <w:rFonts w:hint="eastAsia" w:ascii="宋体" w:hAnsi="宋体" w:cs="宋体"/>
          <w:color w:val="auto"/>
          <w:szCs w:val="21"/>
          <w:lang w:val="en-US" w:eastAsia="zh-CN"/>
        </w:rPr>
        <w:t>。</w:t>
      </w:r>
    </w:p>
    <w:p w14:paraId="66CDF61E">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六、响应文件提交</w:t>
      </w:r>
    </w:p>
    <w:p w14:paraId="32067D3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截止时间：</w:t>
      </w:r>
      <w:r>
        <w:rPr>
          <w:rFonts w:hint="eastAsia" w:ascii="宋体" w:hAnsi="宋体" w:cs="宋体"/>
          <w:color w:val="auto"/>
          <w:szCs w:val="21"/>
          <w:lang w:val="en-US" w:eastAsia="zh-CN"/>
        </w:rPr>
        <w:t>2025年9月26日上</w:t>
      </w:r>
      <w:r>
        <w:rPr>
          <w:rFonts w:hint="eastAsia" w:ascii="宋体" w:hAnsi="宋体" w:eastAsia="宋体" w:cs="宋体"/>
          <w:color w:val="auto"/>
          <w:szCs w:val="21"/>
          <w:lang w:val="en-US" w:eastAsia="zh-CN"/>
        </w:rPr>
        <w:t>午</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:00时（北京时间）</w:t>
      </w:r>
    </w:p>
    <w:p w14:paraId="7E644556">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23D556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七、谈判会议</w:t>
      </w:r>
    </w:p>
    <w:p w14:paraId="282EFD0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2025年9月26日上</w:t>
      </w:r>
      <w:r>
        <w:rPr>
          <w:rFonts w:hint="eastAsia" w:ascii="宋体" w:hAnsi="宋体" w:eastAsia="宋体" w:cs="宋体"/>
          <w:color w:val="auto"/>
          <w:szCs w:val="21"/>
          <w:lang w:val="en-US" w:eastAsia="zh-CN"/>
        </w:rPr>
        <w:t>午1</w:t>
      </w:r>
      <w:r>
        <w:rPr>
          <w:rFonts w:hint="eastAsia" w:ascii="宋体" w:hAnsi="宋体" w:cs="宋体"/>
          <w:color w:val="auto"/>
          <w:szCs w:val="21"/>
          <w:lang w:val="en-US" w:eastAsia="zh-CN"/>
        </w:rPr>
        <w:t>0</w:t>
      </w:r>
      <w:r>
        <w:rPr>
          <w:rFonts w:hint="eastAsia" w:ascii="宋体" w:hAnsi="宋体" w:eastAsia="宋体" w:cs="宋体"/>
          <w:color w:val="auto"/>
          <w:szCs w:val="21"/>
          <w:lang w:val="en-US" w:eastAsia="zh-CN"/>
        </w:rPr>
        <w:t>:00时（北京时间）</w:t>
      </w:r>
    </w:p>
    <w:p w14:paraId="2F7C6837">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9FE3A3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八、项目联系人</w:t>
      </w:r>
    </w:p>
    <w:p w14:paraId="6C4335A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联系人：</w:t>
      </w:r>
      <w:r>
        <w:rPr>
          <w:rFonts w:hint="eastAsia" w:ascii="宋体" w:hAnsi="宋体" w:cs="宋体"/>
          <w:color w:val="auto"/>
          <w:szCs w:val="21"/>
          <w:lang w:val="en-US" w:eastAsia="zh-CN"/>
        </w:rPr>
        <w:t>朱  军</w:t>
      </w:r>
    </w:p>
    <w:p w14:paraId="18F842D3">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联系电话：</w:t>
      </w:r>
      <w:r>
        <w:rPr>
          <w:rFonts w:hint="eastAsia" w:ascii="宋体" w:hAnsi="宋体" w:cs="宋体"/>
          <w:color w:val="auto"/>
          <w:szCs w:val="21"/>
          <w:lang w:val="en-US" w:eastAsia="zh-CN"/>
        </w:rPr>
        <w:t>15519096680</w:t>
      </w:r>
    </w:p>
    <w:p w14:paraId="158837C6">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九、其他补充事宜</w:t>
      </w:r>
    </w:p>
    <w:p w14:paraId="4F5B1E0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简要技术要求、服务和安全要求：详见竞争性谈判文件</w:t>
      </w:r>
    </w:p>
    <w:p w14:paraId="6296181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交货地点或服务地点：采购人指定地点 </w:t>
      </w:r>
    </w:p>
    <w:p w14:paraId="3808197C">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其他事项（如样品提交、现场踏勘等）: 无。</w:t>
      </w:r>
    </w:p>
    <w:p w14:paraId="1359B87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交货时间或服务时间： 详见竞争性谈判文件。 </w:t>
      </w:r>
    </w:p>
    <w:p w14:paraId="3CE3964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项目公告媒体：钟山区人民政府（http://www.gzzs.gov.cn/）</w:t>
      </w:r>
    </w:p>
    <w:p w14:paraId="1E9DE8D4">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 xml:space="preserve">十、附件  </w:t>
      </w:r>
    </w:p>
    <w:p w14:paraId="0B7C4F5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附件1：贵州钟山野马寨热电有限责任公司</w:t>
      </w:r>
      <w:r>
        <w:rPr>
          <w:rFonts w:hint="eastAsia" w:ascii="宋体" w:hAnsi="宋体" w:cs="宋体"/>
          <w:color w:val="auto"/>
          <w:szCs w:val="21"/>
          <w:lang w:val="en-US" w:eastAsia="zh-CN"/>
        </w:rPr>
        <w:t>2025年第二十二批次燃煤采购项目</w:t>
      </w:r>
      <w:r>
        <w:rPr>
          <w:rFonts w:hint="eastAsia" w:ascii="宋体" w:hAnsi="宋体" w:eastAsia="宋体" w:cs="宋体"/>
          <w:color w:val="auto"/>
          <w:szCs w:val="21"/>
          <w:lang w:val="en-US" w:eastAsia="zh-CN"/>
        </w:rPr>
        <w:t>竞争性谈判文件</w:t>
      </w:r>
    </w:p>
    <w:p w14:paraId="60AFFC4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附件2：报名资料格式</w:t>
      </w:r>
    </w:p>
    <w:p w14:paraId="2202BFC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附件3：响应文件资料格式</w:t>
      </w:r>
    </w:p>
    <w:p w14:paraId="0C46BF45">
      <w:pPr>
        <w:spacing w:line="360" w:lineRule="auto"/>
        <w:jc w:val="left"/>
        <w:rPr>
          <w:rFonts w:hint="default" w:ascii="宋体" w:hAnsi="宋体" w:eastAsia="宋体" w:cs="宋体"/>
          <w:color w:val="auto"/>
          <w:szCs w:val="21"/>
          <w:lang w:val="en-US" w:eastAsia="zh-CN"/>
        </w:rPr>
      </w:pPr>
    </w:p>
    <w:p w14:paraId="2C79DC61">
      <w:pPr>
        <w:wordWrap w:val="0"/>
        <w:spacing w:line="360" w:lineRule="auto"/>
        <w:ind w:left="-210" w:leftChars="-100"/>
        <w:jc w:val="right"/>
        <w:rPr>
          <w:rFonts w:hint="default" w:ascii="宋体" w:hAnsi="宋体" w:eastAsia="宋体" w:cs="宋体"/>
          <w:color w:val="auto"/>
          <w:szCs w:val="21"/>
          <w:lang w:val="en-US" w:eastAsia="zh-CN"/>
        </w:rPr>
      </w:pPr>
    </w:p>
    <w:p w14:paraId="66C105F5">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w:t>
      </w:r>
      <w:r>
        <w:rPr>
          <w:rFonts w:hint="eastAsia" w:ascii="宋体" w:hAnsi="宋体" w:cs="宋体"/>
          <w:color w:val="auto"/>
          <w:szCs w:val="21"/>
          <w:lang w:val="en-US" w:eastAsia="zh-CN"/>
        </w:rPr>
        <w:t xml:space="preserve">  </w:t>
      </w:r>
    </w:p>
    <w:p w14:paraId="7C4DFAD3">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2025年9月23日          </w:t>
      </w:r>
    </w:p>
    <w:p w14:paraId="40E57565">
      <w:pPr>
        <w:jc w:val="center"/>
        <w:rPr>
          <w:rFonts w:hint="default" w:eastAsia="宋体"/>
          <w:color w:val="auto"/>
          <w:highlight w:val="none"/>
          <w:lang w:val="en-US" w:eastAsia="zh-CN"/>
        </w:rPr>
      </w:pPr>
    </w:p>
    <w:p w14:paraId="4BC6F751">
      <w:pPr>
        <w:pStyle w:val="2"/>
        <w:bidi w:val="0"/>
        <w:rPr>
          <w:rFonts w:hint="eastAsia" w:ascii="宋体" w:hAnsi="宋体" w:eastAsia="宋体" w:cs="宋体"/>
        </w:rPr>
      </w:pPr>
      <w:bookmarkStart w:id="5" w:name="_Toc4281"/>
      <w:r>
        <w:rPr>
          <w:rFonts w:hint="eastAsia" w:ascii="宋体" w:hAnsi="宋体" w:eastAsia="宋体" w:cs="宋体"/>
          <w:lang w:val="en-US" w:eastAsia="zh-CN"/>
        </w:rPr>
        <w:t>第二章  供应</w:t>
      </w:r>
      <w:r>
        <w:rPr>
          <w:rFonts w:hint="eastAsia" w:ascii="宋体" w:hAnsi="宋体" w:eastAsia="宋体" w:cs="宋体"/>
        </w:rPr>
        <w:t>商须知</w:t>
      </w:r>
      <w:bookmarkEnd w:id="5"/>
    </w:p>
    <w:p w14:paraId="36130871">
      <w:pPr>
        <w:jc w:val="center"/>
        <w:rPr>
          <w:rFonts w:hint="eastAsia" w:ascii="宋体" w:hAnsi="宋体" w:eastAsia="宋体" w:cs="宋体"/>
          <w:b/>
          <w:bCs/>
          <w:color w:val="auto"/>
          <w:szCs w:val="21"/>
        </w:rPr>
      </w:pPr>
      <w:r>
        <w:rPr>
          <w:rFonts w:hint="eastAsia" w:ascii="宋体" w:hAnsi="宋体" w:eastAsia="宋体" w:cs="宋体"/>
          <w:b/>
          <w:bCs/>
          <w:color w:val="auto"/>
          <w:szCs w:val="21"/>
        </w:rPr>
        <w:t>A  说   明</w:t>
      </w:r>
    </w:p>
    <w:p w14:paraId="7E6E83F4">
      <w:pPr>
        <w:spacing w:line="360" w:lineRule="auto"/>
        <w:ind w:left="-210" w:leftChars="-100"/>
        <w:jc w:val="both"/>
        <w:rPr>
          <w:rFonts w:hint="eastAsia" w:ascii="宋体" w:hAnsi="宋体" w:eastAsia="宋体" w:cs="宋体"/>
        </w:rPr>
      </w:pPr>
      <w:r>
        <w:rPr>
          <w:rFonts w:hint="eastAsia" w:ascii="宋体" w:hAnsi="宋体" w:eastAsia="宋体" w:cs="宋体"/>
          <w:b/>
          <w:bCs/>
          <w:color w:val="auto"/>
          <w:szCs w:val="21"/>
          <w:lang w:val="en-US" w:eastAsia="zh-CN"/>
        </w:rPr>
        <w:t xml:space="preserve"> </w:t>
      </w:r>
      <w:r>
        <w:rPr>
          <w:rFonts w:hint="eastAsia" w:ascii="宋体" w:hAnsi="宋体" w:eastAsia="宋体" w:cs="宋体"/>
        </w:rPr>
        <w:t>1.合格供应商的范围：</w:t>
      </w:r>
    </w:p>
    <w:p w14:paraId="1FDDB10E">
      <w:pPr>
        <w:spacing w:line="360" w:lineRule="auto"/>
        <w:ind w:left="-210" w:leftChars="-100"/>
        <w:jc w:val="both"/>
        <w:rPr>
          <w:rFonts w:hint="eastAsia" w:ascii="宋体" w:hAnsi="宋体" w:eastAsia="宋体" w:cs="宋体"/>
          <w:color w:val="auto"/>
          <w:szCs w:val="21"/>
          <w:lang w:eastAsia="zh-CN"/>
        </w:rPr>
      </w:pPr>
      <w:r>
        <w:rPr>
          <w:rFonts w:hint="eastAsia" w:ascii="宋体" w:hAnsi="宋体" w:eastAsia="宋体" w:cs="宋体"/>
          <w:szCs w:val="21"/>
        </w:rPr>
        <w:t>1.1法人包括企业法人、机关法人、事业单位法人和社会团体法人；</w:t>
      </w:r>
      <w:r>
        <w:rPr>
          <w:rFonts w:hint="eastAsia" w:ascii="宋体" w:hAnsi="宋体" w:eastAsia="宋体" w:cs="宋体"/>
          <w:color w:val="auto"/>
          <w:szCs w:val="21"/>
        </w:rPr>
        <w:t>供应商是企业，要提供在工商部门注册的有效“企业法人营业执照”或“营业执照”；如供应商是事业单位，要提供有效的“事业单位法人证书”</w:t>
      </w:r>
      <w:r>
        <w:rPr>
          <w:rFonts w:hint="eastAsia" w:ascii="宋体" w:hAnsi="宋体" w:cs="宋体"/>
          <w:color w:val="auto"/>
          <w:szCs w:val="21"/>
          <w:lang w:eastAsia="zh-CN"/>
        </w:rPr>
        <w:t>，</w:t>
      </w:r>
      <w:r>
        <w:rPr>
          <w:rFonts w:hint="eastAsia" w:ascii="宋体" w:hAnsi="宋体" w:eastAsia="宋体" w:cs="宋体"/>
          <w:color w:val="auto"/>
          <w:szCs w:val="21"/>
        </w:rPr>
        <w:t>如供应商是</w:t>
      </w:r>
      <w:r>
        <w:rPr>
          <w:rFonts w:hint="eastAsia" w:ascii="宋体" w:hAnsi="宋体" w:cs="宋体"/>
          <w:color w:val="auto"/>
          <w:szCs w:val="21"/>
          <w:lang w:val="en-US" w:eastAsia="zh-CN"/>
        </w:rPr>
        <w:t>社会团体法人</w:t>
      </w:r>
      <w:r>
        <w:rPr>
          <w:rFonts w:hint="eastAsia" w:ascii="宋体" w:hAnsi="宋体" w:eastAsia="宋体" w:cs="宋体"/>
          <w:color w:val="auto"/>
          <w:szCs w:val="21"/>
        </w:rPr>
        <w:t>，要提供有效的</w:t>
      </w:r>
      <w:r>
        <w:rPr>
          <w:rFonts w:hint="eastAsia" w:ascii="宋体" w:hAnsi="宋体" w:cs="宋体"/>
          <w:color w:val="auto"/>
          <w:szCs w:val="21"/>
          <w:lang w:eastAsia="zh-CN"/>
        </w:rPr>
        <w:t>“社会团体法人登记证书”。</w:t>
      </w:r>
    </w:p>
    <w:p w14:paraId="41B18D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本项目不接受联合体</w:t>
      </w:r>
      <w:r>
        <w:rPr>
          <w:rFonts w:hint="eastAsia" w:ascii="宋体" w:hAnsi="宋体" w:eastAsia="宋体" w:cs="宋体"/>
          <w:szCs w:val="21"/>
          <w:lang w:val="en-US" w:eastAsia="zh-CN"/>
        </w:rPr>
        <w:t>参与</w:t>
      </w:r>
      <w:r>
        <w:rPr>
          <w:rFonts w:hint="eastAsia" w:ascii="宋体" w:hAnsi="宋体" w:cs="宋体"/>
          <w:szCs w:val="21"/>
          <w:lang w:val="en-US" w:eastAsia="zh-CN"/>
        </w:rPr>
        <w:t>谈判</w:t>
      </w:r>
      <w:r>
        <w:rPr>
          <w:rFonts w:hint="eastAsia" w:ascii="宋体" w:hAnsi="宋体" w:eastAsia="宋体" w:cs="宋体"/>
          <w:szCs w:val="21"/>
        </w:rPr>
        <w:t>。</w:t>
      </w:r>
    </w:p>
    <w:p w14:paraId="22F76A2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未在</w:t>
      </w:r>
      <w:r>
        <w:rPr>
          <w:rFonts w:hint="eastAsia" w:ascii="宋体" w:hAnsi="宋体" w:eastAsia="宋体" w:cs="宋体"/>
          <w:szCs w:val="21"/>
          <w:lang w:eastAsia="zh-CN"/>
        </w:rPr>
        <w:t>主管部门</w:t>
      </w:r>
      <w:r>
        <w:rPr>
          <w:rFonts w:hint="eastAsia" w:ascii="宋体" w:hAnsi="宋体" w:eastAsia="宋体" w:cs="宋体"/>
          <w:szCs w:val="21"/>
        </w:rPr>
        <w:t>列入禁止参加</w:t>
      </w:r>
      <w:r>
        <w:rPr>
          <w:rFonts w:hint="eastAsia" w:ascii="宋体" w:hAnsi="宋体" w:eastAsia="宋体" w:cs="宋体"/>
          <w:szCs w:val="21"/>
          <w:lang w:val="en-US" w:eastAsia="zh-CN"/>
        </w:rPr>
        <w:t>招标</w:t>
      </w:r>
      <w:r>
        <w:rPr>
          <w:rFonts w:hint="eastAsia" w:ascii="宋体" w:hAnsi="宋体" w:eastAsia="宋体" w:cs="宋体"/>
          <w:szCs w:val="21"/>
        </w:rPr>
        <w:t>采购活动期间。</w:t>
      </w:r>
    </w:p>
    <w:p w14:paraId="0F92AC32">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供应商应当符合</w:t>
      </w:r>
      <w:r>
        <w:rPr>
          <w:rFonts w:hint="eastAsia" w:ascii="宋体" w:hAnsi="宋体" w:eastAsia="宋体" w:cs="宋体"/>
          <w:szCs w:val="21"/>
          <w:lang w:val="en-US" w:eastAsia="zh-CN"/>
        </w:rPr>
        <w:t>采购文件规定的资格要求</w:t>
      </w:r>
      <w:r>
        <w:rPr>
          <w:rFonts w:hint="eastAsia" w:ascii="宋体" w:hAnsi="宋体" w:eastAsia="宋体" w:cs="宋体"/>
          <w:szCs w:val="21"/>
        </w:rPr>
        <w:t>。</w:t>
      </w:r>
    </w:p>
    <w:p w14:paraId="1DBF87B3">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单位负责人为同一人或者存在直接控股、管理关系的不同供应商，不得参加同一合同项下的</w:t>
      </w:r>
      <w:r>
        <w:rPr>
          <w:rFonts w:hint="eastAsia" w:ascii="宋体" w:hAnsi="宋体" w:cs="宋体"/>
          <w:szCs w:val="21"/>
          <w:lang w:val="en-US" w:eastAsia="zh-CN"/>
        </w:rPr>
        <w:t>政府采购活动</w:t>
      </w:r>
      <w:r>
        <w:rPr>
          <w:rFonts w:hint="eastAsia" w:ascii="宋体" w:hAnsi="宋体" w:eastAsia="宋体" w:cs="宋体"/>
          <w:szCs w:val="21"/>
        </w:rPr>
        <w:t>。</w:t>
      </w:r>
    </w:p>
    <w:p w14:paraId="331BD80F">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供应商应遵守有关的中国法律和规章条例。</w:t>
      </w:r>
    </w:p>
    <w:p w14:paraId="5E86156B">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2．定义：</w:t>
      </w:r>
    </w:p>
    <w:p w14:paraId="6097DA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2.1采购代理机构：本项目</w:t>
      </w:r>
      <w:r>
        <w:rPr>
          <w:rFonts w:hint="eastAsia" w:ascii="宋体" w:hAnsi="宋体" w:cs="宋体"/>
          <w:szCs w:val="21"/>
          <w:lang w:val="en-US" w:eastAsia="zh-CN"/>
        </w:rPr>
        <w:t>无代理机构</w:t>
      </w:r>
      <w:r>
        <w:rPr>
          <w:rFonts w:hint="eastAsia" w:ascii="宋体" w:hAnsi="宋体" w:eastAsia="宋体" w:cs="宋体"/>
          <w:szCs w:val="21"/>
        </w:rPr>
        <w:t>，</w:t>
      </w:r>
    </w:p>
    <w:p w14:paraId="5F929C85">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2.2采购人：本项目是指</w:t>
      </w:r>
      <w:r>
        <w:rPr>
          <w:rFonts w:hint="eastAsia" w:ascii="宋体" w:hAnsi="宋体" w:eastAsia="宋体" w:cs="宋体"/>
          <w:color w:val="000000"/>
          <w:szCs w:val="21"/>
          <w:lang w:val="en-US" w:eastAsia="zh-CN"/>
        </w:rPr>
        <w:t>贵州钟山野马寨热电有限责任公司</w:t>
      </w:r>
      <w:r>
        <w:rPr>
          <w:rFonts w:hint="eastAsia" w:ascii="宋体" w:hAnsi="宋体" w:eastAsia="宋体" w:cs="宋体"/>
          <w:color w:val="000000"/>
          <w:szCs w:val="21"/>
        </w:rPr>
        <w:t xml:space="preserve">，是采购活动当事人之一，作为合同采购方 </w:t>
      </w:r>
      <w:r>
        <w:rPr>
          <w:rFonts w:hint="eastAsia" w:ascii="宋体" w:hAnsi="宋体" w:eastAsia="宋体" w:cs="宋体"/>
          <w:color w:val="000000"/>
          <w:szCs w:val="21"/>
          <w:lang w:eastAsia="zh-CN"/>
        </w:rPr>
        <w:t>（</w:t>
      </w:r>
      <w:r>
        <w:rPr>
          <w:rFonts w:hint="eastAsia" w:ascii="宋体" w:hAnsi="宋体" w:eastAsia="宋体" w:cs="宋体"/>
          <w:color w:val="000000"/>
          <w:szCs w:val="21"/>
        </w:rPr>
        <w:t>用户</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 的主体承担履行合同、验收与评价等义务。</w:t>
      </w:r>
    </w:p>
    <w:p w14:paraId="7FEBDB7F">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2.3</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121489AE">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lang w:val="en-US" w:eastAsia="zh-CN"/>
        </w:rPr>
        <w:t>2.3.1</w:t>
      </w:r>
      <w:r>
        <w:rPr>
          <w:rStyle w:val="89"/>
          <w:rFonts w:hint="eastAsia" w:ascii="宋体" w:hAnsi="宋体" w:eastAsia="宋体" w:cs="宋体"/>
          <w:color w:val="000000"/>
          <w:sz w:val="21"/>
          <w:szCs w:val="21"/>
          <w:lang w:val="en-US" w:eastAsia="zh-CN"/>
        </w:rPr>
        <w:t xml:space="preserve"> 是指</w:t>
      </w:r>
      <w:r>
        <w:rPr>
          <w:rFonts w:hint="eastAsia" w:ascii="宋体" w:hAnsi="宋体" w:eastAsia="宋体" w:cs="宋体"/>
          <w:color w:val="000000"/>
          <w:szCs w:val="21"/>
          <w:lang w:eastAsia="zh-CN"/>
        </w:rPr>
        <w:t>完成本项目登记（报名）</w:t>
      </w:r>
      <w:r>
        <w:rPr>
          <w:rFonts w:hint="eastAsia" w:ascii="宋体" w:hAnsi="宋体" w:eastAsia="宋体" w:cs="宋体"/>
          <w:color w:val="000000"/>
          <w:szCs w:val="21"/>
        </w:rPr>
        <w:t>并提交</w:t>
      </w:r>
      <w:r>
        <w:rPr>
          <w:rFonts w:hint="eastAsia" w:ascii="宋体" w:hAnsi="宋体" w:eastAsia="宋体" w:cs="宋体"/>
          <w:color w:val="000000"/>
          <w:szCs w:val="21"/>
          <w:lang w:eastAsia="zh-CN"/>
        </w:rPr>
        <w:t>响应文件</w:t>
      </w:r>
      <w:r>
        <w:rPr>
          <w:rFonts w:hint="eastAsia" w:ascii="宋体" w:hAnsi="宋体" w:eastAsia="宋体" w:cs="宋体"/>
          <w:color w:val="000000"/>
          <w:szCs w:val="21"/>
        </w:rPr>
        <w:t>的</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7EDC6503">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：是指</w:t>
      </w:r>
      <w:r>
        <w:rPr>
          <w:rFonts w:hint="eastAsia" w:ascii="宋体" w:hAnsi="宋体" w:eastAsia="宋体" w:cs="宋体"/>
          <w:color w:val="000000"/>
          <w:szCs w:val="21"/>
          <w:lang w:val="en-US" w:eastAsia="zh-CN"/>
        </w:rPr>
        <w:t>参照《国有企业采购操作规范》、《中华人民共和国政府采购法》《</w:t>
      </w:r>
      <w:r>
        <w:rPr>
          <w:rFonts w:hint="eastAsia" w:ascii="宋体" w:hAnsi="宋体" w:cs="宋体"/>
          <w:color w:val="000000"/>
          <w:szCs w:val="21"/>
          <w:lang w:val="en-US" w:eastAsia="zh-CN"/>
        </w:rPr>
        <w:t>竞争性谈判</w:t>
      </w:r>
      <w:r>
        <w:rPr>
          <w:rFonts w:hint="eastAsia" w:ascii="宋体" w:hAnsi="宋体" w:eastAsia="宋体" w:cs="宋体"/>
          <w:color w:val="000000"/>
          <w:szCs w:val="21"/>
          <w:lang w:val="en-US" w:eastAsia="zh-CN"/>
        </w:rPr>
        <w:t>采购方式管理暂行办法》</w:t>
      </w:r>
      <w:r>
        <w:rPr>
          <w:rFonts w:hint="eastAsia" w:ascii="宋体" w:hAnsi="宋体" w:eastAsia="宋体" w:cs="宋体"/>
          <w:color w:val="000000"/>
          <w:szCs w:val="21"/>
        </w:rPr>
        <w:t>等法律法规规定，由采购人代表和有关专家组成以确定</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或者推荐</w:t>
      </w:r>
      <w:r>
        <w:rPr>
          <w:rFonts w:hint="eastAsia" w:ascii="宋体" w:hAnsi="宋体" w:eastAsia="宋体" w:cs="宋体"/>
          <w:color w:val="000000"/>
          <w:szCs w:val="21"/>
          <w:lang w:eastAsia="zh-CN"/>
        </w:rPr>
        <w:t>成交候选供应商</w:t>
      </w:r>
      <w:r>
        <w:rPr>
          <w:rFonts w:hint="eastAsia" w:ascii="宋体" w:hAnsi="宋体" w:eastAsia="宋体" w:cs="宋体"/>
          <w:color w:val="000000"/>
          <w:szCs w:val="21"/>
        </w:rPr>
        <w:t>的临时组织。</w:t>
      </w:r>
    </w:p>
    <w:p w14:paraId="78DDB973">
      <w:pPr>
        <w:spacing w:line="360" w:lineRule="auto"/>
        <w:ind w:left="-210" w:leftChars="-100"/>
        <w:jc w:val="both"/>
        <w:rPr>
          <w:rFonts w:hint="eastAsia" w:ascii="宋体" w:hAnsi="宋体" w:eastAsia="宋体" w:cs="宋体"/>
          <w:szCs w:val="21"/>
        </w:rPr>
      </w:pPr>
      <w:r>
        <w:rPr>
          <w:rFonts w:hint="eastAsia" w:ascii="宋体" w:hAnsi="宋体" w:eastAsia="宋体" w:cs="宋体"/>
          <w:color w:val="000000"/>
          <w:szCs w:val="21"/>
        </w:rPr>
        <w:t>2.5</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：是指经</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评审</w:t>
      </w:r>
      <w:r>
        <w:rPr>
          <w:rFonts w:hint="eastAsia" w:ascii="宋体" w:hAnsi="宋体" w:eastAsia="宋体" w:cs="宋体"/>
          <w:color w:val="000000"/>
          <w:szCs w:val="21"/>
          <w:lang w:eastAsia="zh-CN"/>
        </w:rPr>
        <w:t>确定对</w:t>
      </w:r>
      <w:r>
        <w:rPr>
          <w:rFonts w:hint="eastAsia" w:ascii="宋体" w:hAnsi="宋体" w:cs="宋体"/>
          <w:color w:val="000000"/>
          <w:szCs w:val="21"/>
          <w:lang w:eastAsia="zh-CN"/>
        </w:rPr>
        <w:t>竞争性谈判</w:t>
      </w:r>
      <w:r>
        <w:rPr>
          <w:rFonts w:hint="eastAsia" w:ascii="宋体" w:hAnsi="宋体" w:eastAsia="宋体" w:cs="宋体"/>
          <w:szCs w:val="21"/>
          <w:lang w:eastAsia="zh-CN"/>
        </w:rPr>
        <w:t>文件作出</w:t>
      </w:r>
      <w:r>
        <w:rPr>
          <w:rFonts w:hint="eastAsia" w:ascii="宋体" w:hAnsi="宋体" w:eastAsia="宋体" w:cs="宋体"/>
          <w:szCs w:val="21"/>
        </w:rPr>
        <w:t>实质性响应，经采购人按照规定在</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推荐的</w:t>
      </w:r>
      <w:r>
        <w:rPr>
          <w:rFonts w:hint="eastAsia" w:ascii="宋体" w:hAnsi="宋体" w:eastAsia="宋体" w:cs="宋体"/>
          <w:szCs w:val="21"/>
          <w:lang w:eastAsia="zh-CN"/>
        </w:rPr>
        <w:t>成交候选供应商</w:t>
      </w:r>
      <w:r>
        <w:rPr>
          <w:rFonts w:hint="eastAsia" w:ascii="宋体" w:hAnsi="宋体" w:eastAsia="宋体" w:cs="宋体"/>
          <w:szCs w:val="21"/>
        </w:rPr>
        <w:t>中确定的或</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受采购人委托直接确认的</w:t>
      </w:r>
      <w:r>
        <w:rPr>
          <w:rFonts w:hint="eastAsia" w:ascii="宋体" w:hAnsi="宋体" w:eastAsia="宋体" w:cs="宋体"/>
          <w:szCs w:val="21"/>
          <w:lang w:eastAsia="zh-CN"/>
        </w:rPr>
        <w:t>供应商</w:t>
      </w:r>
      <w:r>
        <w:rPr>
          <w:rFonts w:hint="eastAsia" w:ascii="宋体" w:hAnsi="宋体" w:eastAsia="宋体" w:cs="宋体"/>
          <w:szCs w:val="21"/>
        </w:rPr>
        <w:t>。</w:t>
      </w:r>
    </w:p>
    <w:p w14:paraId="74673FCC">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2.6</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：是指包括</w:t>
      </w:r>
      <w:r>
        <w:rPr>
          <w:rFonts w:hint="eastAsia" w:ascii="宋体" w:hAnsi="宋体" w:eastAsia="宋体" w:cs="宋体"/>
          <w:szCs w:val="21"/>
          <w:lang w:eastAsia="zh-CN"/>
        </w:rPr>
        <w:t>采购公告</w:t>
      </w:r>
      <w:r>
        <w:rPr>
          <w:rFonts w:hint="eastAsia" w:ascii="宋体" w:hAnsi="宋体" w:eastAsia="宋体" w:cs="宋体"/>
          <w:szCs w:val="21"/>
        </w:rPr>
        <w:t>和</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及其补充、变更和澄清等一系列文件。</w:t>
      </w:r>
    </w:p>
    <w:p w14:paraId="23360CFD">
      <w:pPr>
        <w:spacing w:line="360" w:lineRule="auto"/>
        <w:ind w:left="-210" w:leftChars="-100"/>
        <w:jc w:val="both"/>
        <w:rPr>
          <w:rFonts w:hint="eastAsia" w:ascii="宋体" w:hAnsi="宋体" w:eastAsia="宋体" w:cs="宋体"/>
          <w:b w:val="0"/>
          <w:bCs w:val="0"/>
          <w:szCs w:val="21"/>
        </w:rPr>
      </w:pPr>
      <w:r>
        <w:rPr>
          <w:rFonts w:hint="eastAsia" w:ascii="宋体" w:hAnsi="宋体" w:eastAsia="宋体" w:cs="宋体"/>
          <w:szCs w:val="21"/>
        </w:rPr>
        <w:t>2.7</w:t>
      </w:r>
      <w:r>
        <w:rPr>
          <w:rFonts w:hint="eastAsia" w:ascii="宋体" w:hAnsi="宋体" w:eastAsia="宋体" w:cs="宋体"/>
          <w:szCs w:val="21"/>
          <w:lang w:eastAsia="zh-CN"/>
        </w:rPr>
        <w:t>响应文件</w:t>
      </w:r>
      <w:r>
        <w:rPr>
          <w:rFonts w:hint="eastAsia" w:ascii="宋体" w:hAnsi="宋体" w:eastAsia="宋体" w:cs="宋体"/>
          <w:szCs w:val="21"/>
        </w:rPr>
        <w:t>：是指</w:t>
      </w:r>
      <w:r>
        <w:rPr>
          <w:rFonts w:hint="eastAsia" w:ascii="宋体" w:hAnsi="宋体" w:eastAsia="宋体" w:cs="宋体"/>
          <w:szCs w:val="21"/>
          <w:lang w:val="en-US" w:eastAsia="zh-CN"/>
        </w:rPr>
        <w:t>供应商按照</w:t>
      </w:r>
      <w:r>
        <w:rPr>
          <w:rFonts w:hint="eastAsia" w:ascii="宋体" w:hAnsi="宋体" w:cs="宋体"/>
          <w:szCs w:val="21"/>
          <w:lang w:val="en-US" w:eastAsia="zh-CN"/>
        </w:rPr>
        <w:t>竞争性谈判</w:t>
      </w:r>
      <w:r>
        <w:rPr>
          <w:rFonts w:hint="eastAsia" w:ascii="宋体" w:hAnsi="宋体" w:eastAsia="宋体" w:cs="宋体"/>
          <w:szCs w:val="21"/>
          <w:lang w:val="en-US" w:eastAsia="zh-CN"/>
        </w:rPr>
        <w:t>文件制作的</w:t>
      </w:r>
      <w:r>
        <w:rPr>
          <w:rFonts w:hint="eastAsia" w:ascii="宋体" w:hAnsi="宋体" w:eastAsia="宋体" w:cs="宋体"/>
          <w:b w:val="0"/>
          <w:bCs w:val="0"/>
          <w:szCs w:val="21"/>
          <w:lang w:eastAsia="zh-CN"/>
        </w:rPr>
        <w:t>响应文件</w:t>
      </w:r>
      <w:r>
        <w:rPr>
          <w:rFonts w:hint="eastAsia" w:ascii="宋体" w:hAnsi="宋体" w:eastAsia="宋体" w:cs="宋体"/>
          <w:b w:val="0"/>
          <w:bCs w:val="0"/>
          <w:szCs w:val="21"/>
        </w:rPr>
        <w:t>。</w:t>
      </w:r>
    </w:p>
    <w:p w14:paraId="44DE429B">
      <w:pPr>
        <w:spacing w:line="360" w:lineRule="auto"/>
        <w:ind w:left="-210" w:leftChars="-100"/>
        <w:jc w:val="both"/>
        <w:rPr>
          <w:rFonts w:hint="eastAsia" w:ascii="宋体" w:hAnsi="宋体" w:eastAsia="宋体" w:cs="宋体"/>
          <w:szCs w:val="21"/>
        </w:rPr>
      </w:pPr>
      <w:r>
        <w:rPr>
          <w:rFonts w:hint="eastAsia" w:ascii="宋体" w:hAnsi="宋体" w:eastAsia="宋体" w:cs="宋体"/>
          <w:b w:val="0"/>
          <w:bCs w:val="0"/>
          <w:szCs w:val="21"/>
          <w:lang w:val="en-US" w:eastAsia="zh-CN"/>
        </w:rPr>
        <w:t>3.参照</w:t>
      </w:r>
      <w:r>
        <w:rPr>
          <w:rFonts w:hint="eastAsia" w:ascii="宋体" w:hAnsi="宋体" w:eastAsia="宋体" w:cs="宋体"/>
          <w:b w:val="0"/>
          <w:bCs w:val="0"/>
          <w:szCs w:val="21"/>
        </w:rPr>
        <w:t>法律：采购人及</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进行的本次采购活动</w:t>
      </w:r>
      <w:r>
        <w:rPr>
          <w:rFonts w:hint="eastAsia" w:ascii="宋体" w:hAnsi="宋体" w:eastAsia="宋体" w:cs="宋体"/>
          <w:b w:val="0"/>
          <w:bCs w:val="0"/>
          <w:szCs w:val="21"/>
          <w:lang w:val="en-US" w:eastAsia="zh-CN"/>
        </w:rPr>
        <w:t>参照《国有企业采购操作规范》、</w:t>
      </w:r>
      <w:r>
        <w:rPr>
          <w:rFonts w:hint="eastAsia" w:ascii="宋体" w:hAnsi="宋体" w:eastAsia="宋体" w:cs="宋体"/>
          <w:b w:val="0"/>
          <w:bCs w:val="0"/>
          <w:szCs w:val="21"/>
        </w:rPr>
        <w:t>《中华</w:t>
      </w:r>
      <w:r>
        <w:rPr>
          <w:rFonts w:hint="eastAsia" w:ascii="宋体" w:hAnsi="宋体" w:eastAsia="宋体" w:cs="宋体"/>
          <w:szCs w:val="21"/>
        </w:rPr>
        <w:t>人民共和国政府采购法</w:t>
      </w:r>
      <w:r>
        <w:rPr>
          <w:rFonts w:hint="eastAsia" w:ascii="宋体" w:hAnsi="宋体" w:eastAsia="宋体" w:cs="宋体"/>
          <w:szCs w:val="21"/>
          <w:lang w:eastAsia="zh-CN"/>
        </w:rPr>
        <w:t>》《</w:t>
      </w:r>
      <w:r>
        <w:rPr>
          <w:rFonts w:hint="eastAsia" w:ascii="宋体" w:hAnsi="宋体" w:cs="宋体"/>
          <w:szCs w:val="21"/>
          <w:lang w:eastAsia="zh-CN"/>
        </w:rPr>
        <w:t>竞争性谈判</w:t>
      </w:r>
      <w:r>
        <w:rPr>
          <w:rFonts w:hint="eastAsia" w:ascii="宋体" w:hAnsi="宋体" w:eastAsia="宋体" w:cs="宋体"/>
          <w:szCs w:val="21"/>
          <w:lang w:eastAsia="zh-CN"/>
        </w:rPr>
        <w:t>采购方式管理暂行办法</w:t>
      </w:r>
      <w:r>
        <w:rPr>
          <w:rFonts w:hint="eastAsia" w:ascii="宋体" w:hAnsi="宋体" w:eastAsia="宋体" w:cs="宋体"/>
          <w:szCs w:val="21"/>
        </w:rPr>
        <w:t>》</w:t>
      </w:r>
      <w:r>
        <w:rPr>
          <w:rFonts w:hint="eastAsia" w:ascii="宋体" w:hAnsi="宋体" w:eastAsia="宋体" w:cs="宋体"/>
          <w:szCs w:val="21"/>
          <w:lang w:val="en-US" w:eastAsia="zh-CN"/>
        </w:rPr>
        <w:t>等</w:t>
      </w:r>
      <w:r>
        <w:rPr>
          <w:rFonts w:hint="eastAsia" w:ascii="宋体" w:hAnsi="宋体" w:eastAsia="宋体" w:cs="宋体"/>
          <w:szCs w:val="21"/>
        </w:rPr>
        <w:t>及其配套的法规、规章、政策采购。</w:t>
      </w:r>
    </w:p>
    <w:p w14:paraId="3C835D50">
      <w:pPr>
        <w:pStyle w:val="49"/>
        <w:jc w:val="both"/>
        <w:rPr>
          <w:rFonts w:hint="eastAsia" w:ascii="宋体" w:hAnsi="宋体" w:eastAsia="宋体" w:cs="宋体"/>
        </w:rPr>
      </w:pPr>
    </w:p>
    <w:p w14:paraId="4FBB999E">
      <w:pPr>
        <w:keepNext w:val="0"/>
        <w:keepLines w:val="0"/>
        <w:pageBreakBefore w:val="0"/>
        <w:kinsoku/>
        <w:wordWrap/>
        <w:overflowPunct/>
        <w:topLinePunct w:val="0"/>
        <w:autoSpaceDE/>
        <w:autoSpaceDN/>
        <w:bidi w:val="0"/>
        <w:spacing w:line="432" w:lineRule="auto"/>
        <w:ind w:left="-210" w:leftChars="-100"/>
        <w:jc w:val="center"/>
        <w:textAlignment w:val="auto"/>
        <w:rPr>
          <w:rFonts w:hint="eastAsia" w:ascii="宋体" w:hAnsi="宋体" w:eastAsia="宋体" w:cs="宋体"/>
          <w:color w:val="auto"/>
        </w:rPr>
      </w:pPr>
      <w:r>
        <w:rPr>
          <w:rFonts w:hint="eastAsia" w:ascii="宋体" w:hAnsi="宋体" w:eastAsia="宋体" w:cs="宋体"/>
          <w:b/>
          <w:bCs/>
          <w:color w:val="auto"/>
          <w:szCs w:val="21"/>
        </w:rPr>
        <w:t xml:space="preserve">B  </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文件</w:t>
      </w:r>
    </w:p>
    <w:p w14:paraId="1693CA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cs="宋体"/>
          <w:color w:val="auto"/>
          <w:szCs w:val="21"/>
          <w:lang w:eastAsia="zh-CN"/>
        </w:rPr>
        <w:t>竞争性谈判</w:t>
      </w:r>
      <w:r>
        <w:rPr>
          <w:rFonts w:hint="eastAsia" w:ascii="宋体" w:hAnsi="宋体" w:eastAsia="宋体" w:cs="宋体"/>
          <w:color w:val="auto"/>
          <w:szCs w:val="21"/>
        </w:rPr>
        <w:t>文件用以阐明所需</w:t>
      </w:r>
      <w:r>
        <w:rPr>
          <w:rFonts w:hint="eastAsia" w:ascii="宋体" w:hAnsi="宋体" w:eastAsia="宋体" w:cs="宋体"/>
          <w:color w:val="auto"/>
          <w:szCs w:val="21"/>
          <w:lang w:val="en-US" w:eastAsia="zh-CN"/>
        </w:rPr>
        <w:t>货物/服务/工程</w:t>
      </w:r>
      <w:r>
        <w:rPr>
          <w:rFonts w:hint="eastAsia" w:ascii="宋体" w:hAnsi="宋体" w:cs="宋体"/>
          <w:color w:val="auto"/>
          <w:szCs w:val="21"/>
          <w:lang w:eastAsia="zh-CN"/>
        </w:rPr>
        <w:t>谈判</w:t>
      </w:r>
      <w:r>
        <w:rPr>
          <w:rFonts w:hint="eastAsia" w:ascii="宋体" w:hAnsi="宋体" w:eastAsia="宋体" w:cs="宋体"/>
          <w:color w:val="auto"/>
          <w:szCs w:val="21"/>
        </w:rPr>
        <w:t>程序和合同条款。</w:t>
      </w:r>
      <w:r>
        <w:rPr>
          <w:rFonts w:hint="eastAsia" w:ascii="宋体" w:hAnsi="宋体" w:cs="宋体"/>
          <w:color w:val="auto"/>
          <w:szCs w:val="21"/>
          <w:lang w:eastAsia="zh-CN"/>
        </w:rPr>
        <w:t>竞争性谈判</w:t>
      </w:r>
      <w:r>
        <w:rPr>
          <w:rFonts w:hint="eastAsia" w:ascii="宋体" w:hAnsi="宋体" w:eastAsia="宋体" w:cs="宋体"/>
          <w:color w:val="auto"/>
          <w:szCs w:val="21"/>
        </w:rPr>
        <w:t>文件</w:t>
      </w:r>
      <w:r>
        <w:rPr>
          <w:rFonts w:hint="eastAsia" w:ascii="宋体" w:hAnsi="宋体" w:eastAsia="宋体" w:cs="宋体"/>
          <w:color w:val="auto"/>
          <w:szCs w:val="21"/>
          <w:lang w:val="en-US" w:eastAsia="zh-CN"/>
        </w:rPr>
        <w:t>组成详见</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文件目录</w:t>
      </w:r>
      <w:r>
        <w:rPr>
          <w:rFonts w:hint="eastAsia" w:ascii="宋体" w:hAnsi="宋体" w:eastAsia="宋体" w:cs="宋体"/>
          <w:color w:val="auto"/>
          <w:szCs w:val="21"/>
        </w:rPr>
        <w:t>：内容，按</w:t>
      </w:r>
      <w:r>
        <w:rPr>
          <w:rFonts w:hint="eastAsia" w:ascii="宋体" w:hAnsi="宋体" w:cs="宋体"/>
          <w:color w:val="auto"/>
          <w:szCs w:val="21"/>
          <w:lang w:eastAsia="zh-CN"/>
        </w:rPr>
        <w:t>竞争性谈判</w:t>
      </w:r>
      <w:r>
        <w:rPr>
          <w:rFonts w:hint="eastAsia" w:ascii="宋体" w:hAnsi="宋体" w:eastAsia="宋体" w:cs="宋体"/>
          <w:color w:val="auto"/>
          <w:szCs w:val="21"/>
        </w:rPr>
        <w:t>文件要求提供响应文件，并保证所提供的全部资料的真实性，以使其</w:t>
      </w:r>
      <w:r>
        <w:rPr>
          <w:rFonts w:hint="eastAsia" w:ascii="宋体" w:hAnsi="宋体" w:cs="宋体"/>
          <w:color w:val="auto"/>
          <w:szCs w:val="21"/>
          <w:lang w:eastAsia="zh-CN"/>
        </w:rPr>
        <w:t>谈判</w:t>
      </w:r>
      <w:r>
        <w:rPr>
          <w:rFonts w:hint="eastAsia" w:ascii="宋体" w:hAnsi="宋体" w:eastAsia="宋体" w:cs="宋体"/>
          <w:color w:val="auto"/>
          <w:szCs w:val="21"/>
        </w:rPr>
        <w:t>对</w:t>
      </w:r>
      <w:r>
        <w:rPr>
          <w:rFonts w:hint="eastAsia" w:ascii="宋体" w:hAnsi="宋体" w:cs="宋体"/>
          <w:color w:val="auto"/>
          <w:szCs w:val="21"/>
          <w:lang w:eastAsia="zh-CN"/>
        </w:rPr>
        <w:t>竞争性谈判</w:t>
      </w:r>
      <w:r>
        <w:rPr>
          <w:rFonts w:hint="eastAsia" w:ascii="宋体" w:hAnsi="宋体" w:eastAsia="宋体" w:cs="宋体"/>
          <w:color w:val="auto"/>
          <w:szCs w:val="21"/>
        </w:rPr>
        <w:t>文件作出实质性响应，否则，其</w:t>
      </w:r>
      <w:r>
        <w:rPr>
          <w:rFonts w:hint="eastAsia" w:ascii="宋体" w:hAnsi="宋体" w:cs="宋体"/>
          <w:color w:val="auto"/>
          <w:szCs w:val="21"/>
          <w:lang w:eastAsia="zh-CN"/>
        </w:rPr>
        <w:t>谈判</w:t>
      </w:r>
      <w:r>
        <w:rPr>
          <w:rFonts w:hint="eastAsia" w:ascii="宋体" w:hAnsi="宋体" w:eastAsia="宋体" w:cs="宋体"/>
          <w:color w:val="auto"/>
          <w:szCs w:val="21"/>
        </w:rPr>
        <w:t>可能</w:t>
      </w:r>
      <w:r>
        <w:rPr>
          <w:rFonts w:hint="eastAsia" w:ascii="宋体" w:hAnsi="宋体" w:cs="宋体"/>
          <w:color w:val="auto"/>
          <w:szCs w:val="21"/>
          <w:lang w:eastAsia="zh-CN"/>
        </w:rPr>
        <w:t>被拒绝。</w:t>
      </w:r>
    </w:p>
    <w:p w14:paraId="227518E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zCs w:val="21"/>
        </w:rPr>
        <w:t>供应商应仔细阅读</w:t>
      </w:r>
      <w:r>
        <w:rPr>
          <w:rFonts w:hint="eastAsia" w:ascii="宋体" w:hAnsi="宋体" w:cs="宋体"/>
          <w:color w:val="auto"/>
          <w:szCs w:val="21"/>
          <w:lang w:eastAsia="zh-CN"/>
        </w:rPr>
        <w:t>竞争性谈判</w:t>
      </w:r>
      <w:r>
        <w:rPr>
          <w:rFonts w:hint="eastAsia" w:ascii="宋体" w:hAnsi="宋体" w:eastAsia="宋体" w:cs="宋体"/>
          <w:color w:val="auto"/>
          <w:szCs w:val="21"/>
        </w:rPr>
        <w:t>文件的所有</w:t>
      </w:r>
      <w:r>
        <w:rPr>
          <w:rFonts w:hint="eastAsia" w:ascii="宋体" w:hAnsi="宋体" w:cs="宋体"/>
          <w:color w:val="auto"/>
          <w:szCs w:val="21"/>
          <w:lang w:val="en-US" w:eastAsia="zh-CN"/>
        </w:rPr>
        <w:t>条款</w:t>
      </w:r>
      <w:r>
        <w:rPr>
          <w:rFonts w:hint="eastAsia" w:ascii="宋体" w:hAnsi="宋体" w:eastAsia="宋体" w:cs="宋体"/>
          <w:color w:val="auto"/>
          <w:szCs w:val="21"/>
        </w:rPr>
        <w:t>。</w:t>
      </w:r>
    </w:p>
    <w:p w14:paraId="3343CFA6">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竞争性谈判</w:t>
      </w:r>
      <w:r>
        <w:rPr>
          <w:rFonts w:hint="eastAsia" w:ascii="宋体" w:hAnsi="宋体" w:eastAsia="宋体" w:cs="宋体"/>
          <w:color w:val="auto"/>
          <w:highlight w:val="none"/>
        </w:rPr>
        <w:t>文件的澄清</w:t>
      </w:r>
      <w:r>
        <w:rPr>
          <w:rFonts w:hint="eastAsia" w:ascii="宋体" w:hAnsi="宋体" w:cs="宋体"/>
          <w:color w:val="auto"/>
          <w:highlight w:val="none"/>
          <w:lang w:val="en-US" w:eastAsia="zh-CN"/>
        </w:rPr>
        <w:t>和疑义</w:t>
      </w:r>
      <w:r>
        <w:rPr>
          <w:rFonts w:hint="eastAsia" w:ascii="宋体" w:hAnsi="宋体" w:eastAsia="宋体" w:cs="宋体"/>
          <w:color w:val="auto"/>
          <w:highlight w:val="none"/>
        </w:rPr>
        <w:t>：</w:t>
      </w:r>
    </w:p>
    <w:p w14:paraId="3A4D3C7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 提交首次响应文件截止之日前，采购人或者谈判小组可以对已发出的竞争性谈判文件进行必要的澄清或者修改，澄清或者修改的内容作为竞争性谈判文件的组成部分。澄清或者修改的内容可能影响响应文件编制的，采购人应当在提交首次响应文件截止时间至少1个工作日，以书面形式通知所有获取竞争性谈判文件的供应商；不足1个工作日的，采购人应当顺延提交首次响应文件截止时间。</w:t>
      </w:r>
    </w:p>
    <w:p w14:paraId="48E11331">
      <w:pPr>
        <w:keepNext w:val="0"/>
        <w:keepLines w:val="0"/>
        <w:pageBreakBefore w:val="0"/>
        <w:kinsoku/>
        <w:wordWrap/>
        <w:overflowPunct/>
        <w:topLinePunct w:val="0"/>
        <w:autoSpaceDE/>
        <w:autoSpaceDN/>
        <w:bidi w:val="0"/>
        <w:spacing w:line="432" w:lineRule="auto"/>
        <w:jc w:val="both"/>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 供应商对</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lang w:val="en-US" w:eastAsia="zh-CN"/>
        </w:rPr>
        <w:t>文件内容如有疑义</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应当在提交首次响应文件截止时间至少1个工作日，</w:t>
      </w:r>
      <w:r>
        <w:rPr>
          <w:rFonts w:hint="eastAsia" w:ascii="宋体" w:hAnsi="宋体" w:cs="宋体"/>
          <w:color w:val="auto"/>
          <w:szCs w:val="21"/>
          <w:highlight w:val="none"/>
          <w:lang w:val="en-US" w:eastAsia="zh-CN"/>
        </w:rPr>
        <w:t>对</w:t>
      </w:r>
      <w:r>
        <w:rPr>
          <w:rFonts w:hint="eastAsia" w:ascii="宋体" w:hAnsi="宋体" w:eastAsia="宋体" w:cs="宋体"/>
          <w:color w:val="auto"/>
          <w:szCs w:val="21"/>
          <w:highlight w:val="none"/>
          <w:lang w:val="en-US" w:eastAsia="zh-CN"/>
        </w:rPr>
        <w:t>疑义</w:t>
      </w:r>
      <w:r>
        <w:rPr>
          <w:rFonts w:hint="eastAsia" w:ascii="宋体" w:hAnsi="宋体" w:cs="宋体"/>
          <w:color w:val="auto"/>
          <w:szCs w:val="21"/>
          <w:highlight w:val="none"/>
          <w:lang w:val="en-US" w:eastAsia="zh-CN"/>
        </w:rPr>
        <w:t>的内容</w:t>
      </w:r>
      <w:r>
        <w:rPr>
          <w:rFonts w:hint="eastAsia" w:ascii="宋体" w:hAnsi="宋体" w:eastAsia="宋体" w:cs="宋体"/>
          <w:color w:val="auto"/>
          <w:szCs w:val="21"/>
          <w:highlight w:val="none"/>
          <w:lang w:val="en-US" w:eastAsia="zh-CN"/>
        </w:rPr>
        <w:t>以书面形式</w:t>
      </w:r>
      <w:r>
        <w:rPr>
          <w:rFonts w:hint="eastAsia" w:ascii="宋体" w:hAnsi="宋体" w:cs="宋体"/>
          <w:color w:val="auto"/>
          <w:szCs w:val="21"/>
          <w:highlight w:val="none"/>
          <w:lang w:val="en-US" w:eastAsia="zh-CN"/>
        </w:rPr>
        <w:t>（加盖供应商公章）交由采购人，</w:t>
      </w:r>
      <w:r>
        <w:rPr>
          <w:rFonts w:hint="eastAsia" w:ascii="宋体" w:hAnsi="宋体" w:eastAsia="宋体" w:cs="宋体"/>
          <w:color w:val="auto"/>
          <w:szCs w:val="21"/>
          <w:highlight w:val="none"/>
          <w:lang w:val="en-US" w:eastAsia="zh-CN"/>
        </w:rPr>
        <w:t>采购人</w:t>
      </w:r>
      <w:r>
        <w:rPr>
          <w:rFonts w:hint="eastAsia" w:ascii="宋体" w:hAnsi="宋体" w:cs="宋体"/>
          <w:color w:val="auto"/>
          <w:szCs w:val="21"/>
          <w:highlight w:val="none"/>
          <w:lang w:val="en-US" w:eastAsia="zh-CN"/>
        </w:rPr>
        <w:t>在收到</w:t>
      </w:r>
      <w:r>
        <w:rPr>
          <w:rFonts w:hint="eastAsia" w:ascii="宋体" w:hAnsi="宋体" w:eastAsia="宋体" w:cs="宋体"/>
          <w:color w:val="auto"/>
          <w:szCs w:val="21"/>
          <w:highlight w:val="none"/>
          <w:lang w:val="en-US" w:eastAsia="zh-CN"/>
        </w:rPr>
        <w:t>疑义1个工作日</w:t>
      </w:r>
      <w:r>
        <w:rPr>
          <w:rFonts w:hint="eastAsia" w:ascii="宋体" w:hAnsi="宋体" w:cs="宋体"/>
          <w:color w:val="auto"/>
          <w:szCs w:val="21"/>
          <w:highlight w:val="none"/>
          <w:lang w:val="en-US" w:eastAsia="zh-CN"/>
        </w:rPr>
        <w:t>内对供应商</w:t>
      </w:r>
      <w:r>
        <w:rPr>
          <w:rFonts w:hint="eastAsia" w:ascii="宋体" w:hAnsi="宋体" w:cs="宋体"/>
          <w:color w:val="auto"/>
          <w:highlight w:val="none"/>
          <w:lang w:val="en-US" w:eastAsia="zh-CN"/>
        </w:rPr>
        <w:t>疑义的内容进行回复，竞争性谈判文件如需澄清或者修改的原则按6.1条进行澄清或者修改。</w:t>
      </w:r>
    </w:p>
    <w:p w14:paraId="2901CC92">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竞争性谈判</w:t>
      </w:r>
      <w:r>
        <w:rPr>
          <w:rFonts w:hint="eastAsia" w:ascii="宋体" w:hAnsi="宋体" w:eastAsia="宋体" w:cs="宋体"/>
          <w:color w:val="auto"/>
          <w:szCs w:val="21"/>
        </w:rPr>
        <w:t>文件的修改：</w:t>
      </w:r>
    </w:p>
    <w:p w14:paraId="2944740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在</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截止时间前，采购人无论出于自己的考虑，还是出于对供应商提问的澄清，均可对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文件用补充文件的方式进行修改。</w:t>
      </w:r>
    </w:p>
    <w:p w14:paraId="4411F5F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文件的修改，将以书面的形式通知已购买</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文件的供应商。补充文件将作为</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文件的组成部分，对所有供应商有约束力。</w:t>
      </w:r>
    </w:p>
    <w:p w14:paraId="2C86F51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p>
    <w:p w14:paraId="047D9FA4">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C  响应文件</w:t>
      </w:r>
      <w:r>
        <w:rPr>
          <w:rFonts w:hint="eastAsia" w:ascii="宋体" w:hAnsi="宋体" w:cs="宋体"/>
          <w:b/>
          <w:bCs/>
          <w:color w:val="auto"/>
          <w:szCs w:val="21"/>
          <w:lang w:val="en-US" w:eastAsia="zh-CN"/>
        </w:rPr>
        <w:t>编制和</w:t>
      </w:r>
      <w:r>
        <w:rPr>
          <w:rFonts w:hint="eastAsia" w:ascii="宋体" w:hAnsi="宋体" w:eastAsia="宋体" w:cs="宋体"/>
          <w:b/>
          <w:bCs/>
          <w:color w:val="auto"/>
          <w:szCs w:val="21"/>
        </w:rPr>
        <w:t>递交</w:t>
      </w:r>
    </w:p>
    <w:p w14:paraId="4157D5CB">
      <w:pPr>
        <w:spacing w:line="360" w:lineRule="auto"/>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响应文件编制要求及报价要求</w:t>
      </w:r>
    </w:p>
    <w:p w14:paraId="2276BD7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8.1</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语言及计量单位：</w:t>
      </w:r>
    </w:p>
    <w:p w14:paraId="69DE334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1.1响应文件及</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和采购人就</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交换的文件和来往信件，应以中文书写。</w:t>
      </w:r>
    </w:p>
    <w:p w14:paraId="6195A70B">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1.2除在</w:t>
      </w:r>
      <w:r>
        <w:rPr>
          <w:rFonts w:hint="eastAsia" w:ascii="宋体" w:hAnsi="宋体" w:cs="宋体"/>
          <w:b w:val="0"/>
          <w:bCs/>
          <w:color w:val="auto"/>
          <w:szCs w:val="21"/>
          <w:lang w:eastAsia="zh-CN"/>
        </w:rPr>
        <w:t>竞争性谈判</w:t>
      </w:r>
      <w:r>
        <w:rPr>
          <w:rFonts w:hint="eastAsia" w:ascii="宋体" w:hAnsi="宋体" w:eastAsia="宋体" w:cs="宋体"/>
          <w:b w:val="0"/>
          <w:bCs/>
          <w:color w:val="auto"/>
          <w:szCs w:val="21"/>
        </w:rPr>
        <w:t>文件的技术规格中另有规定外，计量单位应使用中华人民共和国法定</w:t>
      </w:r>
    </w:p>
    <w:p w14:paraId="245A8363">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rPr>
        <w:t>计量单位。</w:t>
      </w:r>
    </w:p>
    <w:p w14:paraId="151DA103">
      <w:pPr>
        <w:pStyle w:val="33"/>
        <w:spacing w:after="0" w:line="360" w:lineRule="auto"/>
        <w:ind w:firstLine="0" w:firstLineChars="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8.2</w:t>
      </w:r>
      <w:r>
        <w:rPr>
          <w:rFonts w:hint="eastAsia" w:ascii="宋体" w:hAnsi="宋体" w:eastAsia="宋体" w:cs="宋体"/>
          <w:b w:val="0"/>
          <w:bCs/>
          <w:color w:val="auto"/>
          <w:szCs w:val="21"/>
        </w:rPr>
        <w:t>响应文件的编制</w:t>
      </w:r>
    </w:p>
    <w:p w14:paraId="2D46AAE6">
      <w:pPr>
        <w:pStyle w:val="33"/>
        <w:spacing w:after="0" w:line="36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2.1响应文件应采用本</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文件的“响应文件格式文本”。</w:t>
      </w:r>
    </w:p>
    <w:p w14:paraId="1D295E55">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 响应报价要求：</w:t>
      </w:r>
    </w:p>
    <w:p w14:paraId="265716DF">
      <w:pPr>
        <w:spacing w:line="360" w:lineRule="auto"/>
        <w:jc w:val="both"/>
        <w:rPr>
          <w:rFonts w:hint="eastAsia" w:ascii="宋体" w:hAnsi="宋体" w:eastAsia="宋体" w:cs="宋体"/>
          <w:color w:val="auto"/>
          <w:lang w:eastAsia="zh-CN"/>
        </w:rPr>
      </w:pPr>
      <w:r>
        <w:rPr>
          <w:rFonts w:hint="eastAsia" w:ascii="宋体" w:hAnsi="宋体" w:eastAsia="宋体" w:cs="宋体"/>
          <w:color w:val="auto"/>
          <w:lang w:val="en-US" w:eastAsia="zh-CN"/>
        </w:rPr>
        <w:t>8.</w:t>
      </w:r>
      <w:r>
        <w:rPr>
          <w:rFonts w:hint="eastAsia" w:ascii="宋体" w:hAnsi="宋体" w:eastAsia="宋体" w:cs="宋体"/>
          <w:color w:val="auto"/>
        </w:rPr>
        <w:t>3.1供应商应按响应文件报价表格式，填写</w:t>
      </w:r>
      <w:r>
        <w:rPr>
          <w:rFonts w:hint="eastAsia" w:ascii="宋体" w:hAnsi="宋体" w:eastAsia="宋体" w:cs="宋体"/>
          <w:color w:val="auto"/>
          <w:lang w:eastAsia="zh-CN"/>
        </w:rPr>
        <w:t>服务</w:t>
      </w:r>
      <w:r>
        <w:rPr>
          <w:rFonts w:hint="eastAsia" w:ascii="宋体" w:hAnsi="宋体" w:eastAsia="宋体" w:cs="宋体"/>
          <w:color w:val="auto"/>
        </w:rPr>
        <w:t>的单价和总价。如果单价与总价有出入，以单价为准。如果大写金额与小写金额有出入，以大写金额为准</w:t>
      </w:r>
      <w:r>
        <w:rPr>
          <w:rFonts w:hint="eastAsia" w:ascii="宋体" w:hAnsi="宋体" w:eastAsia="宋体" w:cs="宋体"/>
          <w:color w:val="auto"/>
          <w:lang w:eastAsia="zh-CN"/>
        </w:rPr>
        <w:t>。</w:t>
      </w:r>
    </w:p>
    <w:p w14:paraId="2D4511EF">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3.2供应商按上述3.1款要求填写报价供采购人评审，但不限制采购人以其他方式签订合同的</w:t>
      </w:r>
      <w:r>
        <w:rPr>
          <w:rFonts w:hint="eastAsia" w:ascii="宋体" w:hAnsi="宋体" w:cs="宋体"/>
          <w:color w:val="auto"/>
          <w:lang w:val="en-US" w:eastAsia="zh-CN"/>
        </w:rPr>
        <w:t>权利</w:t>
      </w:r>
      <w:r>
        <w:rPr>
          <w:rFonts w:hint="eastAsia" w:ascii="宋体" w:hAnsi="宋体" w:eastAsia="宋体" w:cs="宋体"/>
          <w:color w:val="auto"/>
        </w:rPr>
        <w:t>。</w:t>
      </w:r>
    </w:p>
    <w:p w14:paraId="53021ED9">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 xml:space="preserve">4. </w:t>
      </w:r>
      <w:r>
        <w:rPr>
          <w:rFonts w:hint="eastAsia" w:ascii="宋体" w:hAnsi="宋体" w:cs="宋体"/>
          <w:color w:val="auto"/>
          <w:lang w:eastAsia="zh-CN"/>
        </w:rPr>
        <w:t>谈判</w:t>
      </w:r>
      <w:r>
        <w:rPr>
          <w:rFonts w:hint="eastAsia" w:ascii="宋体" w:hAnsi="宋体" w:eastAsia="宋体" w:cs="宋体"/>
          <w:color w:val="auto"/>
        </w:rPr>
        <w:t>货币：</w:t>
      </w:r>
    </w:p>
    <w:p w14:paraId="0FBE1792">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4.1供应商一律用人民币填报。</w:t>
      </w:r>
    </w:p>
    <w:p w14:paraId="3DD4EF9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5.供应商资格证明的证明文件：</w:t>
      </w:r>
    </w:p>
    <w:p w14:paraId="7D5109B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5.1供应商必须提交证明其有资格进行</w:t>
      </w:r>
      <w:r>
        <w:rPr>
          <w:rFonts w:hint="eastAsia" w:ascii="宋体" w:hAnsi="宋体" w:cs="宋体"/>
          <w:color w:val="auto"/>
          <w:lang w:eastAsia="zh-CN"/>
        </w:rPr>
        <w:t>谈判</w:t>
      </w:r>
      <w:r>
        <w:rPr>
          <w:rFonts w:hint="eastAsia" w:ascii="宋体" w:hAnsi="宋体" w:eastAsia="宋体" w:cs="宋体"/>
          <w:color w:val="auto"/>
        </w:rPr>
        <w:t>和有能力履行合同的文件，作为响应文件的部分。</w:t>
      </w:r>
    </w:p>
    <w:p w14:paraId="50B8F3B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w:t>
      </w:r>
    </w:p>
    <w:p w14:paraId="6611854F">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从</w:t>
      </w:r>
      <w:r>
        <w:rPr>
          <w:rFonts w:hint="eastAsia" w:ascii="宋体" w:hAnsi="宋体" w:cs="宋体"/>
          <w:color w:val="auto"/>
          <w:highlight w:val="none"/>
          <w:lang w:eastAsia="zh-CN"/>
        </w:rPr>
        <w:t>谈判</w:t>
      </w:r>
      <w:r>
        <w:rPr>
          <w:rFonts w:hint="eastAsia" w:ascii="宋体" w:hAnsi="宋体" w:eastAsia="宋体" w:cs="宋体"/>
          <w:color w:val="auto"/>
          <w:highlight w:val="none"/>
        </w:rPr>
        <w:t>之日起，</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有效期为90天，特殊项目在</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文件第五章</w:t>
      </w:r>
      <w:r>
        <w:rPr>
          <w:rFonts w:hint="eastAsia" w:ascii="宋体" w:hAnsi="宋体" w:eastAsia="宋体" w:cs="宋体"/>
          <w:color w:val="auto"/>
          <w:highlight w:val="none"/>
        </w:rPr>
        <w:t>另行规定。</w:t>
      </w:r>
    </w:p>
    <w:p w14:paraId="292742D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8.7</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的签署及规定：</w:t>
      </w:r>
    </w:p>
    <w:p w14:paraId="6D1B6BAE">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8.7.1</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正本一份、副本</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份，在每一份</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上要明确注明“正本”或“副本”字样，一旦正本和副本有差异，以正本为准。</w:t>
      </w:r>
    </w:p>
    <w:p w14:paraId="4CBE5441">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正</w:t>
      </w:r>
      <w:r>
        <w:rPr>
          <w:rFonts w:hint="eastAsia" w:ascii="宋体" w:hAnsi="宋体" w:eastAsia="宋体" w:cs="宋体"/>
          <w:color w:val="auto"/>
          <w:highlight w:val="none"/>
          <w:lang w:eastAsia="zh-CN"/>
        </w:rPr>
        <w:t>本</w:t>
      </w:r>
      <w:r>
        <w:rPr>
          <w:rFonts w:hint="eastAsia" w:ascii="宋体" w:hAnsi="宋体" w:eastAsia="宋体" w:cs="宋体"/>
          <w:color w:val="auto"/>
          <w:highlight w:val="none"/>
          <w:lang w:val="en-US" w:eastAsia="zh-CN"/>
        </w:rPr>
        <w:t>和副本</w:t>
      </w:r>
      <w:r>
        <w:rPr>
          <w:rFonts w:hint="eastAsia" w:ascii="宋体" w:hAnsi="宋体" w:eastAsia="宋体" w:cs="宋体"/>
          <w:color w:val="auto"/>
          <w:highlight w:val="none"/>
        </w:rPr>
        <w:t>须按</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w:t>
      </w:r>
      <w:r>
        <w:rPr>
          <w:rFonts w:hint="eastAsia" w:ascii="宋体" w:hAnsi="宋体" w:cs="宋体"/>
          <w:color w:val="auto"/>
          <w:highlight w:val="none"/>
          <w:lang w:val="en-US" w:eastAsia="zh-CN"/>
        </w:rPr>
        <w:t>第八章</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要求编制及打印，并按照响应文件格式规定签章处由</w:t>
      </w:r>
      <w:r>
        <w:rPr>
          <w:rFonts w:hint="eastAsia" w:ascii="宋体" w:hAnsi="宋体" w:eastAsia="宋体" w:cs="宋体"/>
          <w:color w:val="auto"/>
          <w:highlight w:val="none"/>
        </w:rPr>
        <w:t>法定代表人签字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lang w:val="en-US" w:eastAsia="zh-CN"/>
        </w:rPr>
        <w:t>法</w:t>
      </w:r>
      <w:r>
        <w:rPr>
          <w:rFonts w:hint="eastAsia" w:ascii="宋体" w:hAnsi="宋体" w:eastAsia="宋体" w:cs="宋体"/>
          <w:color w:val="auto"/>
          <w:highlight w:val="none"/>
        </w:rPr>
        <w:t>定代表人或法定代表人授权委托代理人签字</w:t>
      </w:r>
      <w:r>
        <w:rPr>
          <w:rFonts w:hint="eastAsia" w:ascii="宋体" w:hAnsi="宋体" w:eastAsia="宋体" w:cs="宋体"/>
          <w:color w:val="auto"/>
          <w:highlight w:val="none"/>
          <w:lang w:eastAsia="zh-CN"/>
        </w:rPr>
        <w:t>或盖章，并</w:t>
      </w:r>
      <w:r>
        <w:rPr>
          <w:rFonts w:hint="eastAsia" w:ascii="宋体" w:hAnsi="宋体" w:eastAsia="宋体" w:cs="宋体"/>
          <w:color w:val="auto"/>
          <w:highlight w:val="none"/>
        </w:rPr>
        <w:t>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val="en-US" w:eastAsia="zh-CN"/>
        </w:rPr>
        <w:t>注响应文件</w:t>
      </w:r>
      <w:r>
        <w:rPr>
          <w:rFonts w:hint="eastAsia" w:ascii="宋体" w:hAnsi="宋体" w:cs="宋体"/>
          <w:b/>
          <w:bCs/>
          <w:color w:val="auto"/>
          <w:highlight w:val="none"/>
          <w:lang w:val="en-US" w:eastAsia="zh-CN"/>
        </w:rPr>
        <w:t>正本及</w:t>
      </w:r>
      <w:r>
        <w:rPr>
          <w:rFonts w:hint="eastAsia" w:ascii="宋体" w:hAnsi="宋体" w:eastAsia="宋体" w:cs="宋体"/>
          <w:b/>
          <w:bCs/>
          <w:color w:val="auto"/>
          <w:highlight w:val="none"/>
          <w:lang w:val="en-US" w:eastAsia="zh-CN"/>
        </w:rPr>
        <w:t>副本可以是按规定签署已完成的响应文件</w:t>
      </w:r>
      <w:r>
        <w:rPr>
          <w:rFonts w:hint="eastAsia" w:ascii="宋体" w:hAnsi="宋体" w:cs="宋体"/>
          <w:b/>
          <w:bCs/>
          <w:color w:val="auto"/>
          <w:highlight w:val="none"/>
          <w:lang w:val="en-US" w:eastAsia="zh-CN"/>
        </w:rPr>
        <w:t>的</w:t>
      </w:r>
      <w:r>
        <w:rPr>
          <w:rFonts w:hint="eastAsia" w:ascii="宋体" w:hAnsi="宋体" w:eastAsia="宋体" w:cs="宋体"/>
          <w:b/>
          <w:bCs/>
          <w:color w:val="auto"/>
          <w:highlight w:val="none"/>
          <w:lang w:val="en-US" w:eastAsia="zh-CN"/>
        </w:rPr>
        <w:t>复印件或扫描件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p>
    <w:p w14:paraId="1BB49959">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对错处作必要的修改外，</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中不许有加行、涂抹或改写。若有修改须由签署</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的法定代表人或法定代表人授权委托代理人签字或盖章。</w:t>
      </w:r>
    </w:p>
    <w:p w14:paraId="5187E0D2">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电报、电话、传真形式的响应概不接受。</w:t>
      </w:r>
    </w:p>
    <w:p w14:paraId="6051DC8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的份数及密封</w:t>
      </w:r>
    </w:p>
    <w:p w14:paraId="741A3C3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数量：</w:t>
      </w:r>
    </w:p>
    <w:p w14:paraId="5CB3CC5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：纸质文件</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份（正本一份，副本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w:t>
      </w:r>
    </w:p>
    <w:p w14:paraId="3FBB74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密封：</w:t>
      </w:r>
    </w:p>
    <w:p w14:paraId="3D332DA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份）作为一个包封袋包封</w:t>
      </w:r>
      <w:r>
        <w:rPr>
          <w:rFonts w:hint="eastAsia" w:ascii="宋体" w:hAnsi="宋体" w:eastAsia="宋体" w:cs="宋体"/>
          <w:color w:val="auto"/>
          <w:szCs w:val="21"/>
          <w:highlight w:val="none"/>
          <w:lang w:eastAsia="zh-CN"/>
        </w:rPr>
        <w:t>。</w:t>
      </w:r>
    </w:p>
    <w:p w14:paraId="666258C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FF0000"/>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共计</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个包封袋。包封袋密封时按照</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lang w:eastAsia="zh-CN"/>
        </w:rPr>
        <w:t>文件</w:t>
      </w:r>
      <w:r>
        <w:rPr>
          <w:rFonts w:hint="eastAsia" w:ascii="宋体" w:hAnsi="宋体" w:cs="宋体"/>
          <w:color w:val="auto"/>
          <w:szCs w:val="21"/>
          <w:highlight w:val="none"/>
          <w:lang w:eastAsia="zh-CN"/>
        </w:rPr>
        <w:t>第八章</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格式中的包</w:t>
      </w:r>
      <w:r>
        <w:rPr>
          <w:rFonts w:hint="eastAsia" w:ascii="宋体" w:hAnsi="宋体" w:eastAsia="宋体" w:cs="宋体"/>
          <w:color w:val="auto"/>
          <w:highlight w:val="none"/>
        </w:rPr>
        <w:t>封袋的外封格式加盖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单位公章（鲜章）。</w:t>
      </w:r>
    </w:p>
    <w:p w14:paraId="6625846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注：</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或其推选的代表检查</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密封情况时，需按照上述要求检查，不得以其他要求作为</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密封情况检查标准。</w:t>
      </w:r>
    </w:p>
    <w:p w14:paraId="71E937A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szCs w:val="21"/>
        </w:rPr>
      </w:pPr>
      <w:r>
        <w:rPr>
          <w:rFonts w:hint="eastAsia" w:ascii="宋体" w:hAnsi="宋体" w:eastAsia="宋体" w:cs="宋体"/>
          <w:bCs/>
          <w:color w:val="auto"/>
        </w:rPr>
        <w:t>10</w:t>
      </w:r>
      <w:r>
        <w:rPr>
          <w:rFonts w:hint="eastAsia" w:ascii="宋体" w:hAnsi="宋体" w:eastAsia="宋体" w:cs="宋体"/>
          <w:bCs/>
          <w:color w:val="auto"/>
          <w:lang w:val="en-US" w:eastAsia="zh-CN"/>
        </w:rPr>
        <w:t>.</w:t>
      </w:r>
      <w:r>
        <w:rPr>
          <w:rFonts w:hint="eastAsia" w:ascii="宋体" w:hAnsi="宋体" w:eastAsia="宋体" w:cs="宋体"/>
          <w:bCs/>
          <w:color w:val="auto"/>
        </w:rPr>
        <w:t>每一密封包封上注明</w:t>
      </w:r>
      <w:r>
        <w:rPr>
          <w:rFonts w:hint="eastAsia" w:ascii="宋体" w:hAnsi="宋体" w:eastAsia="宋体" w:cs="宋体"/>
          <w:bCs/>
          <w:color w:val="auto"/>
          <w:shd w:val="clear" w:color="auto" w:fill="auto"/>
        </w:rPr>
        <w:t>“于</w:t>
      </w:r>
      <w:r>
        <w:rPr>
          <w:rFonts w:hint="eastAsia" w:ascii="宋体" w:hAnsi="宋体" w:cs="宋体"/>
          <w:bCs/>
          <w:color w:val="auto"/>
          <w:shd w:val="clear" w:color="auto" w:fill="auto"/>
          <w:lang w:val="en-US" w:eastAsia="zh-CN"/>
        </w:rPr>
        <w:t xml:space="preserve">    分</w:t>
      </w:r>
      <w:r>
        <w:rPr>
          <w:rFonts w:hint="eastAsia" w:ascii="宋体" w:hAnsi="宋体" w:eastAsia="宋体" w:cs="宋体"/>
          <w:bCs/>
          <w:color w:val="auto"/>
          <w:shd w:val="clear" w:color="auto" w:fill="auto"/>
        </w:rPr>
        <w:t>之前</w:t>
      </w:r>
      <w:r>
        <w:rPr>
          <w:rFonts w:hint="eastAsia" w:ascii="宋体" w:hAnsi="宋体" w:eastAsia="宋体" w:cs="宋体"/>
          <w:bCs/>
          <w:color w:val="auto"/>
        </w:rPr>
        <w:t>（指</w:t>
      </w:r>
      <w:r>
        <w:rPr>
          <w:rFonts w:hint="eastAsia" w:ascii="宋体" w:hAnsi="宋体" w:cs="宋体"/>
          <w:bCs/>
          <w:color w:val="auto"/>
          <w:lang w:eastAsia="zh-CN"/>
        </w:rPr>
        <w:t>采购公告</w:t>
      </w:r>
      <w:r>
        <w:rPr>
          <w:rFonts w:hint="eastAsia" w:ascii="宋体" w:hAnsi="宋体" w:eastAsia="宋体" w:cs="宋体"/>
          <w:bCs/>
          <w:color w:val="auto"/>
        </w:rPr>
        <w:t>中规定的</w:t>
      </w:r>
      <w:r>
        <w:rPr>
          <w:rFonts w:hint="eastAsia" w:ascii="宋体" w:hAnsi="宋体" w:cs="宋体"/>
          <w:bCs/>
          <w:color w:val="auto"/>
          <w:lang w:eastAsia="zh-CN"/>
        </w:rPr>
        <w:t>谈判</w:t>
      </w:r>
      <w:r>
        <w:rPr>
          <w:rFonts w:hint="eastAsia" w:ascii="宋体" w:hAnsi="宋体" w:eastAsia="宋体" w:cs="宋体"/>
          <w:bCs/>
          <w:color w:val="auto"/>
        </w:rPr>
        <w:t>日期及时间）不</w:t>
      </w:r>
      <w:r>
        <w:rPr>
          <w:rFonts w:hint="eastAsia" w:ascii="宋体" w:hAnsi="宋体" w:eastAsia="宋体" w:cs="宋体"/>
          <w:bCs/>
          <w:color w:val="auto"/>
          <w:szCs w:val="21"/>
        </w:rPr>
        <w:t>准启封”的字样。</w:t>
      </w:r>
    </w:p>
    <w:p w14:paraId="14E8FDD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lang w:eastAsia="zh-CN"/>
        </w:rPr>
      </w:pPr>
      <w:r>
        <w:rPr>
          <w:rFonts w:hint="eastAsia" w:ascii="宋体" w:hAnsi="宋体" w:eastAsia="宋体" w:cs="宋体"/>
          <w:bCs/>
          <w:color w:val="auto"/>
          <w:szCs w:val="21"/>
        </w:rPr>
        <w:t>11</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响应文件由</w:t>
      </w:r>
      <w:r>
        <w:rPr>
          <w:rFonts w:hint="eastAsia" w:ascii="宋体" w:hAnsi="宋体" w:eastAsia="宋体" w:cs="宋体"/>
          <w:bCs/>
          <w:color w:val="auto"/>
          <w:lang w:val="en-US" w:eastAsia="zh-CN"/>
        </w:rPr>
        <w:t>供应商的法定代表人或法定代表人授权委托代理人</w:t>
      </w:r>
      <w:r>
        <w:rPr>
          <w:rFonts w:hint="eastAsia" w:ascii="宋体" w:hAnsi="宋体" w:eastAsia="宋体" w:cs="宋体"/>
          <w:bCs/>
          <w:color w:val="auto"/>
        </w:rPr>
        <w:t>送交，供应商应将响应文件按</w:t>
      </w:r>
      <w:r>
        <w:rPr>
          <w:rFonts w:hint="eastAsia" w:ascii="宋体" w:hAnsi="宋体" w:cs="宋体"/>
          <w:bCs/>
          <w:color w:val="auto"/>
          <w:lang w:val="en-US" w:eastAsia="zh-CN"/>
        </w:rPr>
        <w:t>9</w:t>
      </w:r>
      <w:r>
        <w:rPr>
          <w:rFonts w:hint="eastAsia" w:ascii="宋体" w:hAnsi="宋体" w:eastAsia="宋体" w:cs="宋体"/>
          <w:bCs/>
          <w:color w:val="auto"/>
          <w:lang w:val="en-US" w:eastAsia="zh-CN"/>
        </w:rPr>
        <w:t>至</w:t>
      </w:r>
      <w:r>
        <w:rPr>
          <w:rFonts w:hint="eastAsia" w:ascii="宋体" w:hAnsi="宋体" w:eastAsia="宋体" w:cs="宋体"/>
          <w:bCs/>
          <w:color w:val="auto"/>
        </w:rPr>
        <w:t>1</w:t>
      </w:r>
      <w:r>
        <w:rPr>
          <w:rFonts w:hint="eastAsia" w:ascii="宋体" w:hAnsi="宋体" w:eastAsia="宋体" w:cs="宋体"/>
          <w:bCs/>
          <w:color w:val="auto"/>
          <w:lang w:val="en-US" w:eastAsia="zh-CN"/>
        </w:rPr>
        <w:t>0</w:t>
      </w:r>
      <w:r>
        <w:rPr>
          <w:rFonts w:hint="eastAsia" w:ascii="宋体" w:hAnsi="宋体" w:eastAsia="宋体" w:cs="宋体"/>
          <w:bCs/>
          <w:color w:val="auto"/>
        </w:rPr>
        <w:t>中的规定进行密封和标记</w:t>
      </w:r>
      <w:r>
        <w:rPr>
          <w:rFonts w:hint="eastAsia" w:ascii="宋体" w:hAnsi="宋体" w:cs="宋体"/>
          <w:bCs/>
          <w:color w:val="auto"/>
          <w:lang w:eastAsia="zh-CN"/>
        </w:rPr>
        <w:t>。</w:t>
      </w:r>
    </w:p>
    <w:p w14:paraId="4478CE1D">
      <w:pPr>
        <w:pStyle w:val="59"/>
        <w:keepNext w:val="0"/>
        <w:keepLines w:val="0"/>
        <w:pageBreakBefore w:val="0"/>
        <w:widowControl w:val="0"/>
        <w:numPr>
          <w:ilvl w:val="0"/>
          <w:numId w:val="0"/>
        </w:numPr>
        <w:tabs>
          <w:tab w:val="left" w:pos="629"/>
        </w:tabs>
        <w:kinsoku/>
        <w:wordWrap/>
        <w:overflowPunct/>
        <w:topLinePunct w:val="0"/>
        <w:autoSpaceDE/>
        <w:autoSpaceDN/>
        <w:bidi w:val="0"/>
        <w:adjustRightInd/>
        <w:snapToGrid/>
        <w:spacing w:before="71" w:after="0" w:line="432" w:lineRule="auto"/>
        <w:ind w:right="0" w:rightChars="0"/>
        <w:jc w:val="both"/>
        <w:textAlignment w:val="auto"/>
        <w:rPr>
          <w:rFonts w:hint="eastAsia" w:ascii="宋体" w:hAnsi="宋体" w:eastAsia="宋体" w:cs="宋体"/>
          <w:b/>
          <w:bCs w:val="0"/>
          <w:strike w:val="0"/>
          <w:color w:val="auto"/>
          <w:sz w:val="21"/>
        </w:rPr>
      </w:pPr>
      <w:r>
        <w:rPr>
          <w:rFonts w:hint="eastAsia" w:ascii="宋体" w:hAnsi="宋体" w:eastAsia="宋体" w:cs="宋体"/>
          <w:b/>
          <w:bCs w:val="0"/>
          <w:color w:val="auto"/>
          <w:lang w:val="en-US" w:eastAsia="zh-CN"/>
        </w:rPr>
        <w:t>11.1</w:t>
      </w:r>
      <w:r>
        <w:rPr>
          <w:rFonts w:hint="eastAsia" w:ascii="宋体" w:hAnsi="宋体" w:eastAsia="宋体" w:cs="宋体"/>
          <w:b/>
          <w:bCs w:val="0"/>
          <w:color w:val="auto"/>
          <w:spacing w:val="0"/>
          <w:sz w:val="21"/>
          <w:szCs w:val="21"/>
          <w:lang w:eastAsia="zh-CN"/>
        </w:rPr>
        <w:t>供应商的法定代表人参加</w:t>
      </w:r>
      <w:r>
        <w:rPr>
          <w:rFonts w:hint="eastAsia" w:cs="宋体"/>
          <w:b/>
          <w:bCs w:val="0"/>
          <w:color w:val="auto"/>
          <w:spacing w:val="0"/>
          <w:sz w:val="21"/>
          <w:szCs w:val="21"/>
          <w:lang w:eastAsia="zh-CN"/>
        </w:rPr>
        <w:t>竞争性谈判</w:t>
      </w:r>
      <w:r>
        <w:rPr>
          <w:rFonts w:hint="eastAsia" w:ascii="宋体" w:hAnsi="宋体" w:eastAsia="宋体" w:cs="宋体"/>
          <w:b/>
          <w:bCs w:val="0"/>
          <w:color w:val="auto"/>
          <w:spacing w:val="0"/>
          <w:sz w:val="21"/>
          <w:szCs w:val="21"/>
          <w:lang w:eastAsia="zh-CN"/>
        </w:rPr>
        <w:t>及递交响应文件的需提供</w:t>
      </w:r>
      <w:r>
        <w:rPr>
          <w:rFonts w:hint="eastAsia" w:cs="宋体"/>
          <w:b/>
          <w:bCs w:val="0"/>
          <w:color w:val="auto"/>
          <w:spacing w:val="0"/>
          <w:sz w:val="21"/>
          <w:szCs w:val="21"/>
          <w:lang w:eastAsia="zh-CN"/>
        </w:rPr>
        <w:t>法定代表人</w:t>
      </w:r>
      <w:r>
        <w:rPr>
          <w:rFonts w:hint="eastAsia" w:ascii="宋体" w:hAnsi="宋体" w:eastAsia="宋体" w:cs="宋体"/>
          <w:b/>
          <w:bCs w:val="0"/>
          <w:color w:val="auto"/>
          <w:spacing w:val="0"/>
          <w:sz w:val="21"/>
          <w:szCs w:val="21"/>
          <w:lang w:eastAsia="zh-CN"/>
        </w:rPr>
        <w:t>身份证明原件及</w:t>
      </w:r>
      <w:r>
        <w:rPr>
          <w:rFonts w:hint="eastAsia" w:cs="宋体"/>
          <w:b/>
          <w:bCs w:val="0"/>
          <w:strike w:val="0"/>
          <w:dstrike w:val="0"/>
          <w:color w:val="auto"/>
          <w:spacing w:val="0"/>
          <w:sz w:val="21"/>
          <w:szCs w:val="21"/>
          <w:lang w:eastAsia="zh-CN"/>
        </w:rPr>
        <w:t>法定代表人</w:t>
      </w:r>
      <w:r>
        <w:rPr>
          <w:rFonts w:hint="eastAsia" w:ascii="宋体" w:hAnsi="宋体" w:eastAsia="宋体" w:cs="宋体"/>
          <w:b/>
          <w:bCs w:val="0"/>
          <w:strike w:val="0"/>
          <w:dstrike w:val="0"/>
          <w:color w:val="auto"/>
          <w:spacing w:val="0"/>
          <w:sz w:val="21"/>
          <w:szCs w:val="21"/>
          <w:lang w:eastAsia="zh-CN"/>
        </w:rPr>
        <w:t>身份证原件</w:t>
      </w:r>
      <w:r>
        <w:rPr>
          <w:rFonts w:hint="eastAsia" w:cs="宋体"/>
          <w:b/>
          <w:bCs w:val="0"/>
          <w:strike w:val="0"/>
          <w:dstrike w:val="0"/>
          <w:color w:val="auto"/>
          <w:spacing w:val="0"/>
          <w:sz w:val="21"/>
          <w:szCs w:val="21"/>
          <w:lang w:eastAsia="zh-CN"/>
        </w:rPr>
        <w:t>。</w:t>
      </w:r>
    </w:p>
    <w:p w14:paraId="27B03849">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color w:val="auto"/>
          <w:spacing w:val="-6"/>
          <w:sz w:val="21"/>
          <w:lang w:eastAsia="zh-CN"/>
        </w:rPr>
      </w:pPr>
      <w:r>
        <w:rPr>
          <w:rFonts w:hint="eastAsia" w:ascii="宋体" w:hAnsi="宋体" w:eastAsia="宋体" w:cs="宋体"/>
          <w:b/>
          <w:bCs/>
          <w:color w:val="auto"/>
          <w:spacing w:val="0"/>
          <w:sz w:val="21"/>
          <w:szCs w:val="21"/>
          <w:lang w:val="en-US" w:eastAsia="zh-CN"/>
        </w:rPr>
        <w:t>11.2</w:t>
      </w:r>
      <w:r>
        <w:rPr>
          <w:rFonts w:hint="eastAsia" w:ascii="宋体" w:hAnsi="宋体" w:eastAsia="宋体" w:cs="宋体"/>
          <w:b/>
          <w:bCs/>
          <w:color w:val="auto"/>
          <w:spacing w:val="0"/>
          <w:sz w:val="21"/>
          <w:szCs w:val="21"/>
          <w:lang w:eastAsia="zh-CN"/>
        </w:rPr>
        <w:t>供应商</w:t>
      </w:r>
      <w:r>
        <w:rPr>
          <w:rFonts w:hint="eastAsia" w:ascii="宋体" w:hAnsi="宋体" w:eastAsia="宋体" w:cs="宋体"/>
          <w:b/>
          <w:bCs/>
          <w:color w:val="auto"/>
          <w:spacing w:val="0"/>
          <w:sz w:val="21"/>
          <w:szCs w:val="21"/>
        </w:rPr>
        <w:t>的</w:t>
      </w:r>
      <w:r>
        <w:rPr>
          <w:rFonts w:hint="eastAsia" w:ascii="宋体" w:hAnsi="宋体" w:eastAsia="宋体" w:cs="宋体"/>
          <w:b/>
          <w:bCs/>
          <w:color w:val="auto"/>
          <w:spacing w:val="-6"/>
          <w:sz w:val="21"/>
          <w:lang w:eastAsia="zh-CN"/>
        </w:rPr>
        <w:t>法定代表人授权委托代理人参加</w:t>
      </w:r>
      <w:r>
        <w:rPr>
          <w:rFonts w:hint="eastAsia" w:ascii="宋体" w:hAnsi="宋体" w:cs="宋体"/>
          <w:b/>
          <w:bCs/>
          <w:color w:val="auto"/>
          <w:spacing w:val="-6"/>
          <w:sz w:val="21"/>
          <w:lang w:eastAsia="zh-CN"/>
        </w:rPr>
        <w:t>竞争性谈判</w:t>
      </w:r>
      <w:r>
        <w:rPr>
          <w:rFonts w:hint="eastAsia" w:ascii="宋体" w:hAnsi="宋体" w:eastAsia="宋体" w:cs="宋体"/>
          <w:b/>
          <w:bCs/>
          <w:color w:val="auto"/>
          <w:spacing w:val="-6"/>
          <w:sz w:val="21"/>
        </w:rPr>
        <w:t>及</w:t>
      </w:r>
      <w:r>
        <w:rPr>
          <w:rFonts w:hint="eastAsia" w:ascii="宋体" w:hAnsi="宋体" w:eastAsia="宋体" w:cs="宋体"/>
          <w:b/>
          <w:bCs/>
          <w:color w:val="auto"/>
          <w:spacing w:val="-6"/>
          <w:sz w:val="21"/>
          <w:lang w:eastAsia="zh-CN"/>
        </w:rPr>
        <w:t>递交响应文件</w:t>
      </w:r>
      <w:r>
        <w:rPr>
          <w:rFonts w:hint="eastAsia" w:ascii="宋体" w:hAnsi="宋体" w:eastAsia="宋体" w:cs="宋体"/>
          <w:b/>
          <w:bCs/>
          <w:color w:val="auto"/>
          <w:spacing w:val="-6"/>
          <w:sz w:val="21"/>
        </w:rPr>
        <w:t>的需提供</w:t>
      </w:r>
      <w:r>
        <w:rPr>
          <w:rFonts w:hint="eastAsia" w:ascii="宋体" w:hAnsi="宋体" w:eastAsia="宋体" w:cs="宋体"/>
          <w:b/>
          <w:bCs/>
          <w:color w:val="auto"/>
          <w:spacing w:val="-6"/>
          <w:sz w:val="21"/>
          <w:lang w:eastAsia="zh-CN"/>
        </w:rPr>
        <w:t>法定代表人授权委托书</w:t>
      </w:r>
      <w:r>
        <w:rPr>
          <w:rFonts w:hint="eastAsia" w:ascii="宋体" w:hAnsi="宋体" w:eastAsia="宋体" w:cs="宋体"/>
          <w:b/>
          <w:bCs/>
          <w:color w:val="auto"/>
          <w:spacing w:val="-6"/>
          <w:sz w:val="21"/>
        </w:rPr>
        <w:t>原件及</w:t>
      </w:r>
      <w:r>
        <w:rPr>
          <w:rFonts w:hint="eastAsia" w:ascii="宋体" w:hAnsi="宋体" w:eastAsia="宋体" w:cs="宋体"/>
          <w:b/>
          <w:bCs/>
          <w:color w:val="auto"/>
          <w:spacing w:val="-6"/>
          <w:sz w:val="21"/>
          <w:lang w:eastAsia="zh-CN"/>
        </w:rPr>
        <w:t>授权委托代理人</w:t>
      </w:r>
      <w:r>
        <w:rPr>
          <w:rFonts w:hint="eastAsia" w:ascii="宋体" w:hAnsi="宋体" w:eastAsia="宋体" w:cs="宋体"/>
          <w:b/>
          <w:bCs/>
          <w:color w:val="auto"/>
          <w:spacing w:val="-6"/>
          <w:sz w:val="21"/>
        </w:rPr>
        <w:t>身份证原件</w:t>
      </w:r>
      <w:r>
        <w:rPr>
          <w:rFonts w:hint="eastAsia" w:ascii="宋体" w:hAnsi="宋体" w:eastAsia="宋体" w:cs="宋体"/>
          <w:b/>
          <w:bCs/>
          <w:color w:val="auto"/>
          <w:spacing w:val="-6"/>
          <w:sz w:val="21"/>
          <w:lang w:eastAsia="zh-CN"/>
        </w:rPr>
        <w:t>。</w:t>
      </w:r>
    </w:p>
    <w:p w14:paraId="67D11D9B">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val="0"/>
          <w:color w:val="auto"/>
        </w:rPr>
      </w:pPr>
      <w:r>
        <w:rPr>
          <w:rFonts w:hint="eastAsia" w:ascii="宋体" w:hAnsi="宋体" w:eastAsia="宋体" w:cs="宋体"/>
          <w:b/>
          <w:bCs w:val="0"/>
          <w:color w:val="auto"/>
          <w:lang w:val="en-US" w:eastAsia="zh-CN"/>
        </w:rPr>
        <w:t>11.3供应商</w:t>
      </w:r>
      <w:r>
        <w:rPr>
          <w:rFonts w:hint="eastAsia" w:ascii="宋体" w:hAnsi="宋体" w:eastAsia="宋体" w:cs="宋体"/>
          <w:b/>
          <w:bCs w:val="0"/>
          <w:color w:val="auto"/>
        </w:rPr>
        <w:t>于</w:t>
      </w:r>
      <w:r>
        <w:rPr>
          <w:rFonts w:hint="eastAsia" w:ascii="宋体" w:hAnsi="宋体" w:cs="宋体"/>
          <w:b/>
          <w:bCs w:val="0"/>
          <w:color w:val="auto"/>
          <w:lang w:eastAsia="zh-CN"/>
        </w:rPr>
        <w:t>2025年9月</w:t>
      </w:r>
      <w:r>
        <w:rPr>
          <w:rFonts w:hint="eastAsia" w:ascii="宋体" w:hAnsi="宋体" w:cs="宋体"/>
          <w:b/>
          <w:bCs w:val="0"/>
          <w:color w:val="auto"/>
          <w:lang w:val="en-US" w:eastAsia="zh-CN"/>
        </w:rPr>
        <w:t>26</w:t>
      </w:r>
      <w:r>
        <w:rPr>
          <w:rFonts w:hint="eastAsia" w:ascii="宋体" w:hAnsi="宋体" w:cs="宋体"/>
          <w:b/>
          <w:bCs w:val="0"/>
          <w:color w:val="auto"/>
          <w:lang w:eastAsia="zh-CN"/>
        </w:rPr>
        <w:t>日</w:t>
      </w:r>
      <w:r>
        <w:rPr>
          <w:rFonts w:hint="eastAsia" w:ascii="宋体" w:hAnsi="宋体" w:cs="宋体"/>
          <w:b/>
          <w:bCs w:val="0"/>
          <w:color w:val="auto"/>
          <w:lang w:val="en-US" w:eastAsia="zh-CN"/>
        </w:rPr>
        <w:t>上午</w:t>
      </w:r>
      <w:r>
        <w:rPr>
          <w:rFonts w:hint="eastAsia" w:ascii="宋体" w:hAnsi="宋体" w:cs="宋体"/>
          <w:b/>
          <w:bCs w:val="0"/>
          <w:color w:val="auto"/>
          <w:lang w:eastAsia="zh-CN"/>
        </w:rPr>
        <w:t>10:00</w:t>
      </w:r>
      <w:r>
        <w:rPr>
          <w:rFonts w:hint="eastAsia" w:ascii="宋体" w:hAnsi="宋体" w:cs="宋体"/>
          <w:b/>
          <w:bCs w:val="0"/>
          <w:color w:val="auto"/>
          <w:lang w:val="en-US" w:eastAsia="zh-CN"/>
        </w:rPr>
        <w:t>分前</w:t>
      </w:r>
      <w:r>
        <w:rPr>
          <w:rFonts w:hint="eastAsia" w:ascii="宋体" w:hAnsi="宋体" w:eastAsia="宋体" w:cs="宋体"/>
          <w:b/>
          <w:bCs w:val="0"/>
          <w:color w:val="auto"/>
        </w:rPr>
        <w:t>将响应文件递交至</w:t>
      </w:r>
      <w:r>
        <w:rPr>
          <w:rStyle w:val="89"/>
          <w:rFonts w:hint="eastAsia" w:ascii="宋体" w:hAnsi="宋体" w:cs="宋体"/>
          <w:b/>
          <w:bCs w:val="0"/>
          <w:color w:val="auto"/>
          <w:szCs w:val="22"/>
          <w:lang w:val="en-US" w:eastAsia="zh-CN"/>
        </w:rPr>
        <w:t>贵州钟山野马寨热电有限责任公司</w:t>
      </w:r>
      <w:r>
        <w:rPr>
          <w:rFonts w:hint="eastAsia" w:ascii="宋体" w:hAnsi="宋体" w:eastAsia="宋体" w:cs="宋体"/>
          <w:b/>
          <w:bCs w:val="0"/>
          <w:color w:val="auto"/>
        </w:rPr>
        <w:t>。</w:t>
      </w:r>
    </w:p>
    <w:p w14:paraId="1E0B236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12</w:t>
      </w:r>
      <w:r>
        <w:rPr>
          <w:rFonts w:hint="eastAsia" w:ascii="宋体" w:hAnsi="宋体" w:eastAsia="宋体" w:cs="宋体"/>
          <w:bCs/>
          <w:color w:val="auto"/>
          <w:lang w:val="en-US" w:eastAsia="zh-CN"/>
        </w:rPr>
        <w:t>.</w:t>
      </w:r>
      <w:r>
        <w:rPr>
          <w:rFonts w:hint="eastAsia" w:ascii="宋体" w:hAnsi="宋体" w:eastAsia="宋体" w:cs="宋体"/>
          <w:bCs/>
          <w:color w:val="auto"/>
        </w:rPr>
        <w:t>响应文件逾期送达或者未按照</w:t>
      </w:r>
      <w:r>
        <w:rPr>
          <w:rFonts w:hint="eastAsia" w:ascii="宋体" w:hAnsi="宋体" w:cs="宋体"/>
          <w:bCs/>
          <w:color w:val="auto"/>
          <w:lang w:eastAsia="zh-CN"/>
        </w:rPr>
        <w:t>竞争性谈判</w:t>
      </w:r>
      <w:r>
        <w:rPr>
          <w:rFonts w:hint="eastAsia" w:ascii="宋体" w:hAnsi="宋体" w:eastAsia="宋体" w:cs="宋体"/>
          <w:bCs/>
          <w:color w:val="auto"/>
        </w:rPr>
        <w:t>文件要求密封的响应文件，采购人应当拒收</w:t>
      </w:r>
      <w:r>
        <w:rPr>
          <w:rFonts w:hint="eastAsia" w:ascii="宋体" w:hAnsi="宋体" w:eastAsia="宋体" w:cs="宋体"/>
          <w:bCs/>
          <w:color w:val="auto"/>
          <w:lang w:eastAsia="zh-CN"/>
        </w:rPr>
        <w:t>。</w:t>
      </w:r>
    </w:p>
    <w:p w14:paraId="1C87F71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default" w:ascii="宋体" w:hAnsi="宋体" w:eastAsia="宋体" w:cs="宋体"/>
          <w:bCs/>
          <w:color w:val="FF0000"/>
          <w:lang w:val="en-US" w:eastAsia="zh-CN"/>
        </w:rPr>
      </w:pPr>
      <w:r>
        <w:rPr>
          <w:rFonts w:hint="eastAsia" w:ascii="宋体" w:hAnsi="宋体" w:eastAsia="宋体" w:cs="宋体"/>
          <w:bCs/>
          <w:color w:val="auto"/>
        </w:rPr>
        <w:t>13．递交响应文件的截止时间：</w:t>
      </w:r>
      <w:r>
        <w:rPr>
          <w:rFonts w:hint="eastAsia" w:ascii="宋体" w:hAnsi="宋体" w:cs="宋体"/>
          <w:b/>
          <w:bCs w:val="0"/>
          <w:color w:val="auto"/>
          <w:lang w:eastAsia="zh-CN"/>
        </w:rPr>
        <w:t>2025年9月</w:t>
      </w:r>
      <w:r>
        <w:rPr>
          <w:rFonts w:hint="eastAsia" w:ascii="宋体" w:hAnsi="宋体" w:cs="宋体"/>
          <w:b/>
          <w:bCs w:val="0"/>
          <w:color w:val="auto"/>
          <w:lang w:val="en-US" w:eastAsia="zh-CN"/>
        </w:rPr>
        <w:t>26</w:t>
      </w:r>
      <w:r>
        <w:rPr>
          <w:rFonts w:hint="eastAsia" w:ascii="宋体" w:hAnsi="宋体" w:cs="宋体"/>
          <w:b/>
          <w:bCs w:val="0"/>
          <w:color w:val="auto"/>
          <w:lang w:eastAsia="zh-CN"/>
        </w:rPr>
        <w:t>日</w:t>
      </w:r>
      <w:r>
        <w:rPr>
          <w:rFonts w:hint="eastAsia" w:ascii="宋体" w:hAnsi="宋体" w:cs="宋体"/>
          <w:b/>
          <w:bCs w:val="0"/>
          <w:color w:val="auto"/>
          <w:lang w:val="en-US" w:eastAsia="zh-CN"/>
        </w:rPr>
        <w:t>上午</w:t>
      </w:r>
      <w:r>
        <w:rPr>
          <w:rFonts w:hint="eastAsia" w:ascii="宋体" w:hAnsi="宋体" w:cs="宋体"/>
          <w:b/>
          <w:bCs w:val="0"/>
          <w:color w:val="auto"/>
          <w:lang w:eastAsia="zh-CN"/>
        </w:rPr>
        <w:t>10:00</w:t>
      </w:r>
      <w:r>
        <w:rPr>
          <w:rFonts w:hint="eastAsia" w:ascii="宋体" w:hAnsi="宋体" w:cs="宋体"/>
          <w:b/>
          <w:bCs w:val="0"/>
          <w:color w:val="auto"/>
          <w:lang w:val="en-US" w:eastAsia="zh-CN"/>
        </w:rPr>
        <w:t>分。</w:t>
      </w:r>
    </w:p>
    <w:p w14:paraId="5CC39FC2">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
          <w:bCs w:val="0"/>
          <w:color w:val="FF0000"/>
          <w:szCs w:val="21"/>
        </w:rPr>
      </w:pPr>
      <w:r>
        <w:rPr>
          <w:rFonts w:hint="eastAsia" w:ascii="宋体" w:hAnsi="宋体" w:eastAsia="宋体" w:cs="宋体"/>
          <w:b/>
          <w:bCs w:val="0"/>
          <w:color w:val="auto"/>
        </w:rPr>
        <w:t>13.1</w:t>
      </w:r>
      <w:r>
        <w:rPr>
          <w:rFonts w:hint="eastAsia" w:ascii="宋体" w:hAnsi="宋体" w:eastAsia="宋体" w:cs="宋体"/>
          <w:b/>
          <w:bCs w:val="0"/>
          <w:color w:val="auto"/>
          <w:szCs w:val="21"/>
        </w:rPr>
        <w:t>供应商的法定代表人参加竞争性谈判及递交响应文件的需提供法定代表人身份证明原件及法定代表人身份证原件及复印件，供应商的法定代表人授权委托代理人参加竞争性谈判及递交响应文件的需提供法定代表人授权委托书原件及授权委托代理人身份证原件及复印件</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lang w:val="en-US" w:eastAsia="zh-CN"/>
        </w:rPr>
        <w:t>并</w:t>
      </w:r>
      <w:r>
        <w:rPr>
          <w:rFonts w:hint="eastAsia" w:ascii="宋体" w:hAnsi="宋体" w:eastAsia="宋体" w:cs="宋体"/>
          <w:b/>
          <w:bCs w:val="0"/>
          <w:color w:val="auto"/>
          <w:szCs w:val="21"/>
        </w:rPr>
        <w:t>于</w:t>
      </w:r>
      <w:r>
        <w:rPr>
          <w:rFonts w:hint="eastAsia" w:ascii="宋体" w:hAnsi="宋体" w:cs="宋体"/>
          <w:b/>
          <w:bCs w:val="0"/>
          <w:color w:val="auto"/>
          <w:szCs w:val="21"/>
          <w:lang w:val="en-US" w:eastAsia="zh-CN"/>
        </w:rPr>
        <w:t>2025年9月26日10:00时</w:t>
      </w:r>
      <w:r>
        <w:rPr>
          <w:rFonts w:hint="eastAsia" w:ascii="宋体" w:hAnsi="宋体" w:eastAsia="宋体" w:cs="宋体"/>
          <w:b/>
          <w:bCs w:val="0"/>
          <w:color w:val="auto"/>
          <w:szCs w:val="21"/>
        </w:rPr>
        <w:t>（</w:t>
      </w:r>
      <w:r>
        <w:rPr>
          <w:rFonts w:hint="eastAsia" w:ascii="宋体" w:hAnsi="宋体" w:cs="宋体"/>
          <w:b/>
          <w:bCs w:val="0"/>
          <w:color w:val="auto"/>
          <w:szCs w:val="21"/>
          <w:lang w:val="en-US" w:eastAsia="zh-CN"/>
        </w:rPr>
        <w:t>响应文件递交截止</w:t>
      </w:r>
      <w:r>
        <w:rPr>
          <w:rFonts w:hint="eastAsia" w:ascii="宋体" w:hAnsi="宋体" w:eastAsia="宋体" w:cs="宋体"/>
          <w:b/>
          <w:bCs w:val="0"/>
          <w:color w:val="auto"/>
          <w:szCs w:val="21"/>
        </w:rPr>
        <w:t>时间）前将响应文件递交至</w:t>
      </w:r>
      <w:r>
        <w:rPr>
          <w:rFonts w:hint="eastAsia" w:ascii="宋体" w:hAnsi="宋体" w:eastAsia="宋体" w:cs="宋体"/>
          <w:b/>
          <w:bCs w:val="0"/>
          <w:color w:val="auto"/>
          <w:szCs w:val="21"/>
          <w:lang w:val="en-US" w:eastAsia="zh-CN"/>
        </w:rPr>
        <w:t>贵州钟山野马寨热电有限责任公司（</w:t>
      </w:r>
      <w:r>
        <w:rPr>
          <w:rFonts w:hint="eastAsia" w:ascii="宋体" w:hAnsi="宋体" w:eastAsia="宋体" w:cs="宋体"/>
          <w:b/>
          <w:bCs w:val="0"/>
          <w:color w:val="auto"/>
          <w:szCs w:val="21"/>
          <w:lang w:eastAsia="zh-CN"/>
        </w:rPr>
        <w:t>贵州省六盘水市</w:t>
      </w:r>
      <w:r>
        <w:rPr>
          <w:rFonts w:hint="eastAsia" w:ascii="宋体" w:hAnsi="宋体" w:eastAsia="宋体" w:cs="宋体"/>
          <w:b/>
          <w:bCs w:val="0"/>
          <w:color w:val="auto"/>
          <w:szCs w:val="21"/>
          <w:lang w:val="en-US" w:eastAsia="zh-CN"/>
        </w:rPr>
        <w:t>钟山区汪家寨镇新塘村</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w:t>
      </w:r>
    </w:p>
    <w:p w14:paraId="765549CB">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14．迟交的响应文件：</w:t>
      </w:r>
    </w:p>
    <w:p w14:paraId="6B9ED3BF">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14.1采购人将拒绝在</w:t>
      </w:r>
      <w:r>
        <w:rPr>
          <w:rFonts w:hint="eastAsia" w:ascii="宋体" w:hAnsi="宋体" w:cs="宋体"/>
          <w:color w:val="auto"/>
          <w:lang w:eastAsia="zh-CN"/>
        </w:rPr>
        <w:t>谈判</w:t>
      </w:r>
      <w:r>
        <w:rPr>
          <w:rFonts w:hint="eastAsia" w:ascii="宋体" w:hAnsi="宋体" w:eastAsia="宋体" w:cs="宋体"/>
          <w:color w:val="auto"/>
        </w:rPr>
        <w:t>截止时间后收到的响应文件。</w:t>
      </w:r>
    </w:p>
    <w:p w14:paraId="53F43AB7">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15．响应文件的修改和撤销：</w:t>
      </w:r>
    </w:p>
    <w:p w14:paraId="37278D8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15.1供应商在提交响应文件后对其响应文件进行修改或撤销，但采购人须在</w:t>
      </w:r>
      <w:r>
        <w:rPr>
          <w:rFonts w:hint="eastAsia" w:ascii="宋体" w:hAnsi="宋体" w:cs="宋体"/>
          <w:color w:val="auto"/>
          <w:lang w:eastAsia="zh-CN"/>
        </w:rPr>
        <w:t>谈判</w:t>
      </w:r>
      <w:r>
        <w:rPr>
          <w:rFonts w:hint="eastAsia" w:ascii="宋体" w:hAnsi="宋体" w:eastAsia="宋体" w:cs="宋体"/>
          <w:color w:val="auto"/>
        </w:rPr>
        <w:t>截止时间之前收到该修改或撤销的书面通知，该通知须有</w:t>
      </w:r>
      <w:r>
        <w:rPr>
          <w:rFonts w:hint="eastAsia" w:ascii="宋体" w:hAnsi="宋体" w:eastAsia="宋体" w:cs="宋体"/>
          <w:color w:val="auto"/>
          <w:lang w:val="en-US" w:eastAsia="zh-CN"/>
        </w:rPr>
        <w:t>供应商的法定代表人或法定代表人授权委托代理人</w:t>
      </w:r>
      <w:r>
        <w:rPr>
          <w:rFonts w:hint="eastAsia" w:ascii="宋体" w:hAnsi="宋体" w:eastAsia="宋体" w:cs="宋体"/>
          <w:color w:val="auto"/>
        </w:rPr>
        <w:t>签字。</w:t>
      </w:r>
    </w:p>
    <w:p w14:paraId="2325195A">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15.2供应商对响应文件修改的书面材料或撤销的通知应按第8</w:t>
      </w:r>
      <w:r>
        <w:rPr>
          <w:rFonts w:hint="eastAsia" w:ascii="宋体" w:hAnsi="宋体" w:eastAsia="宋体" w:cs="宋体"/>
          <w:color w:val="auto"/>
          <w:lang w:val="en-US" w:eastAsia="zh-CN"/>
        </w:rPr>
        <w:t>至</w:t>
      </w:r>
      <w:r>
        <w:rPr>
          <w:rFonts w:hint="eastAsia" w:ascii="宋体" w:hAnsi="宋体" w:eastAsia="宋体" w:cs="宋体"/>
          <w:color w:val="auto"/>
        </w:rPr>
        <w:t>11条规定进行编写、密封、标注和递送，并注明“修改响应文件”或“撤销</w:t>
      </w:r>
      <w:r>
        <w:rPr>
          <w:rFonts w:hint="eastAsia" w:ascii="宋体" w:hAnsi="宋体" w:cs="宋体"/>
          <w:color w:val="auto"/>
          <w:lang w:eastAsia="zh-CN"/>
        </w:rPr>
        <w:t>谈判</w:t>
      </w:r>
      <w:r>
        <w:rPr>
          <w:rFonts w:hint="eastAsia" w:ascii="宋体" w:hAnsi="宋体" w:eastAsia="宋体" w:cs="宋体"/>
          <w:color w:val="auto"/>
        </w:rPr>
        <w:t>”字样。</w:t>
      </w:r>
    </w:p>
    <w:p w14:paraId="272102D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rPr>
        <w:t>15.3</w:t>
      </w:r>
      <w:r>
        <w:rPr>
          <w:rFonts w:hint="eastAsia" w:ascii="宋体" w:hAnsi="宋体" w:cs="宋体"/>
          <w:color w:val="auto"/>
          <w:lang w:eastAsia="zh-CN"/>
        </w:rPr>
        <w:t>谈判</w:t>
      </w:r>
      <w:r>
        <w:rPr>
          <w:rFonts w:hint="eastAsia" w:ascii="宋体" w:hAnsi="宋体" w:eastAsia="宋体" w:cs="宋体"/>
          <w:color w:val="auto"/>
        </w:rPr>
        <w:t>截止时间以后不得修改响应文件。</w:t>
      </w:r>
    </w:p>
    <w:p w14:paraId="6F8DE4B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15.4供应商不得在</w:t>
      </w:r>
      <w:r>
        <w:rPr>
          <w:rFonts w:hint="eastAsia" w:ascii="宋体" w:hAnsi="宋体" w:cs="宋体"/>
          <w:color w:val="auto"/>
          <w:lang w:eastAsia="zh-CN"/>
        </w:rPr>
        <w:t>谈判</w:t>
      </w:r>
      <w:r>
        <w:rPr>
          <w:rFonts w:hint="eastAsia" w:ascii="宋体" w:hAnsi="宋体" w:eastAsia="宋体" w:cs="宋体"/>
          <w:color w:val="auto"/>
        </w:rPr>
        <w:t>时间起至响应文件有效期期满前撤销响应文件。</w:t>
      </w:r>
    </w:p>
    <w:p w14:paraId="6B91592E">
      <w:pPr>
        <w:pStyle w:val="10"/>
        <w:ind w:left="0" w:leftChars="0" w:firstLine="0" w:firstLineChars="0"/>
        <w:rPr>
          <w:rFonts w:hint="eastAsia" w:ascii="宋体" w:hAnsi="宋体" w:eastAsia="宋体" w:cs="宋体"/>
          <w:color w:val="auto"/>
        </w:rPr>
      </w:pPr>
    </w:p>
    <w:p w14:paraId="5D208C5F">
      <w:pPr>
        <w:rPr>
          <w:rFonts w:hint="eastAsia"/>
        </w:rPr>
      </w:pPr>
    </w:p>
    <w:p w14:paraId="7B9CAFF7">
      <w:pPr>
        <w:keepNext w:val="0"/>
        <w:keepLines w:val="0"/>
        <w:pageBreakBefore w:val="0"/>
        <w:kinsoku/>
        <w:wordWrap/>
        <w:overflowPunct/>
        <w:topLinePunct w:val="0"/>
        <w:autoSpaceDE/>
        <w:autoSpaceDN/>
        <w:bidi w:val="0"/>
        <w:spacing w:line="432" w:lineRule="auto"/>
        <w:ind w:left="70"/>
        <w:jc w:val="center"/>
        <w:textAlignment w:val="auto"/>
        <w:rPr>
          <w:rFonts w:hint="default" w:ascii="宋体" w:hAnsi="宋体" w:eastAsia="宋体" w:cs="宋体"/>
          <w:b/>
          <w:color w:val="auto"/>
          <w:szCs w:val="21"/>
          <w:lang w:val="en-US" w:eastAsia="zh-CN"/>
        </w:rPr>
      </w:pPr>
      <w:r>
        <w:rPr>
          <w:rFonts w:hint="eastAsia" w:ascii="宋体" w:hAnsi="宋体" w:eastAsia="宋体" w:cs="宋体"/>
          <w:b/>
          <w:color w:val="auto"/>
          <w:szCs w:val="21"/>
        </w:rPr>
        <w:t>D</w:t>
      </w:r>
      <w:r>
        <w:rPr>
          <w:rFonts w:hint="eastAsia" w:ascii="宋体" w:hAnsi="宋体" w:eastAsia="宋体" w:cs="宋体"/>
          <w:b/>
          <w:color w:val="auto"/>
          <w:szCs w:val="21"/>
          <w:lang w:val="en-US" w:eastAsia="zh-CN"/>
        </w:rPr>
        <w:t>谈判保证金的缴纳及退还</w:t>
      </w:r>
    </w:p>
    <w:p w14:paraId="5FFB4B69">
      <w:pPr>
        <w:spacing w:line="360" w:lineRule="auto"/>
        <w:jc w:val="both"/>
        <w:rPr>
          <w:rFonts w:hint="default" w:ascii="宋体" w:hAnsi="宋体" w:eastAsia="宋体" w:cs="宋体"/>
          <w:szCs w:val="21"/>
          <w:lang w:val="en-US" w:eastAsia="zh-CN"/>
        </w:rPr>
      </w:pPr>
      <w:r>
        <w:rPr>
          <w:rFonts w:hint="eastAsia" w:ascii="宋体" w:hAnsi="宋体" w:cs="宋体"/>
          <w:szCs w:val="21"/>
          <w:lang w:val="en-US" w:eastAsia="zh-CN"/>
        </w:rPr>
        <w:t>16.谈判保证金的缴纳及退还要求</w:t>
      </w:r>
    </w:p>
    <w:p w14:paraId="4EB153C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Fonts w:hint="eastAsia" w:ascii="宋体" w:hAnsi="宋体" w:cs="宋体"/>
          <w:szCs w:val="21"/>
          <w:lang w:val="en-US" w:eastAsia="zh-CN"/>
        </w:rPr>
        <w:t>16.</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谈判</w:t>
      </w:r>
      <w:r>
        <w:rPr>
          <w:rFonts w:hint="eastAsia" w:ascii="宋体" w:hAnsi="宋体" w:cs="宋体"/>
          <w:szCs w:val="21"/>
          <w:shd w:val="clear" w:color="auto" w:fill="FFFFFF"/>
        </w:rPr>
        <w:t>保证金</w:t>
      </w:r>
      <w:r>
        <w:rPr>
          <w:rFonts w:hint="eastAsia" w:ascii="宋体" w:hAnsi="宋体" w:cs="宋体"/>
          <w:szCs w:val="21"/>
          <w:shd w:val="clear" w:color="auto" w:fill="FFFFFF"/>
          <w:lang w:eastAsia="zh-CN"/>
        </w:rPr>
        <w:t>缴纳</w:t>
      </w:r>
      <w:r>
        <w:rPr>
          <w:rFonts w:hint="eastAsia" w:ascii="宋体" w:hAnsi="宋体" w:cs="宋体"/>
          <w:szCs w:val="21"/>
          <w:shd w:val="clear" w:color="auto" w:fill="FFFFFF"/>
        </w:rPr>
        <w:t>方式：</w:t>
      </w:r>
      <w:r>
        <w:rPr>
          <w:rStyle w:val="89"/>
          <w:rFonts w:hint="eastAsia" w:ascii="宋体" w:hAnsi="宋体" w:cs="宋体" w:eastAsiaTheme="minorEastAsia"/>
          <w:color w:val="auto"/>
          <w:szCs w:val="22"/>
          <w:lang w:val="en-US" w:eastAsia="zh-CN"/>
        </w:rPr>
        <w:t>谈判保证金由供应商通过银行电汇形式在</w:t>
      </w:r>
      <w:r>
        <w:rPr>
          <w:rStyle w:val="89"/>
          <w:rFonts w:hint="eastAsia" w:ascii="宋体" w:hAnsi="宋体" w:cs="宋体" w:eastAsiaTheme="minorEastAsia"/>
          <w:b/>
          <w:bCs/>
          <w:color w:val="auto"/>
          <w:szCs w:val="22"/>
          <w:lang w:val="en-US" w:eastAsia="zh-CN"/>
        </w:rPr>
        <w:t>2025年9月26日上午10:00分</w:t>
      </w:r>
      <w:r>
        <w:rPr>
          <w:rStyle w:val="89"/>
          <w:rFonts w:hint="eastAsia" w:ascii="宋体" w:hAnsi="宋体" w:cs="宋体" w:eastAsiaTheme="minorEastAsia"/>
          <w:color w:val="auto"/>
          <w:szCs w:val="22"/>
          <w:lang w:val="en-US" w:eastAsia="zh-CN"/>
        </w:rPr>
        <w:t>之前将谈判保证金缴到采购人指定账户，采购人在接到供应商缴纳的谈判保证金相关凭证后，供应商方可参与本项目谈判。本次谈判保证金只接受现汇，不接受银行保函、现金等其他形式保证金。</w:t>
      </w:r>
    </w:p>
    <w:p w14:paraId="00FE4CD1">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16.1.1.保证金缴纳账户：</w:t>
      </w:r>
    </w:p>
    <w:p w14:paraId="76E19A5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2D22C72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23ED9A4D">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148B832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szCs w:val="21"/>
          <w:lang w:val="en-US" w:eastAsia="zh-CN"/>
        </w:rPr>
      </w:pPr>
      <w:r>
        <w:rPr>
          <w:rStyle w:val="89"/>
          <w:rFonts w:hint="eastAsia" w:ascii="宋体" w:hAnsi="宋体" w:cs="宋体" w:eastAsiaTheme="minorEastAsia"/>
          <w:color w:val="auto"/>
          <w:szCs w:val="22"/>
          <w:lang w:val="en-US" w:eastAsia="zh-CN"/>
        </w:rPr>
        <w:t>16.1.2.</w:t>
      </w:r>
      <w:r>
        <w:rPr>
          <w:rStyle w:val="89"/>
          <w:rFonts w:hint="eastAsia" w:ascii="宋体" w:hAnsi="宋体" w:cs="宋体" w:eastAsiaTheme="minorEastAsia"/>
          <w:color w:val="auto"/>
          <w:szCs w:val="22"/>
          <w:lang w:val="en-US" w:eastAsia="zh-CN"/>
        </w:rPr>
        <w:fldChar w:fldCharType="begin"/>
      </w:r>
      <w:r>
        <w:rPr>
          <w:rStyle w:val="89"/>
          <w:rFonts w:hint="eastAsia" w:ascii="宋体" w:hAnsi="宋体" w:cs="宋体" w:eastAsiaTheme="minorEastAsia"/>
          <w:color w:val="auto"/>
          <w:szCs w:val="22"/>
          <w:lang w:val="en-US" w:eastAsia="zh-CN"/>
        </w:rPr>
        <w:instrText xml:space="preserve"> HYPERLINK "mailto:供应商谈判保证金缴纳后将银行回执在谈判会议开始前通过邮箱发送至277551725@qq.com。" </w:instrText>
      </w:r>
      <w:r>
        <w:rPr>
          <w:rStyle w:val="89"/>
          <w:rFonts w:hint="eastAsia" w:ascii="宋体" w:hAnsi="宋体" w:cs="宋体" w:eastAsiaTheme="minorEastAsia"/>
          <w:color w:val="auto"/>
          <w:szCs w:val="22"/>
          <w:lang w:val="en-US" w:eastAsia="zh-CN"/>
        </w:rPr>
        <w:fldChar w:fldCharType="separate"/>
      </w:r>
      <w:r>
        <w:rPr>
          <w:rStyle w:val="89"/>
          <w:rFonts w:hint="eastAsia" w:ascii="宋体" w:hAnsi="宋体" w:cs="宋体" w:eastAsiaTheme="minorEastAsia"/>
          <w:color w:val="auto"/>
          <w:szCs w:val="22"/>
          <w:lang w:val="en-US" w:eastAsia="zh-CN"/>
        </w:rPr>
        <w:t>供应商缴纳谈判保证金后将银行回执在</w:t>
      </w:r>
      <w:r>
        <w:rPr>
          <w:rStyle w:val="89"/>
          <w:rFonts w:hint="eastAsia" w:ascii="宋体" w:hAnsi="宋体" w:cs="宋体" w:eastAsiaTheme="minorEastAsia"/>
          <w:b/>
          <w:bCs/>
          <w:color w:val="auto"/>
          <w:szCs w:val="22"/>
          <w:lang w:val="en-US" w:eastAsia="zh-CN"/>
        </w:rPr>
        <w:t>2025年9月26日上午10:00分</w:t>
      </w:r>
      <w:r>
        <w:rPr>
          <w:rStyle w:val="89"/>
          <w:rFonts w:hint="eastAsia" w:ascii="宋体" w:hAnsi="宋体" w:cs="宋体" w:eastAsiaTheme="minorEastAsia"/>
          <w:color w:val="auto"/>
          <w:szCs w:val="22"/>
          <w:lang w:val="en-US" w:eastAsia="zh-CN"/>
        </w:rPr>
        <w:t>前通过邮箱发送至</w:t>
      </w:r>
      <w:r>
        <w:rPr>
          <w:rFonts w:hint="eastAsia" w:ascii="宋体" w:hAnsi="宋体" w:eastAsia="宋体" w:cs="宋体"/>
          <w:color w:val="auto"/>
          <w:szCs w:val="21"/>
          <w:lang w:val="en-US" w:eastAsia="zh-CN"/>
        </w:rPr>
        <w:t>3696059436@qq.com</w:t>
      </w:r>
      <w:r>
        <w:rPr>
          <w:rStyle w:val="89"/>
          <w:rFonts w:hint="eastAsia" w:ascii="宋体" w:hAnsi="宋体" w:cs="宋体" w:eastAsiaTheme="minorEastAsia"/>
          <w:color w:val="auto"/>
          <w:szCs w:val="22"/>
          <w:lang w:val="en-US" w:eastAsia="zh-CN"/>
        </w:rPr>
        <w:t>。</w:t>
      </w:r>
      <w:r>
        <w:rPr>
          <w:rStyle w:val="89"/>
          <w:rFonts w:hint="eastAsia" w:ascii="宋体" w:hAnsi="宋体" w:cs="宋体" w:eastAsiaTheme="minorEastAsia"/>
          <w:color w:val="auto"/>
          <w:szCs w:val="22"/>
          <w:lang w:val="en-US" w:eastAsia="zh-CN"/>
        </w:rPr>
        <w:fldChar w:fldCharType="end"/>
      </w:r>
    </w:p>
    <w:p w14:paraId="6CD3E642">
      <w:pPr>
        <w:autoSpaceDE w:val="0"/>
        <w:autoSpaceDN w:val="0"/>
        <w:adjustRightInd w:val="0"/>
        <w:spacing w:line="360" w:lineRule="auto"/>
        <w:jc w:val="both"/>
        <w:rPr>
          <w:rStyle w:val="89"/>
          <w:rFonts w:hint="eastAsia" w:ascii="宋体" w:hAnsi="宋体" w:cs="宋体" w:eastAsiaTheme="minorEastAsia"/>
          <w:color w:val="auto"/>
          <w:szCs w:val="22"/>
          <w:lang w:val="en-US" w:eastAsia="zh-CN"/>
        </w:rPr>
      </w:pPr>
      <w:r>
        <w:rPr>
          <w:rFonts w:hint="eastAsia" w:ascii="宋体" w:hAnsi="宋体" w:cs="宋体"/>
          <w:lang w:val="en-US" w:eastAsia="zh-CN"/>
        </w:rPr>
        <w:t>16.</w:t>
      </w:r>
      <w:r>
        <w:rPr>
          <w:rFonts w:hint="eastAsia" w:ascii="宋体" w:hAnsi="宋体" w:cs="宋体"/>
        </w:rPr>
        <w:t>2</w:t>
      </w:r>
      <w:r>
        <w:rPr>
          <w:rFonts w:hint="eastAsia" w:ascii="宋体" w:hAnsi="宋体" w:cs="宋体"/>
          <w:lang w:eastAsia="zh-CN"/>
        </w:rPr>
        <w:t>.</w:t>
      </w:r>
      <w:r>
        <w:rPr>
          <w:rFonts w:hint="eastAsia" w:ascii="宋体" w:hAnsi="宋体" w:cs="宋体"/>
          <w:lang w:val="en-US" w:eastAsia="zh-CN"/>
        </w:rPr>
        <w:t>谈判</w:t>
      </w:r>
      <w:r>
        <w:rPr>
          <w:rStyle w:val="89"/>
          <w:rFonts w:hint="eastAsia" w:ascii="宋体" w:hAnsi="宋体" w:cs="宋体"/>
          <w:szCs w:val="21"/>
        </w:rPr>
        <w:t>保证金</w:t>
      </w:r>
      <w:r>
        <w:rPr>
          <w:rStyle w:val="89"/>
          <w:rFonts w:hint="eastAsia" w:ascii="宋体" w:hAnsi="宋体" w:cs="宋体"/>
          <w:szCs w:val="21"/>
          <w:lang w:val="en-US" w:eastAsia="zh-CN"/>
        </w:rPr>
        <w:t>缴纳</w:t>
      </w:r>
      <w:r>
        <w:rPr>
          <w:rStyle w:val="89"/>
          <w:rFonts w:hint="eastAsia" w:ascii="宋体" w:hAnsi="宋体" w:cs="宋体"/>
          <w:szCs w:val="21"/>
        </w:rPr>
        <w:t>金额（元）:</w:t>
      </w:r>
      <w:r>
        <w:rPr>
          <w:rStyle w:val="89"/>
          <w:rFonts w:hint="eastAsia" w:ascii="宋体" w:hAnsi="宋体" w:cs="宋体"/>
          <w:szCs w:val="21"/>
          <w:u w:val="single"/>
          <w:lang w:val="en-US" w:eastAsia="zh-CN"/>
        </w:rPr>
        <w:t>2</w:t>
      </w:r>
      <w:r>
        <w:rPr>
          <w:rStyle w:val="89"/>
          <w:rFonts w:hint="eastAsia" w:ascii="宋体" w:hAnsi="宋体" w:cs="宋体" w:eastAsiaTheme="minorEastAsia"/>
          <w:color w:val="auto"/>
          <w:szCs w:val="22"/>
          <w:u w:val="single"/>
          <w:lang w:val="en-US" w:eastAsia="zh-CN"/>
        </w:rPr>
        <w:t>0,000.00元</w:t>
      </w:r>
      <w:r>
        <w:rPr>
          <w:rStyle w:val="89"/>
          <w:rFonts w:hint="eastAsia" w:ascii="宋体" w:hAnsi="宋体" w:cs="宋体" w:eastAsiaTheme="minorEastAsia"/>
          <w:color w:val="auto"/>
          <w:szCs w:val="22"/>
          <w:lang w:val="en-US" w:eastAsia="zh-CN"/>
        </w:rPr>
        <w:t>（大写：人民币贰万元整）</w:t>
      </w:r>
    </w:p>
    <w:p w14:paraId="06C4E3F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16.3.保证金退还要求：</w:t>
      </w:r>
    </w:p>
    <w:p w14:paraId="0F0295AB">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16.3.1.谈判保证金在谈判会议结束后15个工作日内无息返还至供应商账户。</w:t>
      </w:r>
    </w:p>
    <w:p w14:paraId="6414AB38">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16.3.2.若供应商报名成功且已缴纳谈判保证金，未参与竞争性谈判会议的保证金将不予退还。</w:t>
      </w:r>
    </w:p>
    <w:p w14:paraId="6F00F988">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16.3.3.若供应商收到采购人发出的《中标通知书》后，未在《中标通知书》约定时间内与采购人签订合同及缴纳合同履约保证金的，谈判保证金将不予退还。</w:t>
      </w:r>
    </w:p>
    <w:p w14:paraId="1A118980">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16.3.4.若供应商选择将此谈判保证金做为下一个批次燃煤采购项目谈判保证金，则本次谈判保证金不予退还，供应商参与后续批次燃煤采购项目无需重新缴纳谈判保证金；若后期供应商不参与其他批次燃煤采购项目，选择退还谈判保证金，由供应商提出申请，采购人于15个工作日内无息返还。</w:t>
      </w:r>
    </w:p>
    <w:p w14:paraId="79E03755">
      <w:pPr>
        <w:autoSpaceDE w:val="0"/>
        <w:autoSpaceDN w:val="0"/>
        <w:adjustRightInd w:val="0"/>
        <w:spacing w:line="360" w:lineRule="auto"/>
        <w:jc w:val="left"/>
        <w:rPr>
          <w:rStyle w:val="89"/>
          <w:rFonts w:hint="default" w:ascii="宋体" w:hAnsi="宋体" w:cs="宋体" w:eastAsiaTheme="minorEastAsia"/>
          <w:color w:val="auto"/>
          <w:szCs w:val="22"/>
          <w:lang w:val="en-US" w:eastAsia="zh-CN"/>
        </w:rPr>
      </w:pPr>
    </w:p>
    <w:p w14:paraId="4B9D8B47">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lang w:eastAsia="zh-CN"/>
        </w:rPr>
      </w:pPr>
      <w:r>
        <w:rPr>
          <w:rFonts w:hint="eastAsia" w:ascii="宋体" w:hAnsi="宋体" w:eastAsia="宋体" w:cs="宋体"/>
          <w:b/>
          <w:bCs/>
          <w:color w:val="auto"/>
          <w:szCs w:val="21"/>
        </w:rPr>
        <w:t xml:space="preserve">E </w:t>
      </w:r>
      <w:r>
        <w:rPr>
          <w:rFonts w:hint="eastAsia" w:ascii="宋体" w:hAnsi="宋体" w:cs="宋体"/>
          <w:b/>
          <w:bCs/>
          <w:color w:val="auto"/>
          <w:szCs w:val="21"/>
          <w:lang w:eastAsia="zh-CN"/>
        </w:rPr>
        <w:t>谈判</w:t>
      </w:r>
    </w:p>
    <w:p w14:paraId="4F27DD9A">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17．</w:t>
      </w:r>
      <w:r>
        <w:rPr>
          <w:rFonts w:hint="eastAsia" w:ascii="宋体" w:hAnsi="宋体" w:cs="宋体"/>
          <w:color w:val="auto"/>
          <w:lang w:eastAsia="zh-CN"/>
        </w:rPr>
        <w:t>谈判</w:t>
      </w:r>
      <w:r>
        <w:rPr>
          <w:rFonts w:hint="eastAsia" w:ascii="宋体" w:hAnsi="宋体" w:eastAsia="宋体" w:cs="宋体"/>
          <w:color w:val="auto"/>
        </w:rPr>
        <w:t>：</w:t>
      </w:r>
    </w:p>
    <w:p w14:paraId="714650E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17.1</w:t>
      </w:r>
      <w:r>
        <w:rPr>
          <w:rFonts w:hint="eastAsia" w:ascii="宋体" w:hAnsi="宋体" w:cs="宋体"/>
          <w:color w:val="auto"/>
          <w:szCs w:val="21"/>
          <w:lang w:eastAsia="zh-CN"/>
        </w:rPr>
        <w:t>谈判</w:t>
      </w:r>
      <w:r>
        <w:rPr>
          <w:rFonts w:hint="eastAsia" w:ascii="宋体" w:hAnsi="宋体" w:eastAsia="宋体" w:cs="宋体"/>
          <w:color w:val="auto"/>
          <w:szCs w:val="21"/>
        </w:rPr>
        <w:t>应当在</w:t>
      </w:r>
      <w:r>
        <w:rPr>
          <w:rFonts w:hint="eastAsia" w:ascii="宋体" w:hAnsi="宋体" w:cs="宋体"/>
          <w:color w:val="auto"/>
          <w:szCs w:val="21"/>
          <w:lang w:eastAsia="zh-CN"/>
        </w:rPr>
        <w:t>竞争性谈判</w:t>
      </w:r>
      <w:r>
        <w:rPr>
          <w:rFonts w:hint="eastAsia" w:ascii="宋体" w:hAnsi="宋体" w:eastAsia="宋体" w:cs="宋体"/>
          <w:color w:val="auto"/>
          <w:szCs w:val="21"/>
        </w:rPr>
        <w:t>文件确定的提交响应文件截止时间的同一时间进行。</w:t>
      </w:r>
      <w:r>
        <w:rPr>
          <w:rFonts w:hint="eastAsia" w:ascii="宋体" w:hAnsi="宋体" w:cs="宋体"/>
          <w:color w:val="auto"/>
          <w:szCs w:val="21"/>
          <w:lang w:eastAsia="zh-CN"/>
        </w:rPr>
        <w:t>谈判</w:t>
      </w:r>
      <w:r>
        <w:rPr>
          <w:rFonts w:hint="eastAsia" w:ascii="宋体" w:hAnsi="宋体" w:eastAsia="宋体" w:cs="宋体"/>
          <w:color w:val="auto"/>
          <w:szCs w:val="21"/>
        </w:rPr>
        <w:t>地点为</w:t>
      </w:r>
      <w:r>
        <w:rPr>
          <w:rFonts w:hint="eastAsia" w:ascii="宋体" w:hAnsi="宋体" w:cs="宋体"/>
          <w:color w:val="auto"/>
          <w:szCs w:val="21"/>
          <w:lang w:eastAsia="zh-CN"/>
        </w:rPr>
        <w:t>竞争性谈判</w:t>
      </w:r>
      <w:r>
        <w:rPr>
          <w:rFonts w:hint="eastAsia" w:ascii="宋体" w:hAnsi="宋体" w:eastAsia="宋体" w:cs="宋体"/>
          <w:color w:val="auto"/>
          <w:szCs w:val="21"/>
        </w:rPr>
        <w:t>文件中预先确定的地点。</w:t>
      </w:r>
    </w:p>
    <w:p w14:paraId="2583352C">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17.2</w:t>
      </w:r>
      <w:r>
        <w:rPr>
          <w:rFonts w:hint="eastAsia" w:ascii="宋体" w:hAnsi="宋体" w:cs="宋体"/>
          <w:color w:val="auto"/>
          <w:szCs w:val="21"/>
          <w:lang w:eastAsia="zh-CN"/>
        </w:rPr>
        <w:t>谈判</w:t>
      </w:r>
      <w:r>
        <w:rPr>
          <w:rFonts w:hint="eastAsia" w:ascii="宋体" w:hAnsi="宋体" w:eastAsia="宋体" w:cs="宋体"/>
          <w:color w:val="auto"/>
          <w:szCs w:val="21"/>
        </w:rPr>
        <w:t>由采购</w:t>
      </w:r>
      <w:r>
        <w:rPr>
          <w:rFonts w:hint="eastAsia" w:ascii="宋体" w:hAnsi="宋体" w:cs="宋体"/>
          <w:color w:val="auto"/>
          <w:szCs w:val="21"/>
          <w:lang w:val="en-US" w:eastAsia="zh-CN"/>
        </w:rPr>
        <w:t>人</w:t>
      </w:r>
      <w:r>
        <w:rPr>
          <w:rFonts w:hint="eastAsia" w:ascii="宋体" w:hAnsi="宋体" w:eastAsia="宋体" w:cs="宋体"/>
          <w:color w:val="auto"/>
          <w:szCs w:val="21"/>
        </w:rPr>
        <w:t>主持，邀请</w:t>
      </w:r>
      <w:r>
        <w:rPr>
          <w:rFonts w:hint="eastAsia" w:ascii="宋体" w:hAnsi="宋体" w:cs="宋体"/>
          <w:color w:val="auto"/>
          <w:szCs w:val="21"/>
          <w:lang w:eastAsia="zh-CN"/>
        </w:rPr>
        <w:t>谈判</w:t>
      </w:r>
      <w:r>
        <w:rPr>
          <w:rFonts w:hint="eastAsia" w:ascii="宋体" w:hAnsi="宋体" w:eastAsia="宋体" w:cs="宋体"/>
          <w:color w:val="auto"/>
          <w:szCs w:val="21"/>
        </w:rPr>
        <w:t>供应商参加。非</w:t>
      </w:r>
      <w:r>
        <w:rPr>
          <w:rFonts w:hint="eastAsia" w:ascii="宋体" w:hAnsi="宋体" w:cs="宋体"/>
          <w:color w:val="auto"/>
          <w:szCs w:val="21"/>
          <w:lang w:eastAsia="zh-CN"/>
        </w:rPr>
        <w:t>竞争性谈判</w:t>
      </w:r>
      <w:r>
        <w:rPr>
          <w:rFonts w:hint="eastAsia" w:ascii="宋体" w:hAnsi="宋体" w:eastAsia="宋体" w:cs="宋体"/>
          <w:color w:val="auto"/>
          <w:szCs w:val="21"/>
        </w:rPr>
        <w:t>小组成员不得参加</w:t>
      </w:r>
      <w:r>
        <w:rPr>
          <w:rFonts w:hint="eastAsia" w:ascii="宋体" w:hAnsi="宋体" w:cs="宋体"/>
          <w:color w:val="auto"/>
          <w:szCs w:val="21"/>
          <w:lang w:eastAsia="zh-CN"/>
        </w:rPr>
        <w:t>竞争性谈判</w:t>
      </w:r>
      <w:r>
        <w:rPr>
          <w:rFonts w:hint="eastAsia" w:ascii="宋体" w:hAnsi="宋体" w:eastAsia="宋体" w:cs="宋体"/>
          <w:color w:val="auto"/>
          <w:szCs w:val="21"/>
        </w:rPr>
        <w:t>活动。</w:t>
      </w:r>
    </w:p>
    <w:p w14:paraId="65A3611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17.3</w:t>
      </w:r>
      <w:r>
        <w:rPr>
          <w:rFonts w:hint="eastAsia" w:ascii="宋体" w:hAnsi="宋体" w:cs="宋体"/>
          <w:color w:val="auto"/>
          <w:szCs w:val="21"/>
          <w:lang w:eastAsia="zh-CN"/>
        </w:rPr>
        <w:t>谈判</w:t>
      </w:r>
      <w:r>
        <w:rPr>
          <w:rFonts w:hint="eastAsia" w:ascii="宋体" w:hAnsi="宋体" w:eastAsia="宋体" w:cs="宋体"/>
          <w:color w:val="auto"/>
          <w:szCs w:val="21"/>
        </w:rPr>
        <w:t>时，应当由供应商或者其推选的代表检查响应文件的密封情况；经确认无误后。宣布供应商名称、</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文件规定的需要宣布的其他内容。</w:t>
      </w:r>
    </w:p>
    <w:p w14:paraId="2F76313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17.4供应商不足3家的，不得</w:t>
      </w:r>
      <w:r>
        <w:rPr>
          <w:rFonts w:hint="eastAsia" w:ascii="宋体" w:hAnsi="宋体" w:cs="宋体"/>
          <w:color w:val="auto"/>
          <w:szCs w:val="21"/>
          <w:lang w:eastAsia="zh-CN"/>
        </w:rPr>
        <w:t>谈判</w:t>
      </w:r>
      <w:r>
        <w:rPr>
          <w:rFonts w:hint="eastAsia" w:ascii="宋体" w:hAnsi="宋体" w:eastAsia="宋体" w:cs="宋体"/>
          <w:color w:val="auto"/>
          <w:szCs w:val="21"/>
        </w:rPr>
        <w:t>。</w:t>
      </w:r>
    </w:p>
    <w:p w14:paraId="359EC58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17.5</w:t>
      </w:r>
      <w:r>
        <w:rPr>
          <w:rFonts w:hint="eastAsia" w:ascii="宋体" w:hAnsi="宋体" w:cs="宋体"/>
          <w:color w:val="auto"/>
          <w:szCs w:val="21"/>
          <w:lang w:eastAsia="zh-CN"/>
        </w:rPr>
        <w:t>谈判</w:t>
      </w:r>
      <w:r>
        <w:rPr>
          <w:rFonts w:hint="eastAsia" w:ascii="宋体" w:hAnsi="宋体" w:eastAsia="宋体" w:cs="宋体"/>
          <w:color w:val="auto"/>
          <w:szCs w:val="21"/>
        </w:rPr>
        <w:t>过程应当</w:t>
      </w:r>
      <w:r>
        <w:rPr>
          <w:rFonts w:hint="eastAsia" w:ascii="宋体" w:hAnsi="宋体" w:cs="宋体"/>
          <w:color w:val="auto"/>
          <w:szCs w:val="21"/>
          <w:lang w:val="en-US" w:eastAsia="zh-CN"/>
        </w:rPr>
        <w:t>进行</w:t>
      </w:r>
      <w:r>
        <w:rPr>
          <w:rFonts w:hint="eastAsia" w:ascii="宋体" w:hAnsi="宋体" w:eastAsia="宋体" w:cs="宋体"/>
          <w:color w:val="auto"/>
          <w:szCs w:val="21"/>
        </w:rPr>
        <w:t>记录，由参加</w:t>
      </w:r>
      <w:r>
        <w:rPr>
          <w:rFonts w:hint="eastAsia" w:ascii="宋体" w:hAnsi="宋体" w:cs="宋体"/>
          <w:color w:val="auto"/>
          <w:szCs w:val="21"/>
          <w:lang w:eastAsia="zh-CN"/>
        </w:rPr>
        <w:t>谈判</w:t>
      </w:r>
      <w:r>
        <w:rPr>
          <w:rFonts w:hint="eastAsia" w:ascii="宋体" w:hAnsi="宋体" w:eastAsia="宋体" w:cs="宋体"/>
          <w:color w:val="auto"/>
          <w:szCs w:val="21"/>
        </w:rPr>
        <w:t>的各供应商代表和相关工作人员签字确认后随</w:t>
      </w:r>
      <w:r>
        <w:rPr>
          <w:rFonts w:hint="eastAsia" w:ascii="宋体" w:hAnsi="宋体" w:cs="宋体"/>
          <w:color w:val="auto"/>
          <w:szCs w:val="21"/>
          <w:lang w:eastAsia="zh-CN"/>
        </w:rPr>
        <w:t>竞争性谈判</w:t>
      </w:r>
      <w:r>
        <w:rPr>
          <w:rFonts w:hint="eastAsia" w:ascii="宋体" w:hAnsi="宋体" w:eastAsia="宋体" w:cs="宋体"/>
          <w:color w:val="auto"/>
          <w:szCs w:val="21"/>
        </w:rPr>
        <w:t>文件一并存档。</w:t>
      </w:r>
    </w:p>
    <w:p w14:paraId="6518CE9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17.6供应商代表对</w:t>
      </w:r>
      <w:r>
        <w:rPr>
          <w:rFonts w:hint="eastAsia" w:ascii="宋体" w:hAnsi="宋体" w:cs="宋体"/>
          <w:color w:val="auto"/>
          <w:szCs w:val="21"/>
          <w:lang w:eastAsia="zh-CN"/>
        </w:rPr>
        <w:t>谈判</w:t>
      </w:r>
      <w:r>
        <w:rPr>
          <w:rFonts w:hint="eastAsia" w:ascii="宋体" w:hAnsi="宋体" w:eastAsia="宋体" w:cs="宋体"/>
          <w:color w:val="auto"/>
          <w:szCs w:val="21"/>
        </w:rPr>
        <w:t>过程和</w:t>
      </w:r>
      <w:r>
        <w:rPr>
          <w:rFonts w:hint="eastAsia" w:ascii="宋体" w:hAnsi="宋体" w:cs="宋体"/>
          <w:color w:val="auto"/>
          <w:szCs w:val="21"/>
          <w:lang w:eastAsia="zh-CN"/>
        </w:rPr>
        <w:t>谈判</w:t>
      </w:r>
      <w:r>
        <w:rPr>
          <w:rFonts w:hint="eastAsia" w:ascii="宋体" w:hAnsi="宋体" w:eastAsia="宋体" w:cs="宋体"/>
          <w:color w:val="auto"/>
          <w:szCs w:val="21"/>
        </w:rPr>
        <w:t>记录有异议以及认为采购人相关工作人员有需要回避的情形的，应当场提出询问或者回避申请。采购人对供应商代表提出的询问或者回避申请及时处理。</w:t>
      </w:r>
    </w:p>
    <w:p w14:paraId="6F60014B">
      <w:pPr>
        <w:keepNext w:val="0"/>
        <w:keepLines w:val="0"/>
        <w:pageBreakBefore w:val="0"/>
        <w:kinsoku/>
        <w:wordWrap/>
        <w:overflowPunct/>
        <w:topLinePunct w:val="0"/>
        <w:autoSpaceDE/>
        <w:autoSpaceDN/>
        <w:bidi w:val="0"/>
        <w:adjustRightInd w:val="0"/>
        <w:snapToGrid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18．</w:t>
      </w:r>
      <w:r>
        <w:rPr>
          <w:rFonts w:hint="eastAsia" w:ascii="宋体" w:hAnsi="宋体" w:cs="宋体"/>
          <w:color w:val="auto"/>
          <w:lang w:eastAsia="zh-CN"/>
        </w:rPr>
        <w:t>竞争性谈判</w:t>
      </w:r>
      <w:r>
        <w:rPr>
          <w:rFonts w:hint="eastAsia" w:ascii="宋体" w:hAnsi="宋体" w:eastAsia="宋体" w:cs="宋体"/>
          <w:color w:val="auto"/>
        </w:rPr>
        <w:t>小组：</w:t>
      </w:r>
    </w:p>
    <w:p w14:paraId="11D09A5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bookmarkStart w:id="6" w:name="_Toc9539"/>
      <w:r>
        <w:rPr>
          <w:rFonts w:hint="eastAsia" w:ascii="宋体" w:hAnsi="宋体" w:eastAsia="宋体" w:cs="宋体"/>
          <w:color w:val="auto"/>
        </w:rPr>
        <w:t>18.1 采购方将根据政府采购项目的特点组建</w:t>
      </w:r>
      <w:r>
        <w:rPr>
          <w:rFonts w:hint="eastAsia" w:ascii="宋体" w:hAnsi="宋体" w:cs="宋体"/>
          <w:color w:val="auto"/>
          <w:lang w:eastAsia="zh-CN"/>
        </w:rPr>
        <w:t>竞争性谈判</w:t>
      </w:r>
      <w:r>
        <w:rPr>
          <w:rFonts w:hint="eastAsia" w:ascii="宋体" w:hAnsi="宋体" w:eastAsia="宋体" w:cs="宋体"/>
          <w:color w:val="auto"/>
        </w:rPr>
        <w:t>小组，</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小组由</w:t>
      </w:r>
      <w:r>
        <w:rPr>
          <w:rFonts w:hint="eastAsia" w:ascii="宋体" w:hAnsi="宋体" w:cs="宋体"/>
          <w:color w:val="auto"/>
          <w:szCs w:val="21"/>
          <w:shd w:val="clear" w:color="auto" w:fill="FFFFFF"/>
          <w:lang w:val="en-US" w:eastAsia="zh-CN"/>
        </w:rPr>
        <w:t>采购人自行组建</w:t>
      </w:r>
      <w:r>
        <w:rPr>
          <w:rFonts w:hint="eastAsia" w:ascii="宋体" w:hAnsi="宋体" w:eastAsia="宋体" w:cs="宋体"/>
          <w:color w:val="auto"/>
          <w:szCs w:val="21"/>
        </w:rPr>
        <w:t>。</w:t>
      </w:r>
      <w:r>
        <w:rPr>
          <w:rFonts w:hint="eastAsia" w:ascii="宋体" w:hAnsi="宋体" w:cs="宋体"/>
          <w:color w:val="auto"/>
          <w:lang w:eastAsia="zh-CN"/>
        </w:rPr>
        <w:t>竞争性谈判</w:t>
      </w:r>
      <w:r>
        <w:rPr>
          <w:rFonts w:hint="eastAsia" w:ascii="宋体" w:hAnsi="宋体" w:eastAsia="宋体" w:cs="宋体"/>
          <w:color w:val="auto"/>
        </w:rPr>
        <w:t>小组对响应文件进行审查、质疑、评估和比较。</w:t>
      </w:r>
      <w:bookmarkEnd w:id="6"/>
    </w:p>
    <w:p w14:paraId="24EBEAD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19．响应文件的审查和响应性的确定：</w:t>
      </w:r>
    </w:p>
    <w:p w14:paraId="773A1E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rPr>
        <w:t xml:space="preserve">19.1 </w:t>
      </w:r>
      <w:r>
        <w:rPr>
          <w:rFonts w:hint="eastAsia" w:ascii="宋体" w:hAnsi="宋体" w:cs="宋体"/>
          <w:color w:val="auto"/>
          <w:lang w:eastAsia="zh-CN"/>
        </w:rPr>
        <w:t>谈判</w:t>
      </w:r>
      <w:r>
        <w:rPr>
          <w:rFonts w:hint="eastAsia" w:ascii="宋体" w:hAnsi="宋体" w:eastAsia="宋体" w:cs="宋体"/>
          <w:color w:val="auto"/>
        </w:rPr>
        <w:t>后，采购方将组织</w:t>
      </w:r>
      <w:r>
        <w:rPr>
          <w:rFonts w:hint="eastAsia" w:ascii="宋体" w:hAnsi="宋体" w:cs="宋体"/>
          <w:color w:val="auto"/>
          <w:lang w:eastAsia="zh-CN"/>
        </w:rPr>
        <w:t>谈判</w:t>
      </w:r>
      <w:r>
        <w:rPr>
          <w:rFonts w:hint="eastAsia" w:ascii="宋体" w:hAnsi="宋体" w:eastAsia="宋体" w:cs="宋体"/>
          <w:color w:val="auto"/>
        </w:rPr>
        <w:t>小组审查响应文件是否完整，是否有计算错误，要求的保证金是否已提供，响应文件是否恰当</w:t>
      </w:r>
      <w:r>
        <w:rPr>
          <w:rFonts w:hint="eastAsia" w:ascii="宋体" w:hAnsi="宋体" w:eastAsia="宋体" w:cs="宋体"/>
          <w:color w:val="auto"/>
          <w:lang w:eastAsia="zh-CN"/>
        </w:rPr>
        <w:t>的</w:t>
      </w:r>
      <w:r>
        <w:rPr>
          <w:rFonts w:hint="eastAsia" w:ascii="宋体" w:hAnsi="宋体" w:eastAsia="宋体" w:cs="宋体"/>
          <w:color w:val="auto"/>
        </w:rPr>
        <w:t>签署。</w:t>
      </w:r>
      <w:r>
        <w:rPr>
          <w:rFonts w:hint="eastAsia" w:ascii="宋体" w:hAnsi="宋体" w:eastAsia="宋体" w:cs="宋体"/>
          <w:color w:val="auto"/>
          <w:szCs w:val="21"/>
        </w:rPr>
        <w:t>响应文件报价出现前后不一致的，按照下列规定修正：</w:t>
      </w:r>
    </w:p>
    <w:p w14:paraId="7F8A27E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19.1.1响应文件中报价一览表内容与响应文件中响应内容不一致的，以报价一览表为准；</w:t>
      </w:r>
    </w:p>
    <w:p w14:paraId="3545F2F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19.1.2大写金额和小写金额不一致的，以大写金额为准；</w:t>
      </w:r>
    </w:p>
    <w:p w14:paraId="0920C66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19.1.3.单价金额小数点或者百分比有明显错位的，以报价一览表的总价为准，并修改单价；</w:t>
      </w:r>
    </w:p>
    <w:p w14:paraId="3F6B49A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szCs w:val="21"/>
        </w:rPr>
        <w:t>19.1.4.总价金额与按单价汇总金额不一致的，以单价金额计算结果为准.同时出现两种以上不一致的，按照以上的顺序修正。修正后的报价按照本</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文件规定经供应商确认后产生约束力，供应商不确认的，其响应无效。</w:t>
      </w:r>
    </w:p>
    <w:p w14:paraId="64F15251">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7" w:name="_Toc30741"/>
      <w:bookmarkStart w:id="8" w:name="_Toc25463"/>
      <w:r>
        <w:rPr>
          <w:rFonts w:hint="eastAsia" w:ascii="宋体" w:hAnsi="宋体" w:eastAsia="宋体" w:cs="宋体"/>
          <w:color w:val="auto"/>
        </w:rPr>
        <w:t>19.2 在对响应文件进行详细评估之前，采购方将依据供应商提供的资格证明文件审查供应商的财务、技术和生产能力。如果确定响应方无资格履行合同，其响应文件将被拒绝。</w:t>
      </w:r>
      <w:bookmarkEnd w:id="7"/>
      <w:bookmarkEnd w:id="8"/>
    </w:p>
    <w:p w14:paraId="06EF32BE">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eastAsia="宋体" w:cs="宋体"/>
          <w:color w:val="auto"/>
        </w:rPr>
        <w:t>19.3采购方将确定每一响应文件是否对</w:t>
      </w:r>
      <w:r>
        <w:rPr>
          <w:rFonts w:hint="eastAsia" w:ascii="宋体" w:hAnsi="宋体" w:cs="宋体"/>
          <w:color w:val="auto"/>
          <w:lang w:eastAsia="zh-CN"/>
        </w:rPr>
        <w:t>竞争性谈判</w:t>
      </w:r>
      <w:r>
        <w:rPr>
          <w:rFonts w:hint="eastAsia" w:ascii="宋体" w:hAnsi="宋体" w:eastAsia="宋体" w:cs="宋体"/>
          <w:color w:val="auto"/>
        </w:rPr>
        <w:t>文件的要求作出了实质性的响应，而没有重大偏离，实质性响应的响应文件是指符合</w:t>
      </w:r>
      <w:r>
        <w:rPr>
          <w:rFonts w:hint="eastAsia" w:ascii="宋体" w:hAnsi="宋体" w:cs="宋体"/>
          <w:color w:val="auto"/>
          <w:lang w:eastAsia="zh-CN"/>
        </w:rPr>
        <w:t>竞争性谈判</w:t>
      </w:r>
      <w:r>
        <w:rPr>
          <w:rFonts w:hint="eastAsia" w:ascii="宋体" w:hAnsi="宋体" w:eastAsia="宋体" w:cs="宋体"/>
          <w:color w:val="auto"/>
        </w:rPr>
        <w:t>文件的所有条款、条件和规定，且没有重大偏离或保留。重大偏离或保留系指影响到</w:t>
      </w:r>
      <w:r>
        <w:rPr>
          <w:rFonts w:hint="eastAsia" w:ascii="宋体" w:hAnsi="宋体" w:cs="宋体"/>
          <w:color w:val="auto"/>
          <w:lang w:eastAsia="zh-CN"/>
        </w:rPr>
        <w:t>竞争性谈判</w:t>
      </w:r>
      <w:r>
        <w:rPr>
          <w:rFonts w:hint="eastAsia" w:ascii="宋体" w:hAnsi="宋体" w:eastAsia="宋体" w:cs="宋体"/>
          <w:color w:val="auto"/>
        </w:rPr>
        <w:t>文件的规定的供货范围、质量和性能，或限制了</w:t>
      </w:r>
      <w:r>
        <w:rPr>
          <w:rFonts w:hint="eastAsia" w:ascii="宋体" w:hAnsi="宋体" w:cs="宋体"/>
          <w:color w:val="auto"/>
          <w:lang w:eastAsia="zh-CN"/>
        </w:rPr>
        <w:t>采购人</w:t>
      </w:r>
      <w:r>
        <w:rPr>
          <w:rFonts w:hint="eastAsia" w:ascii="宋体" w:hAnsi="宋体" w:eastAsia="宋体" w:cs="宋体"/>
          <w:color w:val="auto"/>
        </w:rPr>
        <w:t>的权力和</w:t>
      </w:r>
      <w:r>
        <w:rPr>
          <w:rFonts w:hint="eastAsia" w:ascii="宋体" w:hAnsi="宋体" w:cs="宋体"/>
          <w:color w:val="auto"/>
          <w:lang w:eastAsia="zh-CN"/>
        </w:rPr>
        <w:t>乙方</w:t>
      </w:r>
      <w:r>
        <w:rPr>
          <w:rFonts w:hint="eastAsia" w:ascii="宋体" w:hAnsi="宋体" w:eastAsia="宋体" w:cs="宋体"/>
          <w:color w:val="auto"/>
        </w:rPr>
        <w:t>的义务的规定，而纠正这些偏离将影响到其他提交实质性响应文件的供应商的公平竞争地位。</w:t>
      </w:r>
    </w:p>
    <w:p w14:paraId="0BC8AE2F">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9" w:name="_Toc18396"/>
      <w:bookmarkStart w:id="10" w:name="_Toc28513"/>
      <w:r>
        <w:rPr>
          <w:rFonts w:hint="eastAsia" w:ascii="宋体" w:hAnsi="宋体" w:eastAsia="宋体" w:cs="宋体"/>
          <w:color w:val="auto"/>
        </w:rPr>
        <w:t>19.4 采购方判断响应文件的响应性仅基于响应文件本身而不靠外部证据。</w:t>
      </w:r>
      <w:bookmarkEnd w:id="9"/>
      <w:bookmarkEnd w:id="10"/>
    </w:p>
    <w:p w14:paraId="08BEBA0C">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11" w:name="_Toc1861"/>
      <w:bookmarkStart w:id="12" w:name="_Toc13005"/>
      <w:r>
        <w:rPr>
          <w:rFonts w:hint="eastAsia" w:ascii="宋体" w:hAnsi="宋体" w:eastAsia="宋体" w:cs="宋体"/>
          <w:color w:val="auto"/>
        </w:rPr>
        <w:t>19.5 采购方将拒绝被确定为非实质性响应的响应文件，供应商不能通过修正或撤销不符之处而使其响应文件成为实质性响应的响应文件。</w:t>
      </w:r>
      <w:bookmarkEnd w:id="11"/>
      <w:bookmarkEnd w:id="12"/>
    </w:p>
    <w:p w14:paraId="5F0B6461">
      <w:pPr>
        <w:pStyle w:val="49"/>
        <w:keepNext w:val="0"/>
        <w:keepLines w:val="0"/>
        <w:pageBreakBefore w:val="0"/>
        <w:kinsoku/>
        <w:wordWrap/>
        <w:overflowPunct/>
        <w:topLinePunct w:val="0"/>
        <w:autoSpaceDE/>
        <w:autoSpaceDN/>
        <w:bidi w:val="0"/>
        <w:spacing w:line="432" w:lineRule="auto"/>
        <w:ind w:firstLine="0"/>
        <w:jc w:val="both"/>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19.6</w:t>
      </w:r>
      <w:r>
        <w:rPr>
          <w:rFonts w:hint="eastAsia" w:ascii="宋体" w:hAnsi="宋体" w:eastAsia="宋体" w:cs="宋体"/>
          <w:color w:val="auto"/>
          <w:szCs w:val="21"/>
          <w:shd w:val="clear" w:color="auto" w:fill="FFFFFF"/>
        </w:rPr>
        <w:t>除资格性检查认定错误、分值汇总计算错误、分项评分超出评分标准范围、客观分评分不一致、经</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小组一致认定评分畸高、畸低的情形外，采购人不得以任何理由组织重新评审。采购人发现</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小组未按照</w:t>
      </w:r>
      <w:r>
        <w:rPr>
          <w:rFonts w:hint="eastAsia" w:ascii="宋体" w:hAnsi="宋体" w:cs="宋体"/>
          <w:color w:val="auto"/>
          <w:szCs w:val="21"/>
          <w:shd w:val="clear" w:color="auto" w:fill="FFFFFF"/>
          <w:lang w:eastAsia="zh-CN"/>
        </w:rPr>
        <w:t>竞争性谈判</w:t>
      </w:r>
      <w:r>
        <w:rPr>
          <w:rFonts w:hint="eastAsia" w:ascii="宋体" w:hAnsi="宋体" w:eastAsia="宋体" w:cs="宋体"/>
          <w:color w:val="auto"/>
          <w:szCs w:val="21"/>
          <w:shd w:val="clear" w:color="auto" w:fill="FFFFFF"/>
        </w:rPr>
        <w:t>文件规定的评审标准进行评审的，应当重新开展采购活动，并同时书面报告本级</w:t>
      </w:r>
      <w:r>
        <w:rPr>
          <w:rFonts w:hint="eastAsia" w:ascii="宋体" w:hAnsi="宋体" w:eastAsia="宋体" w:cs="宋体"/>
          <w:color w:val="auto"/>
          <w:szCs w:val="21"/>
          <w:shd w:val="clear" w:color="auto" w:fill="FFFFFF"/>
          <w:lang w:val="en-US"/>
        </w:rPr>
        <w:t>主管</w:t>
      </w:r>
      <w:r>
        <w:rPr>
          <w:rFonts w:hint="eastAsia" w:ascii="宋体" w:hAnsi="宋体" w:eastAsia="宋体" w:cs="宋体"/>
          <w:color w:val="auto"/>
          <w:szCs w:val="21"/>
          <w:shd w:val="clear" w:color="auto" w:fill="FFFFFF"/>
        </w:rPr>
        <w:t>部门。</w:t>
      </w:r>
    </w:p>
    <w:p w14:paraId="6B005EE3">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20．响应文件的澄清、说明或者更正：</w:t>
      </w:r>
    </w:p>
    <w:p w14:paraId="6CA174E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3" w:name="_Toc26239"/>
      <w:bookmarkStart w:id="14" w:name="_Toc24636"/>
      <w:r>
        <w:rPr>
          <w:rFonts w:hint="eastAsia" w:ascii="宋体" w:hAnsi="宋体" w:eastAsia="宋体" w:cs="宋体"/>
          <w:color w:val="auto"/>
        </w:rPr>
        <w:t xml:space="preserve">20.1 </w:t>
      </w:r>
      <w:r>
        <w:rPr>
          <w:rFonts w:hint="eastAsia" w:ascii="宋体" w:hAnsi="宋体" w:cs="宋体"/>
          <w:color w:val="auto"/>
          <w:lang w:eastAsia="zh-CN"/>
        </w:rPr>
        <w:t>竞争性谈判</w:t>
      </w:r>
      <w:r>
        <w:rPr>
          <w:rFonts w:hint="eastAsia" w:ascii="宋体" w:hAnsi="宋体" w:eastAsia="宋体" w:cs="宋体"/>
          <w:color w:val="auto"/>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w:t>
      </w:r>
      <w:bookmarkEnd w:id="13"/>
      <w:bookmarkEnd w:id="14"/>
    </w:p>
    <w:p w14:paraId="172A93D9">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20.2 供应商的澄清、说明或者更正内容作为响应文件的一部分。</w:t>
      </w:r>
    </w:p>
    <w:p w14:paraId="499506D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 xml:space="preserve">20.3 </w:t>
      </w:r>
      <w:r>
        <w:rPr>
          <w:rFonts w:hint="eastAsia" w:ascii="宋体" w:hAnsi="宋体" w:cs="宋体"/>
          <w:color w:val="auto"/>
          <w:lang w:eastAsia="zh-CN"/>
        </w:rPr>
        <w:t>竞争性谈判</w:t>
      </w:r>
      <w:r>
        <w:rPr>
          <w:rFonts w:hint="eastAsia" w:ascii="宋体" w:hAnsi="宋体" w:eastAsia="宋体" w:cs="宋体"/>
          <w:color w:val="auto"/>
        </w:rPr>
        <w:t>小组要求供应商澄清、说明或者更正响应文件以书面形式作出。供应商的澄清、说明或者更正由其法定代表人或其授权代表签字或者加盖供应商单位公章。</w:t>
      </w:r>
    </w:p>
    <w:p w14:paraId="64211D4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21．对响应文件的评估和比较：</w:t>
      </w:r>
    </w:p>
    <w:p w14:paraId="63767742">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5" w:name="_Toc13155"/>
      <w:bookmarkStart w:id="16" w:name="_Toc10566"/>
      <w:r>
        <w:rPr>
          <w:rFonts w:hint="eastAsia" w:ascii="宋体" w:hAnsi="宋体" w:eastAsia="宋体" w:cs="宋体"/>
          <w:color w:val="auto"/>
        </w:rPr>
        <w:t>21.1 由采购方组织的</w:t>
      </w:r>
      <w:r>
        <w:rPr>
          <w:rFonts w:hint="eastAsia" w:ascii="宋体" w:hAnsi="宋体" w:cs="宋体"/>
          <w:color w:val="auto"/>
          <w:lang w:eastAsia="zh-CN"/>
        </w:rPr>
        <w:t>竞争性谈判</w:t>
      </w:r>
      <w:r>
        <w:rPr>
          <w:rFonts w:hint="eastAsia" w:ascii="宋体" w:hAnsi="宋体" w:eastAsia="宋体" w:cs="宋体"/>
          <w:color w:val="auto"/>
        </w:rPr>
        <w:t>小组对实质性响应的响应文件进行评估和比较。</w:t>
      </w:r>
      <w:bookmarkEnd w:id="15"/>
      <w:bookmarkEnd w:id="16"/>
    </w:p>
    <w:p w14:paraId="1E869F18">
      <w:pPr>
        <w:spacing w:line="360" w:lineRule="auto"/>
        <w:outlineLvl w:val="9"/>
        <w:rPr>
          <w:rFonts w:hint="eastAsia" w:ascii="宋体" w:hAnsi="宋体" w:eastAsia="宋体" w:cs="宋体"/>
          <w:color w:val="000000" w:themeColor="text1"/>
          <w14:textFill>
            <w14:solidFill>
              <w14:schemeClr w14:val="tx1"/>
            </w14:solidFill>
          </w14:textFill>
        </w:rPr>
      </w:pPr>
      <w:bookmarkStart w:id="17" w:name="_Toc25540"/>
      <w:bookmarkStart w:id="18" w:name="_Toc1067"/>
      <w:r>
        <w:rPr>
          <w:rFonts w:hint="eastAsia" w:ascii="宋体" w:hAnsi="宋体" w:eastAsia="宋体" w:cs="宋体"/>
          <w:color w:val="000000" w:themeColor="text1"/>
          <w14:textFill>
            <w14:solidFill>
              <w14:schemeClr w14:val="tx1"/>
            </w14:solidFill>
          </w14:textFill>
        </w:rPr>
        <w:t xml:space="preserve">21.2 </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时除考虑价格和技术服务费以外，还将考虑以下因素：</w:t>
      </w:r>
      <w:bookmarkEnd w:id="17"/>
      <w:bookmarkEnd w:id="18"/>
    </w:p>
    <w:p w14:paraId="60C027ED">
      <w:pPr>
        <w:spacing w:line="360" w:lineRule="auto"/>
        <w:outlineLvl w:val="9"/>
        <w:rPr>
          <w:rFonts w:hint="eastAsia" w:ascii="宋体" w:hAnsi="宋体" w:eastAsia="宋体" w:cs="宋体"/>
          <w:color w:val="000000" w:themeColor="text1"/>
          <w:lang w:eastAsia="zh-CN"/>
          <w14:textFill>
            <w14:solidFill>
              <w14:schemeClr w14:val="tx1"/>
            </w14:solidFill>
          </w14:textFill>
        </w:rPr>
      </w:pPr>
      <w:bookmarkStart w:id="19" w:name="_Toc12935"/>
      <w:r>
        <w:rPr>
          <w:rFonts w:hint="eastAsia" w:ascii="宋体" w:hAnsi="宋体" w:eastAsia="宋体" w:cs="宋体"/>
          <w:color w:val="000000" w:themeColor="text1"/>
          <w14:textFill>
            <w14:solidFill>
              <w14:schemeClr w14:val="tx1"/>
            </w14:solidFill>
          </w14:textFill>
        </w:rPr>
        <w:t>（1）响应文件中所报交货期等；</w:t>
      </w:r>
    </w:p>
    <w:p w14:paraId="764E773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（2）服务的技术水平、人员配备；</w:t>
      </w:r>
      <w:bookmarkEnd w:id="19"/>
    </w:p>
    <w:p w14:paraId="0E669AE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（3）其他要求因素；</w:t>
      </w:r>
    </w:p>
    <w:p w14:paraId="627E169C">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22．保密：</w:t>
      </w:r>
    </w:p>
    <w:p w14:paraId="771B2C2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20" w:name="_Toc9782"/>
      <w:bookmarkStart w:id="21" w:name="_Toc17897"/>
      <w:r>
        <w:rPr>
          <w:rFonts w:hint="eastAsia" w:ascii="宋体" w:hAnsi="宋体" w:eastAsia="宋体" w:cs="宋体"/>
          <w:color w:val="auto"/>
        </w:rPr>
        <w:t>22.1 有关响应文件的审查、澄清、评估和比较以及有关授予合同的意向的一切情况都不得透露给任一供应商或与</w:t>
      </w:r>
      <w:r>
        <w:rPr>
          <w:rFonts w:hint="eastAsia" w:ascii="宋体" w:hAnsi="宋体" w:cs="宋体"/>
          <w:color w:val="auto"/>
          <w:lang w:eastAsia="zh-CN"/>
        </w:rPr>
        <w:t>谈判</w:t>
      </w:r>
      <w:r>
        <w:rPr>
          <w:rFonts w:hint="eastAsia" w:ascii="宋体" w:hAnsi="宋体" w:eastAsia="宋体" w:cs="宋体"/>
          <w:color w:val="auto"/>
        </w:rPr>
        <w:t>工作无关的人员。</w:t>
      </w:r>
      <w:bookmarkEnd w:id="20"/>
      <w:bookmarkEnd w:id="21"/>
    </w:p>
    <w:p w14:paraId="55266848">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22.2 供应商不得干扰采购方的</w:t>
      </w:r>
      <w:r>
        <w:rPr>
          <w:rFonts w:hint="eastAsia" w:ascii="宋体" w:hAnsi="宋体" w:cs="宋体"/>
          <w:color w:val="auto"/>
          <w:lang w:eastAsia="zh-CN"/>
        </w:rPr>
        <w:t>谈判</w:t>
      </w:r>
      <w:r>
        <w:rPr>
          <w:rFonts w:hint="eastAsia" w:ascii="宋体" w:hAnsi="宋体" w:eastAsia="宋体" w:cs="宋体"/>
          <w:color w:val="auto"/>
        </w:rPr>
        <w:t>活动，否则将取消其</w:t>
      </w:r>
      <w:r>
        <w:rPr>
          <w:rFonts w:hint="eastAsia" w:ascii="宋体" w:hAnsi="宋体" w:cs="宋体"/>
          <w:color w:val="auto"/>
          <w:lang w:eastAsia="zh-CN"/>
        </w:rPr>
        <w:t>谈判</w:t>
      </w:r>
      <w:r>
        <w:rPr>
          <w:rFonts w:hint="eastAsia" w:ascii="宋体" w:hAnsi="宋体" w:eastAsia="宋体" w:cs="宋体"/>
          <w:color w:val="auto"/>
        </w:rPr>
        <w:t>资格，并</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130ED3D6">
      <w:pPr>
        <w:rPr>
          <w:rFonts w:hint="eastAsia" w:ascii="宋体" w:hAnsi="宋体" w:eastAsia="宋体" w:cs="宋体"/>
          <w:b/>
          <w:color w:val="auto"/>
          <w:szCs w:val="21"/>
        </w:rPr>
      </w:pPr>
    </w:p>
    <w:p w14:paraId="310D399E">
      <w:pPr>
        <w:keepNext w:val="0"/>
        <w:keepLines w:val="0"/>
        <w:pageBreakBefore w:val="0"/>
        <w:kinsoku/>
        <w:wordWrap/>
        <w:overflowPunct/>
        <w:topLinePunct w:val="0"/>
        <w:autoSpaceDE/>
        <w:autoSpaceDN/>
        <w:bidi w:val="0"/>
        <w:spacing w:line="432" w:lineRule="auto"/>
        <w:ind w:left="70"/>
        <w:jc w:val="center"/>
        <w:textAlignment w:val="auto"/>
        <w:rPr>
          <w:rFonts w:hint="eastAsia" w:ascii="宋体" w:hAnsi="宋体" w:eastAsia="宋体" w:cs="宋体"/>
          <w:b/>
          <w:color w:val="auto"/>
          <w:szCs w:val="21"/>
        </w:rPr>
      </w:pPr>
      <w:r>
        <w:rPr>
          <w:rFonts w:hint="eastAsia" w:ascii="宋体" w:hAnsi="宋体" w:eastAsia="宋体" w:cs="宋体"/>
          <w:b/>
          <w:bCs/>
          <w:color w:val="auto"/>
          <w:szCs w:val="21"/>
          <w:lang w:val="en-US" w:eastAsia="zh-CN"/>
        </w:rPr>
        <w:t>F</w:t>
      </w:r>
      <w:r>
        <w:rPr>
          <w:rFonts w:hint="eastAsia" w:ascii="宋体" w:hAnsi="宋体" w:eastAsia="宋体" w:cs="宋体"/>
          <w:b/>
          <w:bCs/>
          <w:color w:val="auto"/>
          <w:szCs w:val="21"/>
        </w:rPr>
        <w:t>无效响应文件及重新开展采购活动确定原则</w:t>
      </w:r>
    </w:p>
    <w:p w14:paraId="17943B5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23.</w:t>
      </w:r>
      <w:r>
        <w:rPr>
          <w:rFonts w:hint="eastAsia" w:ascii="宋体" w:hAnsi="宋体" w:eastAsia="宋体" w:cs="宋体"/>
          <w:color w:val="auto"/>
        </w:rPr>
        <w:t>无效响应文件确定原则：</w:t>
      </w:r>
    </w:p>
    <w:p w14:paraId="49AE7FF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23.</w:t>
      </w:r>
      <w:r>
        <w:rPr>
          <w:rFonts w:hint="eastAsia" w:ascii="宋体" w:hAnsi="宋体" w:eastAsia="宋体" w:cs="宋体"/>
          <w:color w:val="auto"/>
          <w:highlight w:val="none"/>
        </w:rPr>
        <w:t>1.1</w:t>
      </w:r>
      <w:r>
        <w:rPr>
          <w:rFonts w:hint="eastAsia" w:ascii="宋体" w:hAnsi="宋体" w:cs="宋体"/>
          <w:color w:val="auto"/>
          <w:highlight w:val="none"/>
          <w:lang w:eastAsia="zh-CN"/>
        </w:rPr>
        <w:t>谈判</w:t>
      </w:r>
      <w:r>
        <w:rPr>
          <w:rFonts w:hint="eastAsia" w:ascii="宋体" w:hAnsi="宋体" w:eastAsia="宋体" w:cs="宋体"/>
          <w:color w:val="auto"/>
          <w:highlight w:val="none"/>
        </w:rPr>
        <w:t>函、报价表、</w:t>
      </w:r>
      <w:r>
        <w:rPr>
          <w:rFonts w:hint="eastAsia" w:ascii="宋体" w:hAnsi="宋体" w:eastAsia="宋体" w:cs="宋体"/>
          <w:bCs/>
          <w:color w:val="auto"/>
          <w:szCs w:val="21"/>
          <w:highlight w:val="none"/>
        </w:rPr>
        <w:t>技术服务要求偏离表</w:t>
      </w:r>
      <w:r>
        <w:rPr>
          <w:rFonts w:hint="eastAsia" w:ascii="宋体" w:hAnsi="宋体" w:eastAsia="宋体" w:cs="宋体"/>
          <w:color w:val="auto"/>
          <w:highlight w:val="none"/>
        </w:rPr>
        <w:t>（内容不完整）；</w:t>
      </w:r>
    </w:p>
    <w:p w14:paraId="1C68F7A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23.</w:t>
      </w:r>
      <w:r>
        <w:rPr>
          <w:rFonts w:hint="eastAsia" w:ascii="宋体" w:hAnsi="宋体" w:eastAsia="宋体" w:cs="宋体"/>
          <w:color w:val="auto"/>
        </w:rPr>
        <w:t>1.2法定代表人因故未持本人身份证原件到</w:t>
      </w:r>
      <w:r>
        <w:rPr>
          <w:rFonts w:hint="eastAsia" w:ascii="宋体" w:hAnsi="宋体" w:cs="宋体"/>
          <w:color w:val="auto"/>
          <w:lang w:eastAsia="zh-CN"/>
        </w:rPr>
        <w:t>谈判</w:t>
      </w:r>
      <w:r>
        <w:rPr>
          <w:rFonts w:hint="eastAsia" w:ascii="宋体" w:hAnsi="宋体" w:eastAsia="宋体" w:cs="宋体"/>
          <w:color w:val="auto"/>
        </w:rPr>
        <w:t>现场或法定代表人身份证明和本人身份证原件不一致</w:t>
      </w:r>
      <w:r>
        <w:rPr>
          <w:rFonts w:hint="eastAsia" w:ascii="宋体" w:hAnsi="宋体" w:cs="宋体"/>
          <w:color w:val="auto"/>
          <w:lang w:eastAsia="zh-CN"/>
        </w:rPr>
        <w:t>；</w:t>
      </w:r>
    </w:p>
    <w:p w14:paraId="24C2EB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的，其他</w:t>
      </w:r>
      <w:r>
        <w:rPr>
          <w:rFonts w:hint="eastAsia" w:ascii="宋体" w:hAnsi="宋体" w:eastAsia="宋体" w:cs="宋体"/>
          <w:color w:val="auto"/>
          <w:szCs w:val="21"/>
        </w:rPr>
        <w:t>委托代理人</w:t>
      </w:r>
      <w:r>
        <w:rPr>
          <w:rFonts w:hint="eastAsia" w:ascii="宋体" w:hAnsi="宋体" w:eastAsia="宋体" w:cs="宋体"/>
          <w:color w:val="auto"/>
        </w:rPr>
        <w:t>又无</w:t>
      </w:r>
      <w:r>
        <w:rPr>
          <w:rFonts w:hint="eastAsia" w:ascii="宋体" w:hAnsi="宋体" w:eastAsia="宋体" w:cs="宋体"/>
          <w:color w:val="auto"/>
          <w:szCs w:val="21"/>
        </w:rPr>
        <w:t>授权委托书原件和本人身份证原件</w:t>
      </w:r>
      <w:r>
        <w:rPr>
          <w:rFonts w:hint="eastAsia" w:ascii="宋体" w:hAnsi="宋体" w:eastAsia="宋体" w:cs="宋体"/>
          <w:color w:val="auto"/>
        </w:rPr>
        <w:t>的或</w:t>
      </w:r>
      <w:r>
        <w:rPr>
          <w:rFonts w:hint="eastAsia" w:ascii="宋体" w:hAnsi="宋体" w:eastAsia="宋体" w:cs="宋体"/>
          <w:color w:val="auto"/>
          <w:szCs w:val="21"/>
        </w:rPr>
        <w:t>委托代理人授权委托书原件的身份证复印件或扫描件与授权委托人身份证原件不一致时</w:t>
      </w:r>
      <w:r>
        <w:rPr>
          <w:rFonts w:hint="eastAsia" w:ascii="宋体" w:hAnsi="宋体" w:eastAsia="宋体" w:cs="宋体"/>
          <w:color w:val="auto"/>
        </w:rPr>
        <w:t>；</w:t>
      </w:r>
    </w:p>
    <w:p w14:paraId="2B77CC8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1.3 响应文件中的内容与</w:t>
      </w:r>
      <w:r>
        <w:rPr>
          <w:rFonts w:hint="eastAsia" w:ascii="宋体" w:hAnsi="宋体" w:cs="宋体"/>
          <w:color w:val="auto"/>
          <w:lang w:eastAsia="zh-CN"/>
        </w:rPr>
        <w:t>竞争性谈判</w:t>
      </w:r>
      <w:r>
        <w:rPr>
          <w:rFonts w:hint="eastAsia" w:ascii="宋体" w:hAnsi="宋体" w:eastAsia="宋体" w:cs="宋体"/>
          <w:color w:val="auto"/>
        </w:rPr>
        <w:t>文件内容不符的；</w:t>
      </w:r>
    </w:p>
    <w:p w14:paraId="422B0D9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1.4 供应商相互串通或恶意报价的；</w:t>
      </w:r>
    </w:p>
    <w:p w14:paraId="4475B46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5 提供虚假材料，骗取政府采购供应商资格的；</w:t>
      </w:r>
    </w:p>
    <w:p w14:paraId="2F88DED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cs="宋体"/>
          <w:color w:val="auto"/>
          <w:lang w:eastAsia="zh-CN"/>
        </w:rPr>
        <w:t>23.1.</w:t>
      </w:r>
      <w:r>
        <w:rPr>
          <w:rFonts w:hint="eastAsia" w:ascii="宋体" w:hAnsi="宋体" w:eastAsia="宋体" w:cs="宋体"/>
          <w:color w:val="auto"/>
        </w:rPr>
        <w:t>6</w:t>
      </w:r>
      <w:r>
        <w:rPr>
          <w:rFonts w:hint="eastAsia" w:ascii="宋体" w:hAnsi="宋体" w:eastAsia="宋体" w:cs="宋体"/>
          <w:color w:val="auto"/>
          <w:szCs w:val="21"/>
        </w:rPr>
        <w:t>供应商未提供：</w:t>
      </w:r>
      <w:r>
        <w:rPr>
          <w:rFonts w:hint="eastAsia" w:ascii="宋体" w:hAnsi="宋体" w:eastAsia="宋体" w:cs="宋体"/>
          <w:color w:val="auto"/>
        </w:rPr>
        <w:t>法定代表人未持法定代表人身份证明及本人身份证原件，或委托代理人未持授权委托书原件及本人身份证原件将响应文件递交至</w:t>
      </w:r>
      <w:r>
        <w:rPr>
          <w:rFonts w:hint="eastAsia" w:ascii="宋体" w:hAnsi="宋体" w:eastAsia="宋体" w:cs="宋体"/>
          <w:color w:val="auto"/>
          <w:szCs w:val="21"/>
        </w:rPr>
        <w:t>规定的时间地点。</w:t>
      </w:r>
    </w:p>
    <w:p w14:paraId="20DBEFB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7 向采购主管单位、采购人等行贿或者提供其他不正当利益的；</w:t>
      </w:r>
    </w:p>
    <w:p w14:paraId="5CE466E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8 拒绝财政及有关部门的检查或者不如实反映情况、提供材料的；</w:t>
      </w:r>
    </w:p>
    <w:p w14:paraId="1000F60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9 响应文件的密封破损能看到响应文件实质性文件；</w:t>
      </w:r>
    </w:p>
    <w:p w14:paraId="66A0C8C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10响应文件承诺的</w:t>
      </w:r>
      <w:r>
        <w:rPr>
          <w:rFonts w:hint="eastAsia" w:ascii="宋体" w:hAnsi="宋体" w:eastAsia="宋体" w:cs="宋体"/>
          <w:color w:val="auto"/>
          <w:lang w:eastAsia="zh-CN"/>
        </w:rPr>
        <w:t>服务期</w:t>
      </w:r>
      <w:r>
        <w:rPr>
          <w:rFonts w:hint="eastAsia" w:ascii="宋体" w:hAnsi="宋体" w:eastAsia="宋体" w:cs="宋体"/>
          <w:color w:val="auto"/>
        </w:rPr>
        <w:t>不满足</w:t>
      </w:r>
      <w:r>
        <w:rPr>
          <w:rFonts w:hint="eastAsia" w:ascii="宋体" w:hAnsi="宋体" w:cs="宋体"/>
          <w:color w:val="auto"/>
          <w:lang w:eastAsia="zh-CN"/>
        </w:rPr>
        <w:t>竞争性谈判</w:t>
      </w:r>
      <w:r>
        <w:rPr>
          <w:rFonts w:hint="eastAsia" w:ascii="宋体" w:hAnsi="宋体" w:eastAsia="宋体" w:cs="宋体"/>
          <w:color w:val="auto"/>
        </w:rPr>
        <w:t>文件要求的；</w:t>
      </w:r>
    </w:p>
    <w:p w14:paraId="343C2E37">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11未经许可，私自更改、删除</w:t>
      </w:r>
      <w:r>
        <w:rPr>
          <w:rStyle w:val="44"/>
          <w:rFonts w:hint="eastAsia" w:ascii="宋体" w:hAnsi="宋体" w:cs="宋体"/>
          <w:color w:val="auto"/>
          <w:u w:val="none"/>
          <w:lang w:eastAsia="zh-CN"/>
        </w:rPr>
        <w:t>竞争性谈判</w:t>
      </w:r>
      <w:r>
        <w:rPr>
          <w:rStyle w:val="44"/>
          <w:rFonts w:hint="eastAsia" w:ascii="宋体" w:hAnsi="宋体" w:eastAsia="宋体" w:cs="宋体"/>
          <w:color w:val="auto"/>
          <w:u w:val="none"/>
        </w:rPr>
        <w:t>文件中内容：主要是指《采购项目的技术规格、数量、服务标准、验收等要求，包括附件、图纸等》中所要求的内容、数量、单位等。</w:t>
      </w:r>
    </w:p>
    <w:p w14:paraId="68111544">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12供应商未按规定提交</w:t>
      </w:r>
      <w:r>
        <w:rPr>
          <w:rStyle w:val="44"/>
          <w:rFonts w:hint="eastAsia" w:ascii="宋体" w:hAnsi="宋体" w:cs="宋体"/>
          <w:color w:val="auto"/>
          <w:u w:val="none"/>
          <w:lang w:eastAsia="zh-CN"/>
        </w:rPr>
        <w:t>谈判</w:t>
      </w:r>
      <w:r>
        <w:rPr>
          <w:rStyle w:val="44"/>
          <w:rFonts w:hint="eastAsia" w:ascii="宋体" w:hAnsi="宋体" w:eastAsia="宋体" w:cs="宋体"/>
          <w:color w:val="auto"/>
          <w:u w:val="none"/>
        </w:rPr>
        <w:t>保证金的</w:t>
      </w:r>
      <w:r>
        <w:rPr>
          <w:rStyle w:val="44"/>
          <w:rFonts w:hint="eastAsia" w:ascii="宋体" w:hAnsi="宋体" w:cs="宋体"/>
          <w:color w:val="auto"/>
          <w:u w:val="none"/>
          <w:lang w:val="en-US" w:eastAsia="zh-CN"/>
        </w:rPr>
        <w:t>(如有）</w:t>
      </w:r>
      <w:r>
        <w:rPr>
          <w:rStyle w:val="44"/>
          <w:rFonts w:hint="eastAsia" w:ascii="宋体" w:hAnsi="宋体" w:eastAsia="宋体" w:cs="宋体"/>
          <w:color w:val="auto"/>
          <w:u w:val="none"/>
        </w:rPr>
        <w:t>。</w:t>
      </w:r>
    </w:p>
    <w:p w14:paraId="616552FE">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13法律、法规规定的其他情形。</w:t>
      </w:r>
    </w:p>
    <w:p w14:paraId="00528F19">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val="en-US" w:eastAsia="zh-CN"/>
        </w:rPr>
        <w:t>23.2</w:t>
      </w:r>
      <w:r>
        <w:rPr>
          <w:rStyle w:val="44"/>
          <w:rFonts w:hint="eastAsia" w:ascii="宋体" w:hAnsi="宋体" w:eastAsia="宋体" w:cs="宋体"/>
          <w:color w:val="auto"/>
          <w:u w:val="none"/>
        </w:rPr>
        <w:t xml:space="preserve">  重新开展采购活动确定原则：</w:t>
      </w:r>
    </w:p>
    <w:p w14:paraId="67F3251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Style w:val="44"/>
          <w:rFonts w:hint="eastAsia" w:ascii="宋体" w:hAnsi="宋体" w:cs="宋体"/>
          <w:color w:val="auto"/>
          <w:u w:val="none"/>
          <w:lang w:eastAsia="zh-CN"/>
        </w:rPr>
        <w:t>23.2</w:t>
      </w:r>
      <w:r>
        <w:rPr>
          <w:rStyle w:val="44"/>
          <w:rFonts w:hint="eastAsia" w:ascii="宋体" w:hAnsi="宋体" w:eastAsia="宋体" w:cs="宋体"/>
          <w:color w:val="auto"/>
          <w:u w:val="none"/>
        </w:rPr>
        <w:t>.1因情况变化，不再符合规定的</w:t>
      </w:r>
      <w:r>
        <w:rPr>
          <w:rStyle w:val="44"/>
          <w:rFonts w:hint="eastAsia" w:ascii="宋体" w:hAnsi="宋体" w:cs="宋体"/>
          <w:color w:val="auto"/>
          <w:u w:val="none"/>
          <w:lang w:eastAsia="zh-CN"/>
        </w:rPr>
        <w:t>竞争性谈判</w:t>
      </w:r>
      <w:r>
        <w:rPr>
          <w:rFonts w:hint="eastAsia" w:ascii="宋体" w:hAnsi="宋体" w:eastAsia="宋体" w:cs="宋体"/>
          <w:color w:val="auto"/>
        </w:rPr>
        <w:t>采购方式适用情形的；</w:t>
      </w:r>
    </w:p>
    <w:p w14:paraId="547184A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.2出现影响采购公正的违法、违规行为的；</w:t>
      </w:r>
    </w:p>
    <w:p w14:paraId="284EE62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.3在采购过程中符合要求的供应商或者报价未超过</w:t>
      </w:r>
      <w:r>
        <w:rPr>
          <w:rFonts w:hint="eastAsia" w:ascii="宋体" w:hAnsi="宋体" w:cs="宋体"/>
          <w:color w:val="auto"/>
          <w:lang w:val="en-US" w:eastAsia="zh-CN"/>
        </w:rPr>
        <w:t>控制价</w:t>
      </w:r>
      <w:r>
        <w:rPr>
          <w:rFonts w:hint="eastAsia" w:ascii="宋体" w:hAnsi="宋体" w:eastAsia="宋体" w:cs="宋体"/>
          <w:color w:val="auto"/>
        </w:rPr>
        <w:t>的供应商不足3家的。</w:t>
      </w:r>
    </w:p>
    <w:p w14:paraId="69F35E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Cs/>
          <w:color w:val="auto"/>
        </w:rPr>
      </w:pPr>
      <w:r>
        <w:rPr>
          <w:rFonts w:hint="eastAsia" w:ascii="宋体" w:hAnsi="宋体" w:cs="宋体"/>
          <w:color w:val="auto"/>
          <w:lang w:eastAsia="zh-CN"/>
        </w:rPr>
        <w:t>23.2</w:t>
      </w:r>
      <w:r>
        <w:rPr>
          <w:rFonts w:hint="eastAsia" w:ascii="宋体" w:hAnsi="宋体" w:eastAsia="宋体" w:cs="宋体"/>
          <w:color w:val="auto"/>
        </w:rPr>
        <w:t>.4</w:t>
      </w:r>
      <w:r>
        <w:rPr>
          <w:rFonts w:hint="eastAsia" w:ascii="宋体" w:hAnsi="宋体" w:eastAsia="宋体" w:cs="宋体"/>
          <w:bCs/>
          <w:color w:val="auto"/>
        </w:rPr>
        <w:t>因重大变故，采购任务取消的；</w:t>
      </w:r>
    </w:p>
    <w:p w14:paraId="500265F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.5法律、法规规定的其他情形。</w:t>
      </w:r>
    </w:p>
    <w:p w14:paraId="674AD1D7">
      <w:pPr>
        <w:rPr>
          <w:rFonts w:hint="eastAsia" w:ascii="宋体" w:hAnsi="宋体" w:eastAsia="宋体" w:cs="宋体"/>
          <w:b/>
          <w:bCs/>
          <w:color w:val="auto"/>
          <w:szCs w:val="21"/>
        </w:rPr>
      </w:pPr>
    </w:p>
    <w:p w14:paraId="5E54FB3A">
      <w:pPr>
        <w:keepNext w:val="0"/>
        <w:keepLines w:val="0"/>
        <w:pageBreakBefore w:val="0"/>
        <w:kinsoku/>
        <w:wordWrap/>
        <w:overflowPunct/>
        <w:topLinePunct w:val="0"/>
        <w:autoSpaceDE/>
        <w:autoSpaceDN/>
        <w:bidi w:val="0"/>
        <w:spacing w:line="432" w:lineRule="auto"/>
        <w:jc w:val="center"/>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G</w:t>
      </w:r>
      <w:r>
        <w:rPr>
          <w:rFonts w:hint="eastAsia" w:ascii="宋体" w:hAnsi="宋体" w:eastAsia="宋体" w:cs="宋体"/>
          <w:b/>
          <w:bCs/>
          <w:color w:val="auto"/>
          <w:szCs w:val="21"/>
        </w:rPr>
        <w:t>成交</w:t>
      </w:r>
    </w:p>
    <w:p w14:paraId="579EDA0C">
      <w:pPr>
        <w:keepNext w:val="0"/>
        <w:keepLines w:val="0"/>
        <w:pageBreakBefore w:val="0"/>
        <w:numPr>
          <w:ilvl w:val="0"/>
          <w:numId w:val="0"/>
        </w:numPr>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lang w:val="en-US" w:eastAsia="zh-CN"/>
        </w:rPr>
        <w:t>24.</w:t>
      </w:r>
      <w:r>
        <w:rPr>
          <w:rFonts w:hint="eastAsia" w:ascii="宋体" w:hAnsi="宋体" w:eastAsia="宋体" w:cs="宋体"/>
          <w:color w:val="auto"/>
        </w:rPr>
        <w:t>成交：</w:t>
      </w:r>
    </w:p>
    <w:p w14:paraId="42A22125">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szCs w:val="21"/>
          <w:lang w:eastAsia="zh-CN"/>
        </w:rPr>
        <w:t>24.</w:t>
      </w:r>
      <w:r>
        <w:rPr>
          <w:rFonts w:hint="eastAsia" w:ascii="宋体" w:hAnsi="宋体" w:eastAsia="宋体" w:cs="宋体"/>
          <w:color w:val="auto"/>
          <w:szCs w:val="21"/>
        </w:rPr>
        <w:t xml:space="preserve">1 </w:t>
      </w:r>
      <w:r>
        <w:rPr>
          <w:rFonts w:hint="eastAsia" w:ascii="宋体" w:hAnsi="宋体" w:cs="宋体"/>
          <w:color w:val="auto"/>
          <w:szCs w:val="21"/>
          <w:lang w:eastAsia="zh-CN"/>
        </w:rPr>
        <w:t>竞争性谈判</w:t>
      </w:r>
      <w:r>
        <w:rPr>
          <w:rFonts w:hint="eastAsia" w:ascii="宋体" w:hAnsi="宋体" w:eastAsia="宋体" w:cs="宋体"/>
          <w:color w:val="auto"/>
          <w:szCs w:val="21"/>
        </w:rPr>
        <w:t>小组将评审情况写出书面报告，推荐成交候选供应商。</w:t>
      </w:r>
    </w:p>
    <w:p w14:paraId="51A3CD72">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cs="宋体"/>
          <w:color w:val="auto"/>
          <w:szCs w:val="21"/>
          <w:lang w:eastAsia="zh-CN"/>
        </w:rPr>
        <w:t>24.</w:t>
      </w:r>
      <w:r>
        <w:rPr>
          <w:rFonts w:hint="eastAsia" w:ascii="宋体" w:hAnsi="宋体" w:cs="宋体"/>
          <w:color w:val="auto"/>
          <w:szCs w:val="21"/>
          <w:lang w:val="en-US" w:eastAsia="zh-CN"/>
        </w:rPr>
        <w:t>2</w:t>
      </w:r>
      <w:r>
        <w:rPr>
          <w:rFonts w:hint="eastAsia" w:ascii="宋体" w:hAnsi="宋体" w:eastAsia="宋体" w:cs="宋体"/>
          <w:color w:val="auto"/>
          <w:szCs w:val="21"/>
        </w:rPr>
        <w:t>采购</w:t>
      </w:r>
      <w:r>
        <w:rPr>
          <w:rFonts w:hint="eastAsia" w:ascii="宋体" w:hAnsi="宋体" w:cs="宋体"/>
          <w:color w:val="auto"/>
          <w:szCs w:val="21"/>
          <w:lang w:val="en-US" w:eastAsia="zh-CN"/>
        </w:rPr>
        <w:t>人</w:t>
      </w:r>
      <w:r>
        <w:rPr>
          <w:rFonts w:hint="eastAsia" w:ascii="宋体" w:hAnsi="宋体" w:eastAsia="宋体" w:cs="宋体"/>
          <w:color w:val="auto"/>
          <w:szCs w:val="21"/>
        </w:rPr>
        <w:t>不退回响应供应商响应文件和其他响应资料。</w:t>
      </w:r>
    </w:p>
    <w:p w14:paraId="337D36A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25.</w:t>
      </w:r>
      <w:r>
        <w:rPr>
          <w:rFonts w:hint="eastAsia" w:ascii="宋体" w:hAnsi="宋体" w:eastAsia="宋体" w:cs="宋体"/>
          <w:color w:val="auto"/>
        </w:rPr>
        <w:t>成交通知：</w:t>
      </w:r>
    </w:p>
    <w:p w14:paraId="180C0FE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.1 确定出成交单位后，将以书面形式发出《</w:t>
      </w:r>
      <w:r>
        <w:rPr>
          <w:rFonts w:hint="eastAsia" w:ascii="宋体" w:hAnsi="宋体" w:cs="宋体"/>
          <w:color w:val="auto"/>
          <w:lang w:eastAsia="zh-CN"/>
        </w:rPr>
        <w:t>中标通知书</w:t>
      </w:r>
      <w:r>
        <w:rPr>
          <w:rFonts w:hint="eastAsia" w:ascii="宋体" w:hAnsi="宋体" w:eastAsia="宋体" w:cs="宋体"/>
          <w:color w:val="auto"/>
        </w:rPr>
        <w:t>》。《</w:t>
      </w:r>
      <w:r>
        <w:rPr>
          <w:rFonts w:hint="eastAsia" w:ascii="宋体" w:hAnsi="宋体" w:cs="宋体"/>
          <w:color w:val="auto"/>
          <w:lang w:eastAsia="zh-CN"/>
        </w:rPr>
        <w:t>中标通知书</w:t>
      </w:r>
      <w:r>
        <w:rPr>
          <w:rFonts w:hint="eastAsia" w:ascii="宋体" w:hAnsi="宋体" w:eastAsia="宋体" w:cs="宋体"/>
          <w:color w:val="auto"/>
        </w:rPr>
        <w:t>》一经发出即发生法律效力。</w:t>
      </w:r>
    </w:p>
    <w:p w14:paraId="56250CF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w:t>
      </w:r>
      <w:r>
        <w:rPr>
          <w:rFonts w:hint="eastAsia" w:ascii="宋体" w:hAnsi="宋体" w:cs="宋体"/>
          <w:color w:val="auto"/>
          <w:lang w:val="en-US" w:eastAsia="zh-CN"/>
        </w:rPr>
        <w:t>2</w:t>
      </w:r>
      <w:r>
        <w:rPr>
          <w:rFonts w:hint="eastAsia" w:ascii="宋体" w:hAnsi="宋体" w:eastAsia="宋体" w:cs="宋体"/>
          <w:color w:val="auto"/>
        </w:rPr>
        <w:t xml:space="preserve"> 《</w:t>
      </w:r>
      <w:r>
        <w:rPr>
          <w:rFonts w:hint="eastAsia" w:ascii="宋体" w:hAnsi="宋体" w:cs="宋体"/>
          <w:color w:val="auto"/>
          <w:lang w:eastAsia="zh-CN"/>
        </w:rPr>
        <w:t>中标通知书</w:t>
      </w:r>
      <w:r>
        <w:rPr>
          <w:rFonts w:hint="eastAsia" w:ascii="宋体" w:hAnsi="宋体" w:eastAsia="宋体" w:cs="宋体"/>
          <w:color w:val="auto"/>
        </w:rPr>
        <w:t>》将作为签订合同的依据。</w:t>
      </w:r>
    </w:p>
    <w:p w14:paraId="1C0C08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．签订合同：</w:t>
      </w:r>
    </w:p>
    <w:p w14:paraId="02A0AF9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.1 成交供应商应当按照《</w:t>
      </w:r>
      <w:r>
        <w:rPr>
          <w:rFonts w:hint="eastAsia" w:ascii="宋体" w:hAnsi="宋体" w:cs="宋体"/>
          <w:color w:val="auto"/>
          <w:lang w:eastAsia="zh-CN"/>
        </w:rPr>
        <w:t>中标通知书</w:t>
      </w:r>
      <w:r>
        <w:rPr>
          <w:rFonts w:hint="eastAsia" w:ascii="宋体" w:hAnsi="宋体" w:eastAsia="宋体" w:cs="宋体"/>
          <w:color w:val="auto"/>
        </w:rPr>
        <w:t>》中指定的时间、地点与采购人按照</w:t>
      </w:r>
      <w:r>
        <w:rPr>
          <w:rFonts w:hint="eastAsia" w:ascii="宋体" w:hAnsi="宋体" w:cs="宋体"/>
          <w:color w:val="auto"/>
          <w:lang w:eastAsia="zh-CN"/>
        </w:rPr>
        <w:t>竞争性谈判</w:t>
      </w:r>
      <w:r>
        <w:rPr>
          <w:rFonts w:hint="eastAsia" w:ascii="宋体" w:hAnsi="宋体" w:eastAsia="宋体" w:cs="宋体"/>
          <w:color w:val="auto"/>
        </w:rPr>
        <w:t>文件和成交供应的响应文件订立书面合同，所订的合同不得对</w:t>
      </w:r>
      <w:r>
        <w:rPr>
          <w:rFonts w:hint="eastAsia" w:ascii="宋体" w:hAnsi="宋体" w:cs="宋体"/>
          <w:color w:val="auto"/>
          <w:lang w:eastAsia="zh-CN"/>
        </w:rPr>
        <w:t>竞争性谈判</w:t>
      </w:r>
      <w:r>
        <w:rPr>
          <w:rFonts w:hint="eastAsia" w:ascii="宋体" w:hAnsi="宋体" w:eastAsia="宋体" w:cs="宋体"/>
          <w:color w:val="auto"/>
        </w:rPr>
        <w:t>文件和成交供应商的响应文件作实质性修改。</w:t>
      </w:r>
    </w:p>
    <w:p w14:paraId="7A36C7C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 xml:space="preserve">25.2 </w:t>
      </w:r>
      <w:r>
        <w:rPr>
          <w:rFonts w:hint="eastAsia" w:ascii="宋体" w:hAnsi="宋体" w:cs="宋体"/>
          <w:color w:val="auto"/>
          <w:lang w:eastAsia="zh-CN"/>
        </w:rPr>
        <w:t>竞争性谈判</w:t>
      </w:r>
      <w:r>
        <w:rPr>
          <w:rFonts w:hint="eastAsia" w:ascii="宋体" w:hAnsi="宋体" w:eastAsia="宋体" w:cs="宋体"/>
          <w:color w:val="auto"/>
        </w:rPr>
        <w:t>文件、成交供应商的响应文件及其澄清文件等，均为签订采购合同的依据。</w:t>
      </w:r>
    </w:p>
    <w:p w14:paraId="2BF1461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25.3 采购人与成交供应商应当按照</w:t>
      </w:r>
      <w:r>
        <w:rPr>
          <w:rFonts w:hint="eastAsia" w:ascii="宋体" w:hAnsi="宋体" w:cs="宋体"/>
          <w:color w:val="auto"/>
          <w:lang w:eastAsia="zh-CN"/>
        </w:rPr>
        <w:t>竞争性谈判</w:t>
      </w:r>
      <w:r>
        <w:rPr>
          <w:rFonts w:hint="eastAsia" w:ascii="宋体" w:hAnsi="宋体" w:eastAsia="宋体" w:cs="宋体"/>
          <w:color w:val="auto"/>
        </w:rPr>
        <w:t>文件确定的合同文本格式（参考）以及采购标的、品牌、规格型号、采购金额、采购数量、技术服务要求等事项签订</w:t>
      </w:r>
      <w:r>
        <w:rPr>
          <w:rFonts w:hint="eastAsia" w:ascii="宋体" w:hAnsi="宋体" w:eastAsia="宋体" w:cs="宋体"/>
          <w:color w:val="auto"/>
          <w:lang w:eastAsia="zh-CN"/>
        </w:rPr>
        <w:t>采购合同</w:t>
      </w:r>
      <w:r>
        <w:rPr>
          <w:rFonts w:hint="eastAsia" w:ascii="宋体" w:hAnsi="宋体" w:eastAsia="宋体" w:cs="宋体"/>
          <w:color w:val="auto"/>
        </w:rPr>
        <w:t>。采购人不得向成交供应商提出超出</w:t>
      </w:r>
      <w:r>
        <w:rPr>
          <w:rFonts w:hint="eastAsia" w:ascii="宋体" w:hAnsi="宋体" w:cs="宋体"/>
          <w:color w:val="auto"/>
          <w:lang w:eastAsia="zh-CN"/>
        </w:rPr>
        <w:t>竞争性谈判</w:t>
      </w:r>
      <w:r>
        <w:rPr>
          <w:rFonts w:hint="eastAsia" w:ascii="宋体" w:hAnsi="宋体" w:eastAsia="宋体" w:cs="宋体"/>
          <w:color w:val="auto"/>
        </w:rPr>
        <w:t>文件以外的任何要求作为签订合同的条件，不得与成交供应商订立背离</w:t>
      </w:r>
      <w:r>
        <w:rPr>
          <w:rFonts w:hint="eastAsia" w:ascii="宋体" w:hAnsi="宋体" w:cs="宋体"/>
          <w:color w:val="auto"/>
          <w:lang w:eastAsia="zh-CN"/>
        </w:rPr>
        <w:t>竞争性谈判</w:t>
      </w:r>
      <w:r>
        <w:rPr>
          <w:rFonts w:hint="eastAsia" w:ascii="宋体" w:hAnsi="宋体" w:eastAsia="宋体" w:cs="宋体"/>
          <w:color w:val="auto"/>
        </w:rPr>
        <w:t>文件确定的采购标的、规格型号、采购金额、采购数量、技术服务要求等实质性内容的合同。</w:t>
      </w:r>
    </w:p>
    <w:p w14:paraId="276AA00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27.</w:t>
      </w:r>
      <w:r>
        <w:rPr>
          <w:rFonts w:hint="eastAsia" w:ascii="宋体" w:hAnsi="宋体" w:eastAsia="宋体" w:cs="宋体"/>
          <w:color w:val="auto"/>
        </w:rPr>
        <w:t>除资格性检查认定错误、分值汇总计算错误、分项评分超出评分标准范围、客观分评分不一致、经</w:t>
      </w:r>
      <w:r>
        <w:rPr>
          <w:rFonts w:hint="eastAsia" w:ascii="宋体" w:hAnsi="宋体" w:cs="宋体"/>
          <w:color w:val="auto"/>
          <w:lang w:eastAsia="zh-CN"/>
        </w:rPr>
        <w:t>谈判</w:t>
      </w:r>
      <w:r>
        <w:rPr>
          <w:rFonts w:hint="eastAsia" w:ascii="宋体" w:hAnsi="宋体" w:eastAsia="宋体" w:cs="宋体"/>
          <w:color w:val="auto"/>
        </w:rPr>
        <w:t>小组一致认定评分畸高、畸低的情形外，采购人不得以任何理由组织重新评审。采购人发现</w:t>
      </w:r>
      <w:r>
        <w:rPr>
          <w:rFonts w:hint="eastAsia" w:ascii="宋体" w:hAnsi="宋体" w:cs="宋体"/>
          <w:color w:val="auto"/>
          <w:lang w:eastAsia="zh-CN"/>
        </w:rPr>
        <w:t>谈判</w:t>
      </w:r>
      <w:r>
        <w:rPr>
          <w:rFonts w:hint="eastAsia" w:ascii="宋体" w:hAnsi="宋体" w:eastAsia="宋体" w:cs="宋体"/>
          <w:color w:val="auto"/>
        </w:rPr>
        <w:t>小组未按照</w:t>
      </w:r>
      <w:r>
        <w:rPr>
          <w:rFonts w:hint="eastAsia" w:ascii="宋体" w:hAnsi="宋体" w:cs="宋体"/>
          <w:color w:val="auto"/>
          <w:lang w:eastAsia="zh-CN"/>
        </w:rPr>
        <w:t>谈判</w:t>
      </w:r>
      <w:r>
        <w:rPr>
          <w:rFonts w:hint="eastAsia" w:ascii="宋体" w:hAnsi="宋体" w:eastAsia="宋体" w:cs="宋体"/>
          <w:color w:val="auto"/>
        </w:rPr>
        <w:t>文件规定的评审标准进行评审的，应当重新开展采购活动，并同时书面报告本级主管部门。</w:t>
      </w:r>
    </w:p>
    <w:p w14:paraId="7173E15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28.</w:t>
      </w:r>
      <w:r>
        <w:rPr>
          <w:rFonts w:hint="eastAsia" w:ascii="宋体" w:hAnsi="宋体" w:eastAsia="宋体" w:cs="宋体"/>
          <w:color w:val="auto"/>
        </w:rPr>
        <w:t>除不可抗力等因素外，</w:t>
      </w:r>
      <w:r>
        <w:rPr>
          <w:rFonts w:hint="eastAsia" w:ascii="宋体" w:hAnsi="宋体" w:cs="宋体"/>
          <w:color w:val="auto"/>
          <w:lang w:eastAsia="zh-CN"/>
        </w:rPr>
        <w:t>中标通知书</w:t>
      </w:r>
      <w:r>
        <w:rPr>
          <w:rFonts w:hint="eastAsia" w:ascii="宋体" w:hAnsi="宋体" w:eastAsia="宋体" w:cs="宋体"/>
          <w:color w:val="auto"/>
        </w:rPr>
        <w:t>发出后，采购人改变成交结果，或者成交供应商拒绝签订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的，应当</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4CE168B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29.</w:t>
      </w:r>
      <w:r>
        <w:rPr>
          <w:rFonts w:hint="eastAsia" w:ascii="宋体" w:hAnsi="宋体" w:eastAsia="宋体" w:cs="宋体"/>
          <w:color w:val="auto"/>
        </w:rPr>
        <w:t>成交供应商拒绝签订合同的处理原则：</w:t>
      </w:r>
    </w:p>
    <w:p w14:paraId="7751BE7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.1 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的，采购人可以顺延第二成交候选供应商为成交供应商并与其签订合同，第二成交候选供应商也拒绝签订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的，采购人可以顺延第三成交候选供应商为成交供应商并与其签订合同；</w:t>
      </w:r>
    </w:p>
    <w:p w14:paraId="13E485E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.2 采购人也可以重新开展采购活动；</w:t>
      </w:r>
    </w:p>
    <w:p w14:paraId="26122D8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.3 拒绝签订</w:t>
      </w:r>
      <w:r>
        <w:rPr>
          <w:rFonts w:hint="eastAsia" w:ascii="宋体" w:hAnsi="宋体" w:eastAsia="宋体" w:cs="宋体"/>
          <w:color w:val="auto"/>
          <w:lang w:eastAsia="zh-CN"/>
        </w:rPr>
        <w:t>采购合同</w:t>
      </w:r>
      <w:r>
        <w:rPr>
          <w:rFonts w:hint="eastAsia" w:ascii="宋体" w:hAnsi="宋体" w:eastAsia="宋体" w:cs="宋体"/>
          <w:color w:val="auto"/>
        </w:rPr>
        <w:t>的成交供应商不得参加对该项目重新开展的采购活动</w:t>
      </w:r>
      <w:r>
        <w:rPr>
          <w:rFonts w:hint="eastAsia" w:ascii="宋体" w:hAnsi="宋体" w:cs="宋体"/>
          <w:color w:val="auto"/>
          <w:lang w:eastAsia="zh-CN"/>
        </w:rPr>
        <w:t>，</w:t>
      </w:r>
      <w:r>
        <w:rPr>
          <w:rFonts w:hint="eastAsia" w:ascii="宋体" w:hAnsi="宋体" w:cs="宋体"/>
          <w:color w:val="auto"/>
          <w:lang w:val="en-US" w:eastAsia="zh-CN"/>
        </w:rPr>
        <w:t>并在6个月内不得参与采购人组织的任何采购活动</w:t>
      </w:r>
      <w:r>
        <w:rPr>
          <w:rFonts w:hint="eastAsia" w:ascii="宋体" w:hAnsi="宋体" w:eastAsia="宋体" w:cs="宋体"/>
          <w:color w:val="auto"/>
        </w:rPr>
        <w:t>。</w:t>
      </w:r>
    </w:p>
    <w:p w14:paraId="2BA0E0FD">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cs="宋体"/>
          <w:color w:val="auto"/>
          <w:lang w:val="en-US" w:eastAsia="zh-CN"/>
        </w:rPr>
        <w:t>30.</w:t>
      </w:r>
      <w:r>
        <w:rPr>
          <w:rFonts w:hint="eastAsia" w:ascii="宋体" w:hAnsi="宋体" w:eastAsia="宋体" w:cs="宋体"/>
          <w:color w:val="auto"/>
        </w:rPr>
        <w:t xml:space="preserve"> 在采购活动中因重大变故，采购任务取消的，</w:t>
      </w:r>
      <w:r>
        <w:rPr>
          <w:rFonts w:hint="eastAsia" w:ascii="宋体" w:hAnsi="宋体" w:cs="宋体"/>
          <w:color w:val="auto"/>
          <w:lang w:val="en-US" w:eastAsia="zh-CN"/>
        </w:rPr>
        <w:t>采购人</w:t>
      </w:r>
      <w:r>
        <w:rPr>
          <w:rFonts w:hint="eastAsia" w:ascii="宋体" w:hAnsi="宋体" w:eastAsia="宋体" w:cs="宋体"/>
          <w:color w:val="auto"/>
        </w:rPr>
        <w:t>应当终止采购活动，通知所有参加采购活动的供应商，并将项目实施情况和采购任务取消的原因报送同级主管部门。</w:t>
      </w:r>
    </w:p>
    <w:p w14:paraId="7323E36C">
      <w:pPr>
        <w:pStyle w:val="12"/>
        <w:rPr>
          <w:rFonts w:hint="eastAsia" w:ascii="宋体" w:hAnsi="宋体" w:eastAsia="宋体" w:cs="宋体"/>
        </w:rPr>
      </w:pPr>
    </w:p>
    <w:p w14:paraId="3076E4EE">
      <w:pPr>
        <w:keepNext w:val="0"/>
        <w:keepLines w:val="0"/>
        <w:pageBreakBefore w:val="0"/>
        <w:kinsoku/>
        <w:wordWrap/>
        <w:overflowPunct/>
        <w:topLinePunct w:val="0"/>
        <w:autoSpaceDE/>
        <w:autoSpaceDN/>
        <w:bidi w:val="0"/>
        <w:adjustRightInd w:val="0"/>
        <w:snapToGrid w:val="0"/>
        <w:spacing w:line="432" w:lineRule="auto"/>
        <w:jc w:val="center"/>
        <w:textAlignment w:val="auto"/>
        <w:rPr>
          <w:rFonts w:hint="eastAsia" w:ascii="宋体" w:hAnsi="宋体" w:eastAsia="宋体" w:cs="宋体"/>
          <w:b/>
          <w:color w:val="auto"/>
          <w:szCs w:val="21"/>
        </w:rPr>
      </w:pPr>
      <w:r>
        <w:rPr>
          <w:rFonts w:hint="eastAsia" w:ascii="宋体" w:hAnsi="宋体" w:cs="宋体"/>
          <w:b/>
          <w:color w:val="auto"/>
          <w:szCs w:val="21"/>
          <w:lang w:val="en-US" w:eastAsia="zh-CN"/>
        </w:rPr>
        <w:t>H</w:t>
      </w:r>
      <w:r>
        <w:rPr>
          <w:rFonts w:hint="eastAsia" w:ascii="宋体" w:hAnsi="宋体" w:eastAsia="宋体" w:cs="宋体"/>
          <w:b/>
          <w:color w:val="auto"/>
          <w:szCs w:val="21"/>
        </w:rPr>
        <w:t>供应商</w:t>
      </w:r>
      <w:r>
        <w:rPr>
          <w:rFonts w:hint="eastAsia" w:ascii="宋体" w:hAnsi="宋体" w:cs="宋体"/>
          <w:b/>
          <w:color w:val="auto"/>
          <w:szCs w:val="21"/>
          <w:lang w:eastAsia="zh-CN"/>
        </w:rPr>
        <w:t>谈判</w:t>
      </w:r>
      <w:r>
        <w:rPr>
          <w:rFonts w:hint="eastAsia" w:ascii="宋体" w:hAnsi="宋体" w:eastAsia="宋体" w:cs="宋体"/>
          <w:b/>
          <w:color w:val="auto"/>
          <w:szCs w:val="21"/>
        </w:rPr>
        <w:t>纪律要求</w:t>
      </w:r>
    </w:p>
    <w:p w14:paraId="41C46F6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31.供应商不得具有的情形</w:t>
      </w:r>
    </w:p>
    <w:p w14:paraId="5BB197E3">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供应商参加本项目</w:t>
      </w:r>
      <w:r>
        <w:rPr>
          <w:rFonts w:hint="eastAsia" w:ascii="宋体" w:hAnsi="宋体" w:cs="宋体"/>
          <w:bCs/>
          <w:color w:val="auto"/>
          <w:szCs w:val="21"/>
          <w:lang w:eastAsia="zh-CN"/>
        </w:rPr>
        <w:t>谈判</w:t>
      </w:r>
      <w:r>
        <w:rPr>
          <w:rFonts w:hint="eastAsia" w:ascii="宋体" w:hAnsi="宋体" w:eastAsia="宋体" w:cs="宋体"/>
          <w:bCs/>
          <w:color w:val="auto"/>
          <w:szCs w:val="21"/>
        </w:rPr>
        <w:t>不得有下列情形：</w:t>
      </w:r>
    </w:p>
    <w:p w14:paraId="2C51B1DA">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（1）提供虚假材料谋取成交；</w:t>
      </w:r>
    </w:p>
    <w:p w14:paraId="22C3FA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（2）采取不正当手段诋毁、排挤其他供应商；</w:t>
      </w:r>
    </w:p>
    <w:p w14:paraId="0BBB7B0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（3）与采购人、其他供应商恶意串通；</w:t>
      </w:r>
    </w:p>
    <w:p w14:paraId="32FB302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（4）向采购人或采购代理机构、评审委员会成员行贿或者提供其他不正当利益；</w:t>
      </w:r>
    </w:p>
    <w:p w14:paraId="0FD26CB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（5）在</w:t>
      </w:r>
      <w:r>
        <w:rPr>
          <w:rFonts w:hint="eastAsia" w:ascii="宋体" w:hAnsi="宋体" w:cs="宋体"/>
          <w:bCs/>
          <w:color w:val="auto"/>
          <w:szCs w:val="21"/>
          <w:lang w:eastAsia="zh-CN"/>
        </w:rPr>
        <w:t>谈判</w:t>
      </w:r>
      <w:r>
        <w:rPr>
          <w:rFonts w:hint="eastAsia" w:ascii="宋体" w:hAnsi="宋体" w:eastAsia="宋体" w:cs="宋体"/>
          <w:bCs/>
          <w:color w:val="auto"/>
          <w:szCs w:val="21"/>
        </w:rPr>
        <w:t>过程中与采购人或采购代理机构进行协商</w:t>
      </w:r>
      <w:r>
        <w:rPr>
          <w:rFonts w:hint="eastAsia" w:ascii="宋体" w:hAnsi="宋体" w:cs="宋体"/>
          <w:bCs/>
          <w:color w:val="auto"/>
          <w:szCs w:val="21"/>
          <w:lang w:eastAsia="zh-CN"/>
        </w:rPr>
        <w:t>谈判</w:t>
      </w:r>
      <w:r>
        <w:rPr>
          <w:rFonts w:hint="eastAsia" w:ascii="宋体" w:hAnsi="宋体" w:eastAsia="宋体" w:cs="宋体"/>
          <w:bCs/>
          <w:color w:val="auto"/>
          <w:szCs w:val="21"/>
        </w:rPr>
        <w:t>；</w:t>
      </w:r>
    </w:p>
    <w:p w14:paraId="44E7F524">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（6）成交后无正当理由拒不与采购人签订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074556C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（7）未按照</w:t>
      </w:r>
      <w:r>
        <w:rPr>
          <w:rFonts w:hint="eastAsia" w:ascii="宋体" w:hAnsi="宋体" w:cs="宋体"/>
          <w:bCs/>
          <w:color w:val="auto"/>
          <w:szCs w:val="21"/>
          <w:lang w:eastAsia="zh-CN"/>
        </w:rPr>
        <w:t>竞争性谈判</w:t>
      </w:r>
      <w:r>
        <w:rPr>
          <w:rFonts w:hint="eastAsia" w:ascii="宋体" w:hAnsi="宋体" w:eastAsia="宋体" w:cs="宋体"/>
          <w:bCs/>
          <w:color w:val="auto"/>
          <w:szCs w:val="21"/>
        </w:rPr>
        <w:t>文件确定的事项签订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296F3FD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（8）将</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转包或者违规分包；</w:t>
      </w:r>
    </w:p>
    <w:p w14:paraId="06C7B5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（9）提供假冒伪劣产品（如有涉及产品）；</w:t>
      </w:r>
    </w:p>
    <w:p w14:paraId="070850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（10）擅自变更、中止或者终止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36484F3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（11）拒绝有关部门的监督检查或者向监督检查部门提供虚假情况；</w:t>
      </w:r>
    </w:p>
    <w:p w14:paraId="757EBE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（12）法律法规规定的其他情形。</w:t>
      </w:r>
    </w:p>
    <w:p w14:paraId="3FE3573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供应商有上述情形的，按照规定追究法律责任，具备（1）-（12）条情形之一的，同时将取消成交资格或者认定成交无效。</w:t>
      </w:r>
    </w:p>
    <w:p w14:paraId="3C5D90F7">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32. 供应商不得串通响应</w:t>
      </w:r>
    </w:p>
    <w:p w14:paraId="1AC1A9CD">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有下列情形之一的，视为供应商串通响应，其</w:t>
      </w:r>
      <w:r>
        <w:rPr>
          <w:rFonts w:hint="eastAsia" w:ascii="宋体" w:hAnsi="宋体" w:cs="宋体"/>
          <w:bCs/>
          <w:color w:val="auto"/>
          <w:szCs w:val="21"/>
          <w:lang w:eastAsia="zh-CN"/>
        </w:rPr>
        <w:t>谈判</w:t>
      </w:r>
      <w:r>
        <w:rPr>
          <w:rFonts w:hint="eastAsia" w:ascii="宋体" w:hAnsi="宋体" w:eastAsia="宋体" w:cs="宋体"/>
          <w:bCs/>
          <w:color w:val="auto"/>
          <w:szCs w:val="21"/>
        </w:rPr>
        <w:t>无效：</w:t>
      </w:r>
    </w:p>
    <w:p w14:paraId="3AE45AC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（1）不同供应商的响应文件由同一单位或者个人编制；</w:t>
      </w:r>
    </w:p>
    <w:p w14:paraId="2D3CCF50">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（2）不同供应商委托同一单位或者个人办理响应事宜；</w:t>
      </w:r>
    </w:p>
    <w:p w14:paraId="0F606ACC">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（3）不同供应商的响应文件载明的项目管理成员或者联系人员为同一人；</w:t>
      </w:r>
    </w:p>
    <w:p w14:paraId="678D21E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（4）不同供应商的响应文件异常一致或者响应报价呈规律性差异；</w:t>
      </w:r>
    </w:p>
    <w:p w14:paraId="71489B4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（5）不同供应商的响应文件相互混装；</w:t>
      </w:r>
    </w:p>
    <w:p w14:paraId="52C30F1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（6）不同供应商的保证金从同一单位或者个人的账户转出。</w:t>
      </w:r>
    </w:p>
    <w:p w14:paraId="383096AE">
      <w:pPr>
        <w:rPr>
          <w:rFonts w:hint="eastAsia" w:ascii="宋体" w:hAnsi="宋体" w:eastAsia="宋体" w:cs="宋体"/>
        </w:rPr>
      </w:pPr>
    </w:p>
    <w:p w14:paraId="1AD5D031">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I 质疑、投诉</w:t>
      </w:r>
    </w:p>
    <w:p w14:paraId="7F330B6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33.质疑：供应商认为</w:t>
      </w:r>
      <w:r>
        <w:rPr>
          <w:rFonts w:hint="eastAsia" w:ascii="宋体" w:hAnsi="宋体" w:cs="宋体"/>
          <w:color w:val="auto"/>
          <w:szCs w:val="21"/>
          <w:lang w:eastAsia="zh-CN"/>
        </w:rPr>
        <w:t>竞争性谈判</w:t>
      </w:r>
      <w:r>
        <w:rPr>
          <w:rFonts w:hint="eastAsia" w:ascii="宋体" w:hAnsi="宋体" w:eastAsia="宋体" w:cs="宋体"/>
          <w:color w:val="auto"/>
          <w:szCs w:val="21"/>
        </w:rPr>
        <w:t>文件、采购过程、成交或者成交结果使自己的权益受到损害的，可以在知道或者应知其权益受到损害之日起7个工作日内，以书面形式向采购人提出质疑。提出质疑的供应商（以下简称质疑供应商）应当是参与所质疑项目采购活动的供应商。潜在供应商已依法获取其可质疑的</w:t>
      </w:r>
      <w:r>
        <w:rPr>
          <w:rFonts w:hint="eastAsia" w:ascii="宋体" w:hAnsi="宋体" w:cs="宋体"/>
          <w:color w:val="auto"/>
          <w:szCs w:val="21"/>
          <w:lang w:eastAsia="zh-CN"/>
        </w:rPr>
        <w:t>竞争性谈判</w:t>
      </w:r>
      <w:r>
        <w:rPr>
          <w:rFonts w:hint="eastAsia" w:ascii="宋体" w:hAnsi="宋体" w:eastAsia="宋体" w:cs="宋体"/>
          <w:color w:val="auto"/>
          <w:szCs w:val="21"/>
        </w:rPr>
        <w:t>文件的，可以对该文件提出质疑。对</w:t>
      </w:r>
      <w:r>
        <w:rPr>
          <w:rFonts w:hint="eastAsia" w:ascii="宋体" w:hAnsi="宋体" w:cs="宋体"/>
          <w:color w:val="auto"/>
          <w:szCs w:val="21"/>
          <w:lang w:eastAsia="zh-CN"/>
        </w:rPr>
        <w:t>竞争性谈判</w:t>
      </w:r>
      <w:r>
        <w:rPr>
          <w:rFonts w:hint="eastAsia" w:ascii="宋体" w:hAnsi="宋体" w:eastAsia="宋体" w:cs="宋体"/>
          <w:color w:val="auto"/>
          <w:szCs w:val="21"/>
        </w:rPr>
        <w:t>文件提出质疑的，应当在获取</w:t>
      </w:r>
      <w:r>
        <w:rPr>
          <w:rFonts w:hint="eastAsia" w:ascii="宋体" w:hAnsi="宋体" w:cs="宋体"/>
          <w:color w:val="auto"/>
          <w:szCs w:val="21"/>
          <w:lang w:eastAsia="zh-CN"/>
        </w:rPr>
        <w:t>竞争性谈判</w:t>
      </w:r>
      <w:r>
        <w:rPr>
          <w:rFonts w:hint="eastAsia" w:ascii="宋体" w:hAnsi="宋体" w:eastAsia="宋体" w:cs="宋体"/>
          <w:color w:val="auto"/>
          <w:szCs w:val="21"/>
        </w:rPr>
        <w:t>文件或者</w:t>
      </w:r>
      <w:r>
        <w:rPr>
          <w:rFonts w:hint="eastAsia" w:ascii="宋体" w:hAnsi="宋体" w:cs="宋体"/>
          <w:color w:val="auto"/>
          <w:szCs w:val="21"/>
          <w:lang w:eastAsia="zh-CN"/>
        </w:rPr>
        <w:t>竞争性谈判</w:t>
      </w:r>
      <w:r>
        <w:rPr>
          <w:rFonts w:hint="eastAsia" w:ascii="宋体" w:hAnsi="宋体" w:eastAsia="宋体" w:cs="宋体"/>
          <w:color w:val="auto"/>
          <w:szCs w:val="21"/>
        </w:rPr>
        <w:t>文件公告期限届满之日起7个工作日内提出。供应商在法定质疑期内一次性提出针对同一采购程序环节的质疑。</w:t>
      </w:r>
    </w:p>
    <w:p w14:paraId="036113B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33.1供应商提出质疑应当提交质疑函和必要的证明材料。质疑函应当包括下列内容：</w:t>
      </w:r>
    </w:p>
    <w:p w14:paraId="10286ECC">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（1）供应商的姓名或者名称、地址、邮编、联系人及联系电话；</w:t>
      </w:r>
    </w:p>
    <w:p w14:paraId="3F0B81F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（2）质疑项目的名称；</w:t>
      </w:r>
    </w:p>
    <w:p w14:paraId="70644FA4">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（3）具体、明确的质疑事项和与质疑事项相关的请求；</w:t>
      </w:r>
    </w:p>
    <w:p w14:paraId="7F3E268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0A2829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（5）必要的法律依据；</w:t>
      </w:r>
    </w:p>
    <w:p w14:paraId="4144BF8C">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（6）提出质疑的日期。</w:t>
      </w:r>
    </w:p>
    <w:p w14:paraId="77AE0E7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供应商为自然人的，应当由本人签字；供应商为法人或者其他组织的，应当由法定代表人、主要负责人，或者其授权代表签字或者盖章，并加盖供应商单位公章。</w:t>
      </w:r>
    </w:p>
    <w:p w14:paraId="155EF29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33.2接受质疑函方式（现场递交或邮寄）：</w:t>
      </w:r>
      <w:r>
        <w:rPr>
          <w:rFonts w:hint="eastAsia" w:ascii="宋体" w:hAnsi="宋体" w:eastAsia="宋体" w:cs="宋体"/>
          <w:bCs/>
          <w:color w:val="auto"/>
          <w:sz w:val="21"/>
          <w:szCs w:val="21"/>
          <w:lang w:val="en-US" w:eastAsia="zh-CN"/>
        </w:rPr>
        <w:t>参照</w:t>
      </w:r>
      <w:r>
        <w:rPr>
          <w:rFonts w:hint="eastAsia" w:ascii="宋体" w:hAnsi="宋体" w:eastAsia="宋体" w:cs="宋体"/>
          <w:bCs/>
          <w:color w:val="auto"/>
          <w:sz w:val="21"/>
          <w:szCs w:val="21"/>
        </w:rPr>
        <w:t>《中华人民共和国财政部令第94号－－政府采购质疑和投诉办法》的有关规定，</w:t>
      </w:r>
      <w:r>
        <w:rPr>
          <w:rFonts w:hint="eastAsia" w:ascii="宋体" w:hAnsi="宋体" w:eastAsia="宋体" w:cs="宋体"/>
          <w:color w:val="auto"/>
          <w:sz w:val="21"/>
          <w:szCs w:val="21"/>
        </w:rPr>
        <w:t>以书面形式向采购</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提出质疑。</w:t>
      </w:r>
    </w:p>
    <w:p w14:paraId="5E0C30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33.3递交</w:t>
      </w:r>
      <w:r>
        <w:rPr>
          <w:rFonts w:hint="eastAsia" w:ascii="宋体" w:hAnsi="宋体" w:eastAsia="宋体" w:cs="宋体"/>
          <w:bCs/>
          <w:color w:val="auto"/>
          <w:sz w:val="21"/>
          <w:szCs w:val="21"/>
        </w:rPr>
        <w:t>质疑函联系方式</w:t>
      </w:r>
    </w:p>
    <w:p w14:paraId="6445B93B">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33.3.1联系部门：</w:t>
      </w:r>
      <w:r>
        <w:rPr>
          <w:rFonts w:hint="eastAsia" w:ascii="宋体" w:hAnsi="宋体" w:cs="宋体"/>
          <w:color w:val="auto"/>
          <w:sz w:val="21"/>
          <w:szCs w:val="21"/>
          <w:lang w:val="en-US" w:eastAsia="zh-CN"/>
        </w:rPr>
        <w:t>贵州钟山野马寨热电有限责任公司</w:t>
      </w:r>
    </w:p>
    <w:p w14:paraId="1AFEF4D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33.3.2联系电话：</w:t>
      </w:r>
      <w:r>
        <w:rPr>
          <w:rFonts w:hint="eastAsia" w:ascii="宋体" w:hAnsi="宋体" w:cs="宋体"/>
          <w:color w:val="auto"/>
          <w:sz w:val="21"/>
          <w:szCs w:val="21"/>
          <w:lang w:val="en-US" w:eastAsia="zh-CN"/>
        </w:rPr>
        <w:t>15519096680</w:t>
      </w:r>
    </w:p>
    <w:p w14:paraId="3DD21C6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33.3.3联系人：</w:t>
      </w:r>
      <w:r>
        <w:rPr>
          <w:rFonts w:hint="eastAsia" w:ascii="宋体" w:hAnsi="宋体" w:cs="宋体"/>
          <w:color w:val="auto"/>
          <w:sz w:val="21"/>
          <w:szCs w:val="21"/>
          <w:lang w:eastAsia="zh-CN"/>
        </w:rPr>
        <w:t>朱军</w:t>
      </w:r>
    </w:p>
    <w:p w14:paraId="5A9136E0">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33.3.4联系邮箱</w:t>
      </w:r>
      <w:r>
        <w:rPr>
          <w:rFonts w:hint="eastAsia" w:ascii="宋体" w:hAnsi="宋体" w:cs="宋体"/>
          <w:color w:val="auto"/>
          <w:sz w:val="21"/>
          <w:szCs w:val="21"/>
          <w:lang w:val="en-US" w:eastAsia="zh-CN"/>
        </w:rPr>
        <w:t>：</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"mailto:GZRTHZB@163.com,"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3696059436@qq.com,</w:t>
      </w:r>
      <w:r>
        <w:rPr>
          <w:rFonts w:hint="eastAsia" w:ascii="宋体" w:hAnsi="宋体" w:cs="宋体"/>
          <w:color w:val="auto"/>
          <w:sz w:val="21"/>
          <w:szCs w:val="21"/>
          <w:lang w:val="en-US" w:eastAsia="zh-CN"/>
        </w:rPr>
        <w:fldChar w:fldCharType="end"/>
      </w:r>
    </w:p>
    <w:p w14:paraId="606F144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33.3.5通讯地址：</w:t>
      </w:r>
      <w:r>
        <w:rPr>
          <w:rFonts w:hint="eastAsia" w:ascii="宋体" w:hAnsi="宋体" w:cs="宋体"/>
          <w:color w:val="auto"/>
          <w:spacing w:val="-6"/>
          <w:sz w:val="21"/>
          <w:szCs w:val="21"/>
          <w:lang w:val="en-US" w:eastAsia="zh-CN"/>
        </w:rPr>
        <w:t>贵州钟山野马寨热电有限责任公司</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eastAsia="zh-CN"/>
        </w:rPr>
        <w:t>贵州省六盘水市</w:t>
      </w:r>
      <w:r>
        <w:rPr>
          <w:rFonts w:hint="eastAsia" w:ascii="宋体" w:hAnsi="宋体" w:cs="宋体"/>
          <w:color w:val="auto"/>
          <w:spacing w:val="-6"/>
          <w:sz w:val="21"/>
          <w:szCs w:val="21"/>
          <w:lang w:val="en-US" w:eastAsia="zh-CN"/>
        </w:rPr>
        <w:t>钟山区汪家寨镇新塘村</w:t>
      </w:r>
      <w:r>
        <w:rPr>
          <w:rFonts w:hint="eastAsia" w:ascii="宋体" w:hAnsi="宋体" w:eastAsia="宋体" w:cs="宋体"/>
          <w:color w:val="auto"/>
          <w:spacing w:val="-6"/>
          <w:sz w:val="21"/>
          <w:szCs w:val="21"/>
        </w:rPr>
        <w:t>）</w:t>
      </w:r>
    </w:p>
    <w:p w14:paraId="58A10569">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33.3.6邮政编码：553001</w:t>
      </w:r>
    </w:p>
    <w:p w14:paraId="479B24B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34.投诉：质疑供应商对采购人的答复不满意，或者采购人未在规定时间内作出答复的，可以在答复期满后15个工作日内向《中华人民共和国财政部令第94号－－政府采购质疑和投诉办法》第六条规定的</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提起投诉。投诉实行实名制，供应商可以通过现场递交投诉书和邮寄递交投诉书的方式依法投诉，并按规定的要求提交投诉书和必要的证明材料。投诉人通过邮寄递交投诉书方式进行投诉的，应当通过中国邮政速递物流（EMS）进行邮寄，并配合</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依法进行现场身份确认，以确保其投诉事项和投诉请求为投诉人的真实意思表示。投诉人拒绝配合依法调查，未提供证据、依据和其他证明材料的，响应事项视为投诉不成立。对于虚假、恶意投诉，</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应当按照相关规定予以驳回，将其列入不良行为记录名单，并依法予以处罚。</w:t>
      </w:r>
    </w:p>
    <w:p w14:paraId="6A75D1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34.1投诉人投诉时，应当提交投诉书和必要的证明材料，并按照被投诉采购人（以下简称被投诉人）和与投诉事项有关的供应商数量提供投诉书的副本。投诉书应当包括下列内容：</w:t>
      </w:r>
    </w:p>
    <w:p w14:paraId="2840D6D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（1）投诉人和被投诉人的姓名或者名称、通讯地址、邮编、联系人及联系电话；</w:t>
      </w:r>
    </w:p>
    <w:p w14:paraId="1F1CBF4D">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（2）质疑和质疑答复情况说明及相关证明材</w:t>
      </w:r>
      <w:r>
        <w:rPr>
          <w:rFonts w:hint="eastAsia" w:ascii="宋体" w:hAnsi="宋体" w:eastAsia="宋体" w:cs="宋体"/>
          <w:color w:val="auto"/>
          <w:sz w:val="21"/>
          <w:szCs w:val="21"/>
        </w:rPr>
        <w:t>料；</w:t>
      </w:r>
    </w:p>
    <w:p w14:paraId="6121482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（3）具体、明确的投诉事项和与投诉事项相关的投诉请求；</w:t>
      </w:r>
    </w:p>
    <w:p w14:paraId="5D2B544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F1C8FF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（5）法律依据；</w:t>
      </w:r>
    </w:p>
    <w:p w14:paraId="0D31232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（6）提起投诉的日期。</w:t>
      </w:r>
    </w:p>
    <w:p w14:paraId="3172548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投诉人为自然人的，应当由本人签字；投诉人为法人或者其他组织的，应当由法定代表人、主要负责人，或者其授权代表签字或者盖章，并加盖供应商单位公章。</w:t>
      </w:r>
    </w:p>
    <w:p w14:paraId="02E940BE">
      <w:pPr>
        <w:pStyle w:val="31"/>
        <w:keepNext w:val="0"/>
        <w:keepLines w:val="0"/>
        <w:pageBreakBefore w:val="0"/>
        <w:widowControl/>
        <w:kinsoku/>
        <w:wordWrap/>
        <w:overflowPunct/>
        <w:topLinePunct w:val="0"/>
        <w:autoSpaceDE/>
        <w:autoSpaceDN/>
        <w:bidi w:val="0"/>
        <w:spacing w:beforeAutospacing="0" w:afterAutospacing="0" w:line="432"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J 法律责任</w:t>
      </w:r>
    </w:p>
    <w:p w14:paraId="4B6E7A9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35.法律责任：供应商在响应过程中有违法行为的，</w:t>
      </w:r>
      <w:r>
        <w:rPr>
          <w:rFonts w:hint="eastAsia" w:ascii="宋体" w:hAnsi="宋体" w:eastAsia="宋体" w:cs="宋体"/>
          <w:color w:val="auto"/>
          <w:sz w:val="21"/>
          <w:szCs w:val="21"/>
          <w:lang w:val="en-US" w:eastAsia="zh-CN"/>
        </w:rPr>
        <w:t>参照</w:t>
      </w:r>
      <w:r>
        <w:rPr>
          <w:rFonts w:hint="eastAsia" w:ascii="宋体" w:hAnsi="宋体" w:eastAsia="宋体" w:cs="宋体"/>
          <w:color w:val="auto"/>
          <w:sz w:val="21"/>
          <w:szCs w:val="21"/>
        </w:rPr>
        <w:t>《中华人民共和国政府采购法》 、《政府采购</w:t>
      </w:r>
      <w:r>
        <w:rPr>
          <w:rFonts w:hint="eastAsia" w:ascii="宋体" w:hAnsi="宋体" w:cs="宋体"/>
          <w:color w:val="auto"/>
          <w:sz w:val="21"/>
          <w:szCs w:val="21"/>
          <w:lang w:eastAsia="zh-CN"/>
        </w:rPr>
        <w:t>竞争性谈判</w:t>
      </w:r>
      <w:r>
        <w:rPr>
          <w:rFonts w:hint="eastAsia" w:ascii="宋体" w:hAnsi="宋体" w:eastAsia="宋体" w:cs="宋体"/>
          <w:color w:val="auto"/>
          <w:sz w:val="21"/>
          <w:szCs w:val="21"/>
        </w:rPr>
        <w:t>采购方式管理暂行办法》及有关规定处理。</w:t>
      </w:r>
    </w:p>
    <w:p w14:paraId="0AE763D8">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K  其他</w:t>
      </w:r>
    </w:p>
    <w:p w14:paraId="72B5CFA1">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36.本</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w:t>
      </w:r>
      <w:r>
        <w:rPr>
          <w:rFonts w:hint="eastAsia" w:ascii="宋体" w:hAnsi="宋体" w:eastAsia="宋体" w:cs="宋体"/>
          <w:color w:val="auto"/>
          <w:szCs w:val="21"/>
        </w:rPr>
        <w:t>中所称的“以上</w:t>
      </w:r>
      <w:r>
        <w:rPr>
          <w:rFonts w:hint="eastAsia" w:ascii="宋体" w:hAnsi="宋体" w:eastAsia="宋体" w:cs="宋体"/>
          <w:color w:val="auto"/>
          <w:szCs w:val="21"/>
          <w:lang w:eastAsia="zh-CN"/>
        </w:rPr>
        <w:t>”“</w:t>
      </w:r>
      <w:r>
        <w:rPr>
          <w:rFonts w:hint="eastAsia" w:ascii="宋体" w:hAnsi="宋体" w:eastAsia="宋体" w:cs="宋体"/>
          <w:color w:val="auto"/>
          <w:szCs w:val="21"/>
        </w:rPr>
        <w:t>以下</w:t>
      </w:r>
      <w:r>
        <w:rPr>
          <w:rFonts w:hint="eastAsia" w:ascii="宋体" w:hAnsi="宋体" w:eastAsia="宋体" w:cs="宋体"/>
          <w:color w:val="auto"/>
          <w:szCs w:val="21"/>
          <w:lang w:eastAsia="zh-CN"/>
        </w:rPr>
        <w:t>”“</w:t>
      </w:r>
      <w:r>
        <w:rPr>
          <w:rFonts w:hint="eastAsia" w:ascii="宋体" w:hAnsi="宋体" w:eastAsia="宋体" w:cs="宋体"/>
          <w:color w:val="auto"/>
          <w:szCs w:val="21"/>
        </w:rPr>
        <w:t>内</w:t>
      </w:r>
      <w:r>
        <w:rPr>
          <w:rFonts w:hint="eastAsia" w:ascii="宋体" w:hAnsi="宋体" w:eastAsia="宋体" w:cs="宋体"/>
          <w:color w:val="auto"/>
          <w:szCs w:val="21"/>
          <w:lang w:eastAsia="zh-CN"/>
        </w:rPr>
        <w:t>”“</w:t>
      </w:r>
      <w:r>
        <w:rPr>
          <w:rFonts w:hint="eastAsia" w:ascii="宋体" w:hAnsi="宋体" w:eastAsia="宋体" w:cs="宋体"/>
          <w:color w:val="auto"/>
          <w:szCs w:val="21"/>
        </w:rPr>
        <w:t>以内”，包括本数；所称的“不足”，不包括本数。</w:t>
      </w:r>
    </w:p>
    <w:p w14:paraId="25673FFB">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37</w:t>
      </w:r>
      <w:r>
        <w:rPr>
          <w:rFonts w:hint="eastAsia" w:ascii="宋体" w:hAnsi="宋体" w:eastAsia="宋体" w:cs="宋体"/>
          <w:color w:val="auto"/>
          <w:szCs w:val="21"/>
        </w:rPr>
        <w:t>.本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中所</w:t>
      </w:r>
      <w:r>
        <w:rPr>
          <w:rFonts w:hint="eastAsia" w:ascii="宋体" w:hAnsi="宋体" w:eastAsia="宋体" w:cs="宋体"/>
          <w:color w:val="auto"/>
          <w:szCs w:val="21"/>
          <w:lang w:eastAsia="zh-CN"/>
        </w:rPr>
        <w:t>引用</w:t>
      </w:r>
      <w:r>
        <w:rPr>
          <w:rFonts w:hint="eastAsia" w:ascii="宋体" w:hAnsi="宋体" w:eastAsia="宋体" w:cs="宋体"/>
          <w:color w:val="auto"/>
          <w:szCs w:val="21"/>
        </w:rPr>
        <w:t>相关法律制度规定，在</w:t>
      </w:r>
      <w:r>
        <w:rPr>
          <w:rFonts w:hint="eastAsia" w:ascii="宋体" w:hAnsi="宋体" w:eastAsia="宋体" w:cs="宋体"/>
          <w:color w:val="auto"/>
          <w:szCs w:val="21"/>
          <w:lang w:val="en-US" w:eastAsia="zh-CN"/>
        </w:rPr>
        <w:t>招标</w:t>
      </w:r>
      <w:r>
        <w:rPr>
          <w:rFonts w:hint="eastAsia" w:ascii="宋体" w:hAnsi="宋体" w:eastAsia="宋体" w:cs="宋体"/>
          <w:color w:val="auto"/>
          <w:szCs w:val="21"/>
        </w:rPr>
        <w:t>采购中有变化的，按照变化后的相关法律制度规定执行。在本项目</w:t>
      </w:r>
      <w:r>
        <w:rPr>
          <w:rFonts w:hint="eastAsia" w:ascii="宋体" w:hAnsi="宋体" w:cs="宋体"/>
          <w:color w:val="auto"/>
          <w:szCs w:val="21"/>
          <w:lang w:eastAsia="zh-CN"/>
        </w:rPr>
        <w:t>谈判</w:t>
      </w:r>
      <w:r>
        <w:rPr>
          <w:rFonts w:hint="eastAsia" w:ascii="宋体" w:hAnsi="宋体" w:eastAsia="宋体" w:cs="宋体"/>
          <w:color w:val="auto"/>
          <w:szCs w:val="21"/>
        </w:rPr>
        <w:t>截止时间届满后，因相关法律制度规定的变化导致不符合相关法律制度规定的，直接按照变化后的相关法律制度规定执行，本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不再</w:t>
      </w:r>
      <w:r>
        <w:rPr>
          <w:rFonts w:hint="eastAsia" w:ascii="宋体" w:hAnsi="宋体" w:eastAsia="宋体" w:cs="宋体"/>
          <w:color w:val="auto"/>
          <w:szCs w:val="21"/>
          <w:lang w:eastAsia="zh-CN"/>
        </w:rPr>
        <w:t>作调整</w:t>
      </w:r>
      <w:r>
        <w:rPr>
          <w:rFonts w:hint="eastAsia" w:ascii="宋体" w:hAnsi="宋体" w:eastAsia="宋体" w:cs="宋体"/>
          <w:color w:val="auto"/>
          <w:szCs w:val="21"/>
        </w:rPr>
        <w:t>。</w:t>
      </w:r>
    </w:p>
    <w:p w14:paraId="23D8A21B">
      <w:pPr>
        <w:rPr>
          <w:rFonts w:hint="eastAsia" w:ascii="宋体" w:hAnsi="宋体" w:eastAsia="宋体" w:cs="宋体"/>
          <w:color w:val="auto"/>
          <w:szCs w:val="21"/>
        </w:rPr>
      </w:pPr>
      <w:r>
        <w:rPr>
          <w:rFonts w:hint="eastAsia" w:ascii="宋体" w:hAnsi="宋体" w:eastAsia="宋体" w:cs="宋体"/>
          <w:color w:val="auto"/>
          <w:szCs w:val="21"/>
        </w:rPr>
        <w:br w:type="page"/>
      </w:r>
    </w:p>
    <w:p w14:paraId="764FE0DF">
      <w:pPr>
        <w:pStyle w:val="2"/>
        <w:numPr>
          <w:ilvl w:val="0"/>
          <w:numId w:val="0"/>
        </w:numPr>
        <w:bidi w:val="0"/>
        <w:ind w:firstLine="1285" w:firstLineChars="400"/>
        <w:jc w:val="both"/>
        <w:rPr>
          <w:rFonts w:hint="eastAsia" w:ascii="宋体" w:hAnsi="宋体" w:eastAsia="宋体" w:cs="宋体"/>
        </w:rPr>
      </w:pPr>
      <w:bookmarkStart w:id="22" w:name="_Toc3366"/>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bookmarkEnd w:id="22"/>
    </w:p>
    <w:tbl>
      <w:tblPr>
        <w:tblStyle w:val="35"/>
        <w:tblpPr w:leftFromText="180" w:rightFromText="180" w:vertAnchor="text" w:horzAnchor="page" w:tblpX="965" w:tblpY="18"/>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928"/>
        <w:gridCol w:w="4455"/>
        <w:gridCol w:w="2190"/>
      </w:tblGrid>
      <w:tr w14:paraId="0CB1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92" w:type="dxa"/>
            <w:noWrap w:val="0"/>
            <w:vAlign w:val="center"/>
          </w:tcPr>
          <w:p w14:paraId="339399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bookmarkStart w:id="23" w:name="_Toc3140"/>
            <w:r>
              <w:rPr>
                <w:rFonts w:hint="eastAsia" w:ascii="宋体" w:hAnsi="宋体" w:eastAsia="宋体" w:cs="宋体"/>
                <w:color w:val="auto"/>
                <w:kern w:val="0"/>
                <w:sz w:val="21"/>
                <w:szCs w:val="21"/>
                <w:highlight w:val="none"/>
              </w:rPr>
              <w:t>序号</w:t>
            </w:r>
          </w:p>
        </w:tc>
        <w:tc>
          <w:tcPr>
            <w:tcW w:w="2928" w:type="dxa"/>
            <w:noWrap w:val="0"/>
            <w:vAlign w:val="center"/>
          </w:tcPr>
          <w:p w14:paraId="5A23BF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项目内容</w:t>
            </w:r>
          </w:p>
        </w:tc>
        <w:tc>
          <w:tcPr>
            <w:tcW w:w="4455" w:type="dxa"/>
            <w:noWrap w:val="0"/>
            <w:vAlign w:val="center"/>
          </w:tcPr>
          <w:p w14:paraId="18AA2E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资格审查合格内容</w:t>
            </w:r>
          </w:p>
        </w:tc>
        <w:tc>
          <w:tcPr>
            <w:tcW w:w="2190" w:type="dxa"/>
            <w:noWrap w:val="0"/>
            <w:vAlign w:val="center"/>
          </w:tcPr>
          <w:p w14:paraId="56F4BA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具备</w:t>
            </w:r>
          </w:p>
          <w:p w14:paraId="33FBEA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的条件或说明</w:t>
            </w:r>
          </w:p>
        </w:tc>
      </w:tr>
      <w:tr w14:paraId="7C6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3C2D7E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8" w:type="dxa"/>
            <w:noWrap w:val="0"/>
            <w:vAlign w:val="center"/>
          </w:tcPr>
          <w:p w14:paraId="13EBDE61">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法定代表人身份证明</w:t>
            </w:r>
          </w:p>
        </w:tc>
        <w:tc>
          <w:tcPr>
            <w:tcW w:w="4455" w:type="dxa"/>
            <w:noWrap w:val="0"/>
            <w:vAlign w:val="center"/>
          </w:tcPr>
          <w:p w14:paraId="7A1D56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074069E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5AB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5B8101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2928" w:type="dxa"/>
            <w:noWrap w:val="0"/>
            <w:vAlign w:val="center"/>
          </w:tcPr>
          <w:p w14:paraId="795E2E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rPr>
            </w:pPr>
            <w:r>
              <w:rPr>
                <w:rFonts w:hint="eastAsia" w:ascii="宋体" w:hAnsi="宋体" w:eastAsia="宋体" w:cs="宋体"/>
                <w:color w:val="auto"/>
                <w:szCs w:val="21"/>
              </w:rPr>
              <w:t>法</w:t>
            </w:r>
            <w:r>
              <w:rPr>
                <w:rFonts w:hint="eastAsia" w:ascii="宋体" w:hAnsi="宋体" w:cs="宋体"/>
                <w:color w:val="auto"/>
                <w:szCs w:val="21"/>
                <w:lang w:val="en-US" w:eastAsia="zh-CN"/>
              </w:rPr>
              <w:t>人</w:t>
            </w:r>
            <w:r>
              <w:rPr>
                <w:rFonts w:hint="eastAsia" w:ascii="宋体" w:hAnsi="宋体" w:eastAsia="宋体" w:cs="宋体"/>
                <w:color w:val="auto"/>
                <w:szCs w:val="21"/>
              </w:rPr>
              <w:t>授权</w:t>
            </w:r>
            <w:r>
              <w:rPr>
                <w:rFonts w:hint="eastAsia" w:ascii="宋体" w:hAnsi="宋体" w:cs="宋体"/>
                <w:color w:val="auto"/>
                <w:szCs w:val="21"/>
                <w:lang w:val="en-US" w:eastAsia="zh-CN"/>
              </w:rPr>
              <w:t>委托</w:t>
            </w:r>
            <w:r>
              <w:rPr>
                <w:rFonts w:hint="eastAsia" w:ascii="宋体" w:hAnsi="宋体" w:eastAsia="宋体" w:cs="宋体"/>
                <w:color w:val="auto"/>
                <w:szCs w:val="21"/>
              </w:rPr>
              <w:t>书</w:t>
            </w:r>
          </w:p>
        </w:tc>
        <w:tc>
          <w:tcPr>
            <w:tcW w:w="4455" w:type="dxa"/>
            <w:noWrap w:val="0"/>
            <w:vAlign w:val="center"/>
          </w:tcPr>
          <w:p w14:paraId="7646F0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rPr>
            </w:pPr>
            <w:r>
              <w:rPr>
                <w:rFonts w:hint="eastAsia"/>
              </w:rPr>
              <w:t>按</w:t>
            </w:r>
            <w:r>
              <w:rPr>
                <w:rFonts w:hint="eastAsia"/>
                <w:lang w:val="en-US" w:eastAsia="zh-CN"/>
              </w:rPr>
              <w:t>第八章</w:t>
            </w:r>
            <w:r>
              <w:rPr>
                <w:rFonts w:hint="eastAsia"/>
              </w:rPr>
              <w:t>格式文本要求填制、签字或盖章</w:t>
            </w:r>
          </w:p>
          <w:p w14:paraId="71025D8B">
            <w:pPr>
              <w:pStyle w:val="9"/>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ascii="宋体" w:hAnsi="宋体" w:cs="宋体"/>
                <w:color w:val="auto"/>
                <w:sz w:val="21"/>
                <w:szCs w:val="21"/>
                <w:highlight w:val="none"/>
                <w:lang w:val="en-US" w:eastAsia="zh-CN"/>
              </w:rPr>
              <w:t>注：法定代表人参与竞谈的无需提供</w:t>
            </w:r>
          </w:p>
        </w:tc>
        <w:tc>
          <w:tcPr>
            <w:tcW w:w="2190" w:type="dxa"/>
            <w:noWrap w:val="0"/>
            <w:vAlign w:val="center"/>
          </w:tcPr>
          <w:p w14:paraId="1DC678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AE5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2" w:type="dxa"/>
            <w:noWrap w:val="0"/>
            <w:vAlign w:val="center"/>
          </w:tcPr>
          <w:p w14:paraId="1BA6C7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928" w:type="dxa"/>
            <w:noWrap w:val="0"/>
            <w:vAlign w:val="center"/>
          </w:tcPr>
          <w:p w14:paraId="0B5A4C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营业执照</w:t>
            </w:r>
          </w:p>
        </w:tc>
        <w:tc>
          <w:tcPr>
            <w:tcW w:w="4455" w:type="dxa"/>
            <w:noWrap w:val="0"/>
            <w:vAlign w:val="center"/>
          </w:tcPr>
          <w:p w14:paraId="33D9BC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有效，未三证合一的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应同时提供税务登记证、组织机构代码证</w:t>
            </w:r>
          </w:p>
        </w:tc>
        <w:tc>
          <w:tcPr>
            <w:tcW w:w="2190" w:type="dxa"/>
            <w:noWrap w:val="0"/>
            <w:vAlign w:val="center"/>
          </w:tcPr>
          <w:p w14:paraId="2974C8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p>
        </w:tc>
      </w:tr>
      <w:tr w14:paraId="7A7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noWrap w:val="0"/>
            <w:vAlign w:val="center"/>
          </w:tcPr>
          <w:p w14:paraId="4E7F08E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928" w:type="dxa"/>
            <w:noWrap w:val="0"/>
            <w:vAlign w:val="center"/>
          </w:tcPr>
          <w:p w14:paraId="0EE8DD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具备履行合同所必需的设备和专业技术能力的证明材料</w:t>
            </w:r>
          </w:p>
        </w:tc>
        <w:tc>
          <w:tcPr>
            <w:tcW w:w="4455" w:type="dxa"/>
            <w:noWrap w:val="0"/>
            <w:vAlign w:val="center"/>
          </w:tcPr>
          <w:p w14:paraId="7B19C6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D706A8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B0E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92" w:type="dxa"/>
            <w:noWrap w:val="0"/>
            <w:vAlign w:val="center"/>
          </w:tcPr>
          <w:p w14:paraId="5C3E4E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928" w:type="dxa"/>
            <w:noWrap w:val="0"/>
            <w:vAlign w:val="center"/>
          </w:tcPr>
          <w:p w14:paraId="6B1AB3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w:t>
            </w:r>
            <w:r>
              <w:rPr>
                <w:rFonts w:hint="eastAsia" w:ascii="宋体" w:hAnsi="宋体" w:cs="宋体"/>
                <w:color w:val="auto"/>
                <w:sz w:val="21"/>
                <w:szCs w:val="21"/>
                <w:highlight w:val="none"/>
                <w:lang w:eastAsia="zh-CN"/>
              </w:rPr>
              <w:t>政府采购活动</w:t>
            </w:r>
            <w:r>
              <w:rPr>
                <w:rFonts w:hint="eastAsia" w:ascii="宋体" w:hAnsi="宋体" w:eastAsia="宋体" w:cs="宋体"/>
                <w:color w:val="auto"/>
                <w:sz w:val="21"/>
                <w:szCs w:val="21"/>
                <w:highlight w:val="none"/>
              </w:rPr>
              <w:t>前3年内在经营活动中没有重大违法记录书面声明</w:t>
            </w:r>
          </w:p>
        </w:tc>
        <w:tc>
          <w:tcPr>
            <w:tcW w:w="4455" w:type="dxa"/>
            <w:noWrap w:val="0"/>
            <w:vAlign w:val="center"/>
          </w:tcPr>
          <w:p w14:paraId="161D9C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AC490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7B3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460DF98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928" w:type="dxa"/>
            <w:noWrap w:val="0"/>
            <w:vAlign w:val="center"/>
          </w:tcPr>
          <w:p w14:paraId="10A8A02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特殊资格要求证明材料</w:t>
            </w:r>
          </w:p>
        </w:tc>
        <w:tc>
          <w:tcPr>
            <w:tcW w:w="4455" w:type="dxa"/>
            <w:noWrap w:val="0"/>
            <w:vAlign w:val="center"/>
          </w:tcPr>
          <w:p w14:paraId="373E33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燃煤生产企业参与</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的应提供采矿许可证和安全生产许可证；</w:t>
            </w:r>
          </w:p>
        </w:tc>
        <w:tc>
          <w:tcPr>
            <w:tcW w:w="2190" w:type="dxa"/>
            <w:noWrap w:val="0"/>
            <w:vAlign w:val="center"/>
          </w:tcPr>
          <w:p w14:paraId="2D8AB8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7CF6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785AD1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928" w:type="dxa"/>
            <w:noWrap w:val="0"/>
            <w:vAlign w:val="center"/>
          </w:tcPr>
          <w:p w14:paraId="6BD29D2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增值税一般纳税人资格登记表</w:t>
            </w:r>
          </w:p>
        </w:tc>
        <w:tc>
          <w:tcPr>
            <w:tcW w:w="4455" w:type="dxa"/>
            <w:noWrap w:val="0"/>
            <w:vAlign w:val="center"/>
          </w:tcPr>
          <w:p w14:paraId="1F439F6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是否为一般纳税人</w:t>
            </w:r>
          </w:p>
        </w:tc>
        <w:tc>
          <w:tcPr>
            <w:tcW w:w="2190" w:type="dxa"/>
            <w:noWrap w:val="0"/>
            <w:vAlign w:val="center"/>
          </w:tcPr>
          <w:p w14:paraId="17C35A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0F2A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180A0C2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928" w:type="dxa"/>
            <w:noWrap w:val="0"/>
            <w:vAlign w:val="center"/>
          </w:tcPr>
          <w:p w14:paraId="4414FBF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w:t>
            </w:r>
          </w:p>
        </w:tc>
        <w:tc>
          <w:tcPr>
            <w:tcW w:w="4455" w:type="dxa"/>
            <w:noWrap w:val="0"/>
            <w:vAlign w:val="center"/>
          </w:tcPr>
          <w:p w14:paraId="3A8B60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谈判保证金缴纳回执</w:t>
            </w:r>
          </w:p>
        </w:tc>
        <w:tc>
          <w:tcPr>
            <w:tcW w:w="2190" w:type="dxa"/>
            <w:noWrap w:val="0"/>
            <w:vAlign w:val="center"/>
          </w:tcPr>
          <w:p w14:paraId="08F2B6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bookmarkEnd w:id="23"/>
    </w:tbl>
    <w:p w14:paraId="6687E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rPr>
        <w:t>注1：复印件或扫描件不清楚或有疑问，</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小组</w:t>
      </w:r>
      <w:r>
        <w:rPr>
          <w:rFonts w:hint="eastAsia" w:ascii="宋体" w:hAnsi="宋体" w:eastAsia="宋体" w:cs="宋体"/>
          <w:color w:val="auto"/>
          <w:szCs w:val="21"/>
        </w:rPr>
        <w:t>有权要求供应商提供清楚的复印件或扫描件或原件，如供应商不能提供的，视为不合格。</w:t>
      </w:r>
    </w:p>
    <w:p w14:paraId="03A04C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szCs w:val="21"/>
        </w:rPr>
        <w:t>注2：有一项因素不符合审查标准的，不通过资格审查。</w:t>
      </w:r>
    </w:p>
    <w:p w14:paraId="4C4AFA08">
      <w:pPr>
        <w:rPr>
          <w:rFonts w:hint="eastAsia" w:ascii="宋体" w:hAnsi="宋体" w:eastAsia="宋体" w:cs="宋体"/>
          <w:color w:val="auto"/>
        </w:rPr>
      </w:pPr>
    </w:p>
    <w:p w14:paraId="25352AF5">
      <w:pPr>
        <w:pStyle w:val="34"/>
        <w:rPr>
          <w:rFonts w:hint="eastAsia" w:ascii="宋体" w:hAnsi="宋体" w:eastAsia="宋体" w:cs="宋体"/>
          <w:color w:val="auto"/>
        </w:rPr>
      </w:pPr>
    </w:p>
    <w:p w14:paraId="095F86E2">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br w:type="page"/>
      </w:r>
    </w:p>
    <w:p w14:paraId="2F5C7F18">
      <w:pPr>
        <w:pStyle w:val="2"/>
        <w:numPr>
          <w:ilvl w:val="0"/>
          <w:numId w:val="0"/>
        </w:numPr>
        <w:spacing w:after="240" w:line="240" w:lineRule="auto"/>
        <w:jc w:val="center"/>
        <w:rPr>
          <w:rFonts w:hint="eastAsia" w:ascii="宋体" w:hAnsi="宋体" w:eastAsia="宋体" w:cs="宋体"/>
          <w:color w:val="auto"/>
          <w:sz w:val="30"/>
          <w:szCs w:val="30"/>
        </w:rPr>
      </w:pPr>
      <w:bookmarkStart w:id="24" w:name="_Toc29085"/>
      <w:r>
        <w:rPr>
          <w:rFonts w:hint="eastAsia" w:ascii="宋体" w:hAnsi="宋体" w:eastAsia="宋体" w:cs="宋体"/>
          <w:color w:val="auto"/>
          <w:sz w:val="30"/>
          <w:szCs w:val="30"/>
          <w:lang w:val="en-US" w:eastAsia="zh-CN"/>
        </w:rPr>
        <w:t>第</w:t>
      </w:r>
      <w:r>
        <w:rPr>
          <w:rFonts w:hint="eastAsia" w:ascii="宋体" w:hAnsi="宋体" w:cs="宋体"/>
          <w:color w:val="auto"/>
          <w:sz w:val="30"/>
          <w:szCs w:val="30"/>
          <w:lang w:val="en-US" w:eastAsia="zh-CN"/>
        </w:rPr>
        <w:t>四</w:t>
      </w:r>
      <w:r>
        <w:rPr>
          <w:rFonts w:hint="eastAsia" w:ascii="宋体" w:hAnsi="宋体" w:eastAsia="宋体" w:cs="宋体"/>
          <w:color w:val="auto"/>
          <w:sz w:val="30"/>
          <w:szCs w:val="30"/>
          <w:lang w:val="en-US" w:eastAsia="zh-CN"/>
        </w:rPr>
        <w:t>章</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采购项目的技术规格、数量、服务标准、验收等要求。</w:t>
      </w:r>
      <w:bookmarkEnd w:id="24"/>
    </w:p>
    <w:p w14:paraId="25D29BBF">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项目概况</w:t>
      </w:r>
    </w:p>
    <w:p w14:paraId="00CB1AA7">
      <w:pPr>
        <w:keepNext w:val="0"/>
        <w:keepLines w:val="0"/>
        <w:pageBreakBefore w:val="0"/>
        <w:widowControl/>
        <w:kinsoku/>
        <w:wordWrap/>
        <w:overflowPunct/>
        <w:topLinePunct w:val="0"/>
        <w:autoSpaceDE/>
        <w:autoSpaceDN/>
        <w:bidi w:val="0"/>
        <w:adjustRightInd/>
        <w:snapToGrid/>
        <w:spacing w:after="150" w:line="312" w:lineRule="auto"/>
        <w:ind w:left="-363" w:firstLine="630" w:firstLineChars="300"/>
        <w:jc w:val="left"/>
        <w:textAlignment w:val="auto"/>
        <w:rPr>
          <w:rStyle w:val="89"/>
          <w:rFonts w:hint="eastAsia" w:ascii="宋体" w:hAnsi="宋体" w:cs="宋体"/>
          <w:color w:val="auto"/>
          <w:szCs w:val="22"/>
        </w:rPr>
      </w:pPr>
      <w:r>
        <w:rPr>
          <w:rFonts w:hint="eastAsia" w:ascii="宋体" w:hAnsi="宋体" w:eastAsia="宋体" w:cs="宋体"/>
          <w:color w:val="auto"/>
          <w:position w:val="0"/>
          <w:sz w:val="21"/>
          <w:szCs w:val="21"/>
        </w:rPr>
        <w:t>本项目为</w:t>
      </w:r>
      <w:r>
        <w:rPr>
          <w:rFonts w:hint="eastAsia" w:ascii="宋体" w:hAnsi="宋体" w:cs="宋体"/>
          <w:color w:val="auto"/>
          <w:position w:val="0"/>
          <w:sz w:val="21"/>
          <w:szCs w:val="21"/>
          <w:lang w:val="en-US" w:eastAsia="zh-CN"/>
        </w:rPr>
        <w:t>贵州钟山野马寨热电有限责任公司2025年第二十二批次燃煤采购项目</w:t>
      </w:r>
      <w:r>
        <w:rPr>
          <w:rFonts w:hint="eastAsia" w:ascii="宋体" w:hAnsi="宋体" w:eastAsia="宋体" w:cs="宋体"/>
          <w:color w:val="auto"/>
          <w:position w:val="0"/>
          <w:sz w:val="21"/>
          <w:szCs w:val="21"/>
        </w:rPr>
        <w:t>，</w:t>
      </w:r>
      <w:r>
        <w:rPr>
          <w:rFonts w:hint="eastAsia" w:ascii="宋体" w:hAnsi="宋体" w:eastAsia="宋体" w:cs="宋体"/>
          <w:color w:val="auto"/>
          <w:position w:val="0"/>
          <w:sz w:val="21"/>
          <w:szCs w:val="21"/>
          <w:lang w:val="en-US" w:eastAsia="zh-CN"/>
        </w:rPr>
        <w:t>具体采购内容</w:t>
      </w:r>
      <w:r>
        <w:rPr>
          <w:rFonts w:hint="eastAsia" w:ascii="宋体" w:hAnsi="宋体" w:eastAsia="宋体" w:cs="宋体"/>
          <w:color w:val="auto"/>
          <w:position w:val="0"/>
          <w:sz w:val="21"/>
          <w:szCs w:val="21"/>
        </w:rPr>
        <w:t>要求如下：</w:t>
      </w:r>
    </w:p>
    <w:tbl>
      <w:tblPr>
        <w:tblStyle w:val="36"/>
        <w:tblW w:w="6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4"/>
        <w:gridCol w:w="1688"/>
        <w:gridCol w:w="2182"/>
        <w:gridCol w:w="1976"/>
        <w:gridCol w:w="2171"/>
      </w:tblGrid>
      <w:tr w14:paraId="48C5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24" w:type="dxa"/>
            <w:vMerge w:val="restart"/>
            <w:noWrap w:val="0"/>
            <w:vAlign w:val="center"/>
          </w:tcPr>
          <w:p w14:paraId="2E3B3FCF">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标段</w:t>
            </w:r>
          </w:p>
        </w:tc>
        <w:tc>
          <w:tcPr>
            <w:tcW w:w="1124" w:type="dxa"/>
            <w:vMerge w:val="restart"/>
            <w:noWrap w:val="0"/>
            <w:vAlign w:val="center"/>
          </w:tcPr>
          <w:p w14:paraId="2250289C">
            <w:pPr>
              <w:widowControl w:val="0"/>
              <w:numPr>
                <w:ilvl w:val="0"/>
                <w:numId w:val="0"/>
              </w:numPr>
              <w:tabs>
                <w:tab w:val="left" w:pos="1980"/>
                <w:tab w:val="left" w:pos="2340"/>
                <w:tab w:val="left" w:pos="5580"/>
                <w:tab w:val="left" w:pos="7560"/>
                <w:tab w:val="left" w:pos="8640"/>
                <w:tab w:val="left" w:pos="8820"/>
              </w:tabs>
              <w:spacing w:line="360" w:lineRule="auto"/>
              <w:ind w:firstLine="210" w:firstLineChars="100"/>
              <w:jc w:val="center"/>
              <w:rPr>
                <w:rFonts w:hint="eastAsia" w:ascii="宋体" w:hAnsi="宋体" w:eastAsia="宋体" w:cs="宋体"/>
                <w:kern w:val="0"/>
                <w:sz w:val="21"/>
                <w:szCs w:val="21"/>
              </w:rPr>
            </w:pPr>
          </w:p>
          <w:p w14:paraId="15E8A8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1688" w:type="dxa"/>
            <w:vMerge w:val="restart"/>
            <w:noWrap w:val="0"/>
            <w:vAlign w:val="center"/>
          </w:tcPr>
          <w:p w14:paraId="15712573">
            <w:pPr>
              <w:widowControl/>
              <w:jc w:val="both"/>
              <w:rPr>
                <w:rFonts w:hint="eastAsia" w:ascii="宋体" w:hAnsi="宋体" w:eastAsia="宋体" w:cs="宋体"/>
                <w:kern w:val="0"/>
                <w:sz w:val="21"/>
                <w:szCs w:val="21"/>
                <w:lang w:eastAsia="zh-CN"/>
              </w:rPr>
            </w:pPr>
          </w:p>
          <w:p w14:paraId="544B9E8F">
            <w:pPr>
              <w:widowControl/>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6329" w:type="dxa"/>
            <w:gridSpan w:val="3"/>
            <w:noWrap w:val="0"/>
            <w:vAlign w:val="center"/>
          </w:tcPr>
          <w:p w14:paraId="60B46C0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控制价</w:t>
            </w:r>
          </w:p>
        </w:tc>
      </w:tr>
      <w:tr w14:paraId="251E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124" w:type="dxa"/>
            <w:vMerge w:val="continue"/>
            <w:noWrap w:val="0"/>
            <w:vAlign w:val="center"/>
          </w:tcPr>
          <w:p w14:paraId="4DB4CA8C">
            <w:pPr>
              <w:widowControl/>
              <w:jc w:val="center"/>
              <w:rPr>
                <w:rFonts w:hint="eastAsia" w:ascii="宋体" w:hAnsi="宋体" w:eastAsia="宋体" w:cs="宋体"/>
                <w:kern w:val="0"/>
                <w:sz w:val="21"/>
                <w:szCs w:val="21"/>
                <w:lang w:eastAsia="zh-CN"/>
              </w:rPr>
            </w:pPr>
          </w:p>
        </w:tc>
        <w:tc>
          <w:tcPr>
            <w:tcW w:w="1124" w:type="dxa"/>
            <w:vMerge w:val="continue"/>
            <w:noWrap w:val="0"/>
            <w:vAlign w:val="center"/>
          </w:tcPr>
          <w:p w14:paraId="6182991A">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1688" w:type="dxa"/>
            <w:vMerge w:val="continue"/>
            <w:noWrap w:val="0"/>
            <w:vAlign w:val="center"/>
          </w:tcPr>
          <w:p w14:paraId="0058C4BA">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2182" w:type="dxa"/>
            <w:noWrap w:val="0"/>
            <w:vAlign w:val="center"/>
          </w:tcPr>
          <w:p w14:paraId="1C1E295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货物总价（万元）</w:t>
            </w:r>
          </w:p>
        </w:tc>
        <w:tc>
          <w:tcPr>
            <w:tcW w:w="1976" w:type="dxa"/>
            <w:noWrap w:val="0"/>
            <w:vAlign w:val="center"/>
          </w:tcPr>
          <w:p w14:paraId="0313970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货物单价（元/吨）</w:t>
            </w:r>
          </w:p>
        </w:tc>
        <w:tc>
          <w:tcPr>
            <w:tcW w:w="2171" w:type="dxa"/>
            <w:noWrap w:val="0"/>
            <w:vAlign w:val="center"/>
          </w:tcPr>
          <w:p w14:paraId="4AD763C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热值基准单价 （元 /[(kcal/kg)</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吨]）</w:t>
            </w:r>
          </w:p>
        </w:tc>
      </w:tr>
      <w:tr w14:paraId="69F2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4" w:type="dxa"/>
            <w:shd w:val="clear" w:color="auto" w:fill="auto"/>
            <w:noWrap w:val="0"/>
            <w:vAlign w:val="center"/>
          </w:tcPr>
          <w:p w14:paraId="5B0C2DB5">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一</w:t>
            </w:r>
            <w:r>
              <w:rPr>
                <w:rFonts w:hint="eastAsia" w:ascii="宋体" w:hAnsi="宋体" w:eastAsia="宋体" w:cs="宋体"/>
                <w:kern w:val="0"/>
                <w:sz w:val="21"/>
                <w:szCs w:val="21"/>
                <w:lang w:val="en-US" w:eastAsia="zh-CN"/>
              </w:rPr>
              <w:t>标段</w:t>
            </w:r>
          </w:p>
        </w:tc>
        <w:tc>
          <w:tcPr>
            <w:tcW w:w="1124" w:type="dxa"/>
            <w:shd w:val="clear" w:color="auto" w:fill="auto"/>
            <w:noWrap w:val="0"/>
            <w:vAlign w:val="center"/>
          </w:tcPr>
          <w:p w14:paraId="0456C20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烟煤</w:t>
            </w:r>
          </w:p>
        </w:tc>
        <w:tc>
          <w:tcPr>
            <w:tcW w:w="1688" w:type="dxa"/>
            <w:shd w:val="clear" w:color="auto" w:fill="auto"/>
            <w:noWrap w:val="0"/>
            <w:vAlign w:val="center"/>
          </w:tcPr>
          <w:p w14:paraId="0B7426E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r>
              <w:rPr>
                <w:rFonts w:hint="eastAsia" w:ascii="宋体" w:hAnsi="宋体" w:cs="宋体"/>
                <w:color w:val="auto"/>
                <w:sz w:val="21"/>
                <w:szCs w:val="21"/>
                <w:vertAlign w:val="baseline"/>
                <w:lang w:val="en-US" w:eastAsia="zh-CN"/>
              </w:rPr>
              <w:t>20</w:t>
            </w:r>
            <w:r>
              <w:rPr>
                <w:rFonts w:hint="eastAsia" w:ascii="宋体" w:hAnsi="宋体" w:eastAsia="宋体" w:cs="宋体"/>
                <w:color w:val="auto"/>
                <w:sz w:val="21"/>
                <w:szCs w:val="21"/>
                <w:vertAlign w:val="baseline"/>
                <w:lang w:val="en-US" w:eastAsia="zh-CN"/>
              </w:rPr>
              <w:t>000</w:t>
            </w:r>
          </w:p>
        </w:tc>
        <w:tc>
          <w:tcPr>
            <w:tcW w:w="2182" w:type="dxa"/>
            <w:shd w:val="clear" w:color="auto" w:fill="auto"/>
            <w:noWrap w:val="0"/>
            <w:vAlign w:val="center"/>
          </w:tcPr>
          <w:p w14:paraId="7743BC3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1024.8</w:t>
            </w:r>
          </w:p>
        </w:tc>
        <w:tc>
          <w:tcPr>
            <w:tcW w:w="1976" w:type="dxa"/>
            <w:shd w:val="clear" w:color="auto" w:fill="auto"/>
            <w:noWrap w:val="0"/>
            <w:vAlign w:val="center"/>
          </w:tcPr>
          <w:p w14:paraId="63C5DC3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512.4</w:t>
            </w:r>
          </w:p>
        </w:tc>
        <w:tc>
          <w:tcPr>
            <w:tcW w:w="2171" w:type="dxa"/>
            <w:shd w:val="clear" w:color="auto" w:fill="auto"/>
            <w:noWrap w:val="0"/>
            <w:vAlign w:val="center"/>
          </w:tcPr>
          <w:p w14:paraId="3D32F73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0.122</w:t>
            </w:r>
          </w:p>
        </w:tc>
      </w:tr>
      <w:tr w14:paraId="728E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4" w:type="dxa"/>
            <w:shd w:val="clear" w:color="auto" w:fill="auto"/>
            <w:noWrap w:val="0"/>
            <w:vAlign w:val="center"/>
          </w:tcPr>
          <w:p w14:paraId="3D3090C6">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二</w:t>
            </w:r>
            <w:r>
              <w:rPr>
                <w:rFonts w:hint="eastAsia" w:ascii="宋体" w:hAnsi="宋体" w:eastAsia="宋体" w:cs="宋体"/>
                <w:kern w:val="0"/>
                <w:sz w:val="21"/>
                <w:szCs w:val="21"/>
                <w:lang w:val="en-US" w:eastAsia="zh-CN"/>
              </w:rPr>
              <w:t>标段</w:t>
            </w:r>
          </w:p>
        </w:tc>
        <w:tc>
          <w:tcPr>
            <w:tcW w:w="1124" w:type="dxa"/>
            <w:shd w:val="clear" w:color="auto" w:fill="auto"/>
            <w:noWrap w:val="0"/>
            <w:vAlign w:val="center"/>
          </w:tcPr>
          <w:p w14:paraId="1A951A8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烟煤</w:t>
            </w:r>
          </w:p>
        </w:tc>
        <w:tc>
          <w:tcPr>
            <w:tcW w:w="1688" w:type="dxa"/>
            <w:shd w:val="clear" w:color="auto" w:fill="auto"/>
            <w:noWrap w:val="0"/>
            <w:vAlign w:val="center"/>
          </w:tcPr>
          <w:p w14:paraId="2506B85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≥10000</w:t>
            </w:r>
          </w:p>
        </w:tc>
        <w:tc>
          <w:tcPr>
            <w:tcW w:w="2182" w:type="dxa"/>
            <w:shd w:val="clear" w:color="auto" w:fill="auto"/>
            <w:noWrap w:val="0"/>
            <w:vAlign w:val="center"/>
          </w:tcPr>
          <w:p w14:paraId="3077C60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650</w:t>
            </w:r>
          </w:p>
        </w:tc>
        <w:tc>
          <w:tcPr>
            <w:tcW w:w="1976" w:type="dxa"/>
            <w:shd w:val="clear" w:color="auto" w:fill="auto"/>
            <w:noWrap w:val="0"/>
            <w:vAlign w:val="center"/>
          </w:tcPr>
          <w:p w14:paraId="7A4CFDA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650</w:t>
            </w:r>
          </w:p>
        </w:tc>
        <w:tc>
          <w:tcPr>
            <w:tcW w:w="2171" w:type="dxa"/>
            <w:shd w:val="clear" w:color="auto" w:fill="auto"/>
            <w:noWrap w:val="0"/>
            <w:vAlign w:val="center"/>
          </w:tcPr>
          <w:p w14:paraId="0068DFF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0.130</w:t>
            </w:r>
          </w:p>
        </w:tc>
      </w:tr>
    </w:tbl>
    <w:p w14:paraId="028B2A67">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89"/>
          <w:rFonts w:hint="default" w:ascii="宋体" w:hAnsi="宋体" w:eastAsia="宋体" w:cs="宋体"/>
          <w:color w:val="auto"/>
          <w:szCs w:val="22"/>
          <w:lang w:val="en-US" w:eastAsia="zh-CN"/>
        </w:rPr>
      </w:pPr>
    </w:p>
    <w:p w14:paraId="10A2BA07">
      <w:pPr>
        <w:keepNext w:val="0"/>
        <w:keepLines w:val="0"/>
        <w:pageBreakBefore w:val="0"/>
        <w:numPr>
          <w:ilvl w:val="0"/>
          <w:numId w:val="2"/>
        </w:numPr>
        <w:kinsoku/>
        <w:wordWrap/>
        <w:overflowPunct/>
        <w:topLinePunct w:val="0"/>
        <w:autoSpaceDE/>
        <w:autoSpaceDN/>
        <w:bidi w:val="0"/>
        <w:spacing w:line="360" w:lineRule="auto"/>
        <w:ind w:firstLine="422" w:firstLineChars="200"/>
        <w:textAlignment w:val="auto"/>
        <w:outlineLvl w:val="9"/>
        <w:rPr>
          <w:rStyle w:val="89"/>
          <w:rFonts w:hint="default" w:ascii="宋体" w:hAnsi="宋体" w:eastAsia="宋体" w:cs="宋体"/>
          <w:color w:val="auto"/>
          <w:szCs w:val="22"/>
          <w:lang w:val="en-US" w:eastAsia="zh-CN"/>
        </w:rPr>
      </w:pPr>
      <w:r>
        <w:rPr>
          <w:rFonts w:hint="eastAsia" w:ascii="宋体" w:hAnsi="宋体" w:cs="宋体"/>
          <w:b/>
          <w:bCs/>
          <w:sz w:val="21"/>
          <w:szCs w:val="21"/>
          <w:lang w:val="en-US" w:eastAsia="zh-CN"/>
        </w:rPr>
        <w:t>技术要求</w:t>
      </w:r>
    </w:p>
    <w:tbl>
      <w:tblPr>
        <w:tblStyle w:val="36"/>
        <w:tblW w:w="5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043"/>
        <w:gridCol w:w="1628"/>
        <w:gridCol w:w="1159"/>
        <w:gridCol w:w="2100"/>
        <w:gridCol w:w="1401"/>
        <w:gridCol w:w="1504"/>
      </w:tblGrid>
      <w:tr w14:paraId="1F30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Merge w:val="restart"/>
            <w:noWrap w:val="0"/>
            <w:vAlign w:val="center"/>
          </w:tcPr>
          <w:p w14:paraId="2B107B1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标段</w:t>
            </w:r>
          </w:p>
        </w:tc>
        <w:tc>
          <w:tcPr>
            <w:tcW w:w="527" w:type="pct"/>
            <w:vMerge w:val="restart"/>
            <w:noWrap w:val="0"/>
            <w:vAlign w:val="center"/>
          </w:tcPr>
          <w:p w14:paraId="6E6019A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3944" w:type="pct"/>
            <w:gridSpan w:val="5"/>
            <w:noWrap w:val="0"/>
            <w:vAlign w:val="center"/>
          </w:tcPr>
          <w:p w14:paraId="0EA2127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质量要求</w:t>
            </w:r>
          </w:p>
        </w:tc>
      </w:tr>
      <w:tr w14:paraId="203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pct"/>
            <w:vMerge w:val="continue"/>
            <w:noWrap w:val="0"/>
            <w:vAlign w:val="center"/>
          </w:tcPr>
          <w:p w14:paraId="4E00743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p>
        </w:tc>
        <w:tc>
          <w:tcPr>
            <w:tcW w:w="527" w:type="pct"/>
            <w:vMerge w:val="continue"/>
            <w:noWrap w:val="0"/>
            <w:vAlign w:val="center"/>
          </w:tcPr>
          <w:p w14:paraId="7C6DE75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p>
        </w:tc>
        <w:tc>
          <w:tcPr>
            <w:tcW w:w="824" w:type="pct"/>
            <w:noWrap w:val="0"/>
            <w:vAlign w:val="center"/>
          </w:tcPr>
          <w:p w14:paraId="6898595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586" w:type="pct"/>
            <w:noWrap w:val="0"/>
            <w:vAlign w:val="center"/>
          </w:tcPr>
          <w:p w14:paraId="50A67F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1062" w:type="pct"/>
            <w:noWrap w:val="0"/>
            <w:vAlign w:val="center"/>
          </w:tcPr>
          <w:p w14:paraId="1CAE9C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709" w:type="pct"/>
            <w:noWrap w:val="0"/>
            <w:vAlign w:val="center"/>
          </w:tcPr>
          <w:p w14:paraId="5E0BD96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4"/>
                <w:lang w:val="en-US" w:eastAsia="zh-CN"/>
              </w:rPr>
              <w:t>St,d(%)</w:t>
            </w:r>
          </w:p>
        </w:tc>
        <w:tc>
          <w:tcPr>
            <w:tcW w:w="761" w:type="pct"/>
            <w:noWrap w:val="0"/>
            <w:vAlign w:val="center"/>
          </w:tcPr>
          <w:p w14:paraId="13FEA6A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cs="Times New Roman"/>
                <w:sz w:val="24"/>
                <w:lang w:val="en-US" w:eastAsia="zh-CN"/>
              </w:rPr>
            </w:pPr>
            <w:r>
              <w:rPr>
                <w:rFonts w:hint="eastAsia" w:cs="Times New Roman"/>
                <w:sz w:val="24"/>
                <w:lang w:val="en-US" w:eastAsia="zh-CN"/>
              </w:rPr>
              <w:t>粒度（mm）</w:t>
            </w:r>
          </w:p>
        </w:tc>
      </w:tr>
      <w:tr w14:paraId="76D8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7" w:type="pct"/>
            <w:noWrap w:val="0"/>
            <w:vAlign w:val="center"/>
          </w:tcPr>
          <w:p w14:paraId="4F707F2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一标段</w:t>
            </w:r>
          </w:p>
        </w:tc>
        <w:tc>
          <w:tcPr>
            <w:tcW w:w="527" w:type="pct"/>
            <w:noWrap w:val="0"/>
            <w:vAlign w:val="center"/>
          </w:tcPr>
          <w:p w14:paraId="465B337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824" w:type="pct"/>
            <w:shd w:val="clear" w:color="auto" w:fill="auto"/>
            <w:noWrap w:val="0"/>
            <w:vAlign w:val="center"/>
          </w:tcPr>
          <w:p w14:paraId="0A294FF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≥4200</w:t>
            </w:r>
          </w:p>
        </w:tc>
        <w:tc>
          <w:tcPr>
            <w:tcW w:w="586" w:type="pct"/>
            <w:shd w:val="clear" w:color="auto" w:fill="auto"/>
            <w:noWrap w:val="0"/>
            <w:vAlign w:val="center"/>
          </w:tcPr>
          <w:p w14:paraId="1D3A91F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w:t>
            </w:r>
          </w:p>
        </w:tc>
        <w:tc>
          <w:tcPr>
            <w:tcW w:w="1062" w:type="pct"/>
            <w:shd w:val="clear" w:color="auto" w:fill="auto"/>
            <w:noWrap w:val="0"/>
            <w:vAlign w:val="center"/>
          </w:tcPr>
          <w:p w14:paraId="18AE765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13.00≤Var(%)≤25.00</w:t>
            </w:r>
          </w:p>
        </w:tc>
        <w:tc>
          <w:tcPr>
            <w:tcW w:w="709" w:type="pct"/>
            <w:shd w:val="clear" w:color="auto" w:fill="auto"/>
            <w:noWrap w:val="0"/>
            <w:vAlign w:val="center"/>
          </w:tcPr>
          <w:p w14:paraId="2DD59AB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761" w:type="pct"/>
            <w:shd w:val="clear" w:color="auto" w:fill="auto"/>
            <w:noWrap w:val="0"/>
            <w:vAlign w:val="center"/>
          </w:tcPr>
          <w:p w14:paraId="6CDF6FA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r>
      <w:tr w14:paraId="1CFB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7" w:type="pct"/>
            <w:noWrap w:val="0"/>
            <w:vAlign w:val="center"/>
          </w:tcPr>
          <w:p w14:paraId="5007DFB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二标段</w:t>
            </w:r>
          </w:p>
        </w:tc>
        <w:tc>
          <w:tcPr>
            <w:tcW w:w="527" w:type="pct"/>
            <w:noWrap w:val="0"/>
            <w:vAlign w:val="center"/>
          </w:tcPr>
          <w:p w14:paraId="3B7B955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824" w:type="pct"/>
            <w:shd w:val="clear" w:color="auto" w:fill="auto"/>
            <w:noWrap w:val="0"/>
            <w:vAlign w:val="center"/>
          </w:tcPr>
          <w:p w14:paraId="58FCB80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w:t>
            </w:r>
          </w:p>
        </w:tc>
        <w:tc>
          <w:tcPr>
            <w:tcW w:w="586" w:type="pct"/>
            <w:shd w:val="clear" w:color="auto" w:fill="auto"/>
            <w:noWrap w:val="0"/>
            <w:vAlign w:val="center"/>
          </w:tcPr>
          <w:p w14:paraId="3FE53AF7">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w:t>
            </w:r>
          </w:p>
        </w:tc>
        <w:tc>
          <w:tcPr>
            <w:tcW w:w="1062" w:type="pct"/>
            <w:shd w:val="clear" w:color="auto" w:fill="auto"/>
            <w:noWrap w:val="0"/>
            <w:vAlign w:val="center"/>
          </w:tcPr>
          <w:p w14:paraId="4423524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13.00≤Var(%)≤25.00</w:t>
            </w:r>
          </w:p>
        </w:tc>
        <w:tc>
          <w:tcPr>
            <w:tcW w:w="709" w:type="pct"/>
            <w:shd w:val="clear" w:color="auto" w:fill="auto"/>
            <w:noWrap w:val="0"/>
            <w:vAlign w:val="center"/>
          </w:tcPr>
          <w:p w14:paraId="477F0BC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761" w:type="pct"/>
            <w:shd w:val="clear" w:color="auto" w:fill="auto"/>
            <w:noWrap w:val="0"/>
            <w:vAlign w:val="center"/>
          </w:tcPr>
          <w:p w14:paraId="701FD47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r>
    </w:tbl>
    <w:p w14:paraId="09653F81">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default" w:ascii="宋体" w:hAnsi="宋体" w:cs="宋体"/>
          <w:b/>
          <w:bCs/>
          <w:sz w:val="21"/>
          <w:szCs w:val="21"/>
          <w:lang w:val="en-US" w:eastAsia="zh-CN"/>
        </w:rPr>
      </w:pPr>
      <w:r>
        <w:rPr>
          <w:rFonts w:hint="eastAsia" w:ascii="宋体" w:hAnsi="宋体" w:cs="宋体"/>
          <w:b/>
          <w:bCs/>
          <w:sz w:val="21"/>
          <w:szCs w:val="21"/>
          <w:lang w:val="en-US" w:eastAsia="zh-CN"/>
        </w:rPr>
        <w:t>注：</w:t>
      </w:r>
      <w:r>
        <w:rPr>
          <w:rFonts w:hint="eastAsia" w:ascii="宋体" w:hAnsi="宋体" w:cs="宋体"/>
          <w:b w:val="0"/>
          <w:bCs w:val="0"/>
          <w:sz w:val="21"/>
          <w:szCs w:val="21"/>
          <w:lang w:val="en-US" w:eastAsia="zh-CN"/>
        </w:rPr>
        <w:t>供应商应完全响应或优于采购文件技术要求，否则响应文件无效。</w:t>
      </w:r>
    </w:p>
    <w:p w14:paraId="3ACAA206">
      <w:pPr>
        <w:keepNext w:val="0"/>
        <w:keepLines w:val="0"/>
        <w:pageBreakBefore w:val="0"/>
        <w:numPr>
          <w:ilvl w:val="0"/>
          <w:numId w:val="2"/>
        </w:numPr>
        <w:kinsoku/>
        <w:wordWrap/>
        <w:overflowPunct/>
        <w:topLinePunct w:val="0"/>
        <w:autoSpaceDE/>
        <w:autoSpaceDN/>
        <w:bidi w:val="0"/>
        <w:spacing w:line="360" w:lineRule="auto"/>
        <w:ind w:left="0" w:leftChars="0" w:firstLine="422" w:firstLineChars="20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商务要求</w:t>
      </w:r>
    </w:p>
    <w:p w14:paraId="6FFEB03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1.合同期限：</w:t>
      </w:r>
      <w:r>
        <w:rPr>
          <w:rFonts w:hint="eastAsia" w:ascii="宋体" w:hAnsi="宋体" w:cs="宋体"/>
          <w:color w:val="auto"/>
          <w:szCs w:val="21"/>
          <w:lang w:val="en-US" w:eastAsia="zh-CN"/>
        </w:rPr>
        <w:t>一标段合同期为45个日历天，二标段合同期为30个日历天</w:t>
      </w:r>
      <w:r>
        <w:rPr>
          <w:rFonts w:hint="eastAsia" w:ascii="宋体" w:hAnsi="宋体" w:cs="宋体"/>
          <w:b w:val="0"/>
          <w:bCs w:val="0"/>
          <w:sz w:val="21"/>
          <w:szCs w:val="21"/>
          <w:lang w:val="en-US" w:eastAsia="zh-CN"/>
        </w:rPr>
        <w:t>。</w:t>
      </w:r>
    </w:p>
    <w:p w14:paraId="4C04AC89">
      <w:pPr>
        <w:keepNext w:val="0"/>
        <w:keepLines w:val="0"/>
        <w:pageBreakBefore w:val="0"/>
        <w:widowControl/>
        <w:kinsoku/>
        <w:wordWrap/>
        <w:overflowPunct/>
        <w:topLinePunct w:val="0"/>
        <w:autoSpaceDE/>
        <w:autoSpaceDN/>
        <w:bidi w:val="0"/>
        <w:adjustRightInd/>
        <w:snapToGrid/>
        <w:spacing w:line="540" w:lineRule="exact"/>
        <w:jc w:val="both"/>
        <w:textAlignment w:val="auto"/>
        <w:rPr>
          <w:rStyle w:val="89"/>
          <w:rFonts w:hint="eastAsia" w:ascii="宋体" w:hAnsi="宋体" w:cs="宋体" w:eastAsiaTheme="minorEastAsia"/>
          <w:b/>
          <w:bCs/>
          <w:color w:val="auto"/>
          <w:szCs w:val="22"/>
          <w:lang w:val="en-US" w:eastAsia="zh-CN"/>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lang w:val="en-US" w:eastAsia="zh-CN"/>
        </w:rPr>
        <w:t>.交货</w:t>
      </w:r>
      <w:r>
        <w:rPr>
          <w:rFonts w:hint="eastAsia" w:ascii="宋体" w:hAnsi="宋体" w:cs="宋体"/>
          <w:b/>
          <w:bCs/>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cs="宋体"/>
          <w:color w:val="auto"/>
          <w:szCs w:val="21"/>
          <w:lang w:val="en-US" w:eastAsia="zh-CN"/>
        </w:rPr>
        <w:t>一标段合同期为45个日历天，二标段合同期为30个日历天；一标段中标供应商在合同期45个日历天内供应燃煤≥20000吨，二标段中标供应商在合同期30个日历天内供应燃煤≥10000吨。各标段供应上限由采购人根据实际情况决定，供应商在收到采购人发出的《中标通知书》7个工作日内在采购人指定地点签订合同。</w:t>
      </w:r>
    </w:p>
    <w:p w14:paraId="50E9E02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采购区域：</w:t>
      </w:r>
      <w:r>
        <w:rPr>
          <w:rFonts w:hint="eastAsia" w:ascii="宋体" w:hAnsi="宋体" w:cs="宋体"/>
          <w:b w:val="0"/>
          <w:bCs w:val="0"/>
          <w:color w:val="auto"/>
          <w:sz w:val="21"/>
          <w:szCs w:val="21"/>
          <w:highlight w:val="none"/>
          <w:lang w:val="en-US" w:eastAsia="zh-CN"/>
        </w:rPr>
        <w:t>省内</w:t>
      </w:r>
      <w:r>
        <w:rPr>
          <w:rFonts w:hint="eastAsia" w:ascii="宋体" w:hAnsi="宋体" w:cs="宋体"/>
          <w:color w:val="auto"/>
          <w:szCs w:val="21"/>
          <w:lang w:val="en-US" w:eastAsia="zh-CN"/>
        </w:rPr>
        <w:t>（来煤若掺配新疆煤、无烟煤采购人有权拒付）</w:t>
      </w:r>
      <w:r>
        <w:rPr>
          <w:rFonts w:hint="eastAsia" w:ascii="宋体" w:hAnsi="宋体" w:cs="宋体"/>
          <w:b w:val="0"/>
          <w:bCs w:val="0"/>
          <w:color w:val="auto"/>
          <w:sz w:val="21"/>
          <w:szCs w:val="21"/>
          <w:highlight w:val="none"/>
          <w:lang w:val="en-US" w:eastAsia="zh-CN"/>
        </w:rPr>
        <w:t>。</w:t>
      </w:r>
    </w:p>
    <w:p w14:paraId="689FD55B">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交货</w:t>
      </w:r>
      <w:r>
        <w:rPr>
          <w:rFonts w:hint="eastAsia" w:ascii="宋体" w:hAnsi="宋体" w:eastAsia="宋体" w:cs="宋体"/>
          <w:b/>
          <w:bCs/>
          <w:color w:val="auto"/>
          <w:sz w:val="21"/>
          <w:szCs w:val="21"/>
          <w:lang w:val="en-US" w:eastAsia="zh-CN"/>
        </w:rPr>
        <w:t>地点</w:t>
      </w:r>
      <w:r>
        <w:rPr>
          <w:rFonts w:hint="eastAsia" w:ascii="宋体" w:hAnsi="宋体" w:cs="宋体"/>
          <w:b/>
          <w:bCs/>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贵州钟山野马寨热电有限责任公司煤场。</w:t>
      </w:r>
    </w:p>
    <w:p w14:paraId="2FF483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.合同价格及结算</w:t>
      </w:r>
    </w:p>
    <w:p w14:paraId="24E451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.1本合同为单价合同，成交价为合同热值基准价格（</w:t>
      </w:r>
      <w:r>
        <w:rPr>
          <w:rFonts w:hint="eastAsia" w:ascii="宋体" w:hAnsi="宋体" w:cs="宋体"/>
          <w:sz w:val="21"/>
          <w:szCs w:val="21"/>
          <w:lang w:val="en-US" w:eastAsia="zh-CN"/>
        </w:rPr>
        <w:t>一标段</w:t>
      </w:r>
      <w:r>
        <w:rPr>
          <w:rFonts w:hint="eastAsia" w:ascii="宋体" w:hAnsi="宋体" w:eastAsia="宋体" w:cs="宋体"/>
          <w:sz w:val="21"/>
          <w:szCs w:val="21"/>
          <w:lang w:val="en-US" w:eastAsia="zh-CN"/>
        </w:rPr>
        <w:t>基准热值</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Qnet,ar≥</w:t>
      </w:r>
      <w:r>
        <w:rPr>
          <w:rFonts w:hint="eastAsia" w:ascii="宋体" w:hAnsi="宋体" w:cs="宋体"/>
          <w:sz w:val="21"/>
          <w:szCs w:val="21"/>
          <w:lang w:val="en-US" w:eastAsia="zh-CN"/>
        </w:rPr>
        <w:t>420</w:t>
      </w:r>
      <w:r>
        <w:rPr>
          <w:rFonts w:hint="eastAsia" w:ascii="宋体" w:hAnsi="宋体" w:eastAsia="宋体" w:cs="宋体"/>
          <w:sz w:val="21"/>
          <w:szCs w:val="21"/>
          <w:lang w:val="en-US" w:eastAsia="zh-CN"/>
        </w:rPr>
        <w:t>0kcal/kg</w:t>
      </w:r>
      <w:r>
        <w:rPr>
          <w:rFonts w:hint="eastAsia" w:ascii="宋体" w:hAnsi="宋体" w:cs="宋体"/>
          <w:sz w:val="21"/>
          <w:szCs w:val="21"/>
          <w:lang w:val="en-US" w:eastAsia="zh-CN"/>
        </w:rPr>
        <w:t>；二标段</w:t>
      </w:r>
      <w:r>
        <w:rPr>
          <w:rFonts w:hint="eastAsia" w:ascii="宋体" w:hAnsi="宋体" w:eastAsia="宋体" w:cs="宋体"/>
          <w:sz w:val="21"/>
          <w:szCs w:val="21"/>
          <w:lang w:val="en-US" w:eastAsia="zh-CN"/>
        </w:rPr>
        <w:t>基准热值</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Qnet,ar≥</w:t>
      </w:r>
      <w:r>
        <w:rPr>
          <w:rFonts w:hint="eastAsia" w:ascii="宋体" w:hAnsi="宋体" w:cs="宋体"/>
          <w:sz w:val="21"/>
          <w:szCs w:val="21"/>
          <w:lang w:val="en-US" w:eastAsia="zh-CN"/>
        </w:rPr>
        <w:t>500</w:t>
      </w:r>
      <w:r>
        <w:rPr>
          <w:rFonts w:hint="eastAsia" w:ascii="宋体" w:hAnsi="宋体" w:eastAsia="宋体" w:cs="宋体"/>
          <w:sz w:val="21"/>
          <w:szCs w:val="21"/>
          <w:lang w:val="en-US" w:eastAsia="zh-CN"/>
        </w:rPr>
        <w:t>0kcal/kg）。</w:t>
      </w:r>
    </w:p>
    <w:p w14:paraId="0FF573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结算单价=发热量计价+质量调整价+数量调整价+ 其他因素调整价。</w:t>
      </w:r>
    </w:p>
    <w:p w14:paraId="165873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结算价=</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合格数量+单批次结算单价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单批次合格数量</w:t>
      </w:r>
      <w:r>
        <w:rPr>
          <w:rFonts w:hint="eastAsia" w:ascii="宋体" w:hAnsi="宋体" w:cs="宋体"/>
          <w:sz w:val="21"/>
          <w:szCs w:val="21"/>
          <w:lang w:val="en-US" w:eastAsia="zh-CN"/>
        </w:rPr>
        <w:t>-违反采购人相关管理制度产生的考核</w:t>
      </w:r>
      <w:r>
        <w:rPr>
          <w:rFonts w:hint="eastAsia" w:ascii="宋体" w:hAnsi="宋体" w:eastAsia="宋体" w:cs="宋体"/>
          <w:sz w:val="21"/>
          <w:szCs w:val="21"/>
          <w:lang w:val="en-US" w:eastAsia="zh-CN"/>
        </w:rPr>
        <w:t>。</w:t>
      </w:r>
    </w:p>
    <w:p w14:paraId="03BF42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.2成交人为供货时而发生的所有费用均应包含在货物价款中，采购人不再另行支付其它任何费用。</w:t>
      </w:r>
    </w:p>
    <w:p w14:paraId="10851E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.3 最终结算单价按签订的合同相应条款内容进行调整后结算。</w:t>
      </w:r>
    </w:p>
    <w:p w14:paraId="1B7A533D">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履约保证</w:t>
      </w:r>
      <w:r>
        <w:rPr>
          <w:rFonts w:hint="eastAsia" w:ascii="宋体" w:hAnsi="宋体" w:cs="宋体"/>
          <w:b/>
          <w:bCs/>
          <w:sz w:val="21"/>
          <w:szCs w:val="21"/>
          <w:lang w:val="en-US" w:eastAsia="zh-CN"/>
        </w:rPr>
        <w:t>金</w:t>
      </w:r>
    </w:p>
    <w:p w14:paraId="7553F4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4.1本批次</w:t>
      </w:r>
      <w:r>
        <w:rPr>
          <w:rFonts w:hint="eastAsia" w:ascii="宋体" w:hAnsi="宋体" w:cs="宋体"/>
          <w:sz w:val="21"/>
          <w:szCs w:val="21"/>
          <w:lang w:val="en-US" w:eastAsia="zh-CN"/>
        </w:rPr>
        <w:t>一</w:t>
      </w:r>
      <w:r>
        <w:rPr>
          <w:rFonts w:hint="eastAsia" w:ascii="宋体" w:hAnsi="宋体" w:eastAsia="宋体" w:cs="宋体"/>
          <w:sz w:val="21"/>
          <w:szCs w:val="21"/>
          <w:lang w:val="en-US" w:eastAsia="zh-CN"/>
        </w:rPr>
        <w:t>标段收取合同履约保证金</w:t>
      </w:r>
      <w:r>
        <w:rPr>
          <w:rFonts w:hint="eastAsia" w:ascii="宋体" w:hAnsi="宋体" w:cs="宋体"/>
          <w:sz w:val="21"/>
          <w:szCs w:val="21"/>
          <w:u w:val="single"/>
          <w:lang w:val="en-US" w:eastAsia="zh-CN"/>
        </w:rPr>
        <w:t>3</w:t>
      </w:r>
      <w:r>
        <w:rPr>
          <w:rFonts w:hint="eastAsia" w:ascii="宋体" w:hAnsi="宋体" w:eastAsia="宋体" w:cs="宋体"/>
          <w:sz w:val="21"/>
          <w:szCs w:val="21"/>
          <w:u w:val="single"/>
          <w:lang w:val="en-US" w:eastAsia="zh-CN"/>
        </w:rPr>
        <w:t>00</w:t>
      </w:r>
      <w:r>
        <w:rPr>
          <w:rFonts w:hint="eastAsia" w:ascii="宋体" w:hAnsi="宋体" w:cs="宋体"/>
          <w:sz w:val="21"/>
          <w:szCs w:val="21"/>
          <w:u w:val="single"/>
          <w:lang w:val="en-US" w:eastAsia="zh-CN"/>
        </w:rPr>
        <w:t>,</w:t>
      </w:r>
      <w:r>
        <w:rPr>
          <w:rFonts w:hint="eastAsia" w:ascii="宋体" w:hAnsi="宋体" w:eastAsia="宋体" w:cs="宋体"/>
          <w:sz w:val="21"/>
          <w:szCs w:val="21"/>
          <w:u w:val="single"/>
          <w:lang w:val="en-US" w:eastAsia="zh-CN"/>
        </w:rPr>
        <w:t>000</w:t>
      </w:r>
      <w:r>
        <w:rPr>
          <w:rFonts w:hint="eastAsia" w:ascii="宋体" w:hAnsi="宋体" w:cs="宋体"/>
          <w:sz w:val="21"/>
          <w:szCs w:val="21"/>
          <w:u w:val="single"/>
          <w:lang w:val="en-US" w:eastAsia="zh-CN"/>
        </w:rPr>
        <w:t>.00</w:t>
      </w:r>
      <w:r>
        <w:rPr>
          <w:rFonts w:hint="eastAsia" w:ascii="宋体" w:hAnsi="宋体" w:eastAsia="宋体" w:cs="宋体"/>
          <w:sz w:val="21"/>
          <w:szCs w:val="21"/>
          <w:lang w:val="en-US" w:eastAsia="zh-CN"/>
        </w:rPr>
        <w:t>元（大写：人民币</w:t>
      </w:r>
      <w:r>
        <w:rPr>
          <w:rFonts w:hint="eastAsia" w:ascii="宋体" w:hAnsi="宋体" w:cs="宋体"/>
          <w:sz w:val="21"/>
          <w:szCs w:val="21"/>
          <w:lang w:val="en-US" w:eastAsia="zh-CN"/>
        </w:rPr>
        <w:t>叁</w:t>
      </w:r>
      <w:r>
        <w:rPr>
          <w:rFonts w:hint="eastAsia" w:ascii="宋体" w:hAnsi="宋体" w:eastAsia="宋体" w:cs="宋体"/>
          <w:sz w:val="21"/>
          <w:szCs w:val="21"/>
          <w:lang w:val="en-US" w:eastAsia="zh-CN"/>
        </w:rPr>
        <w:t>拾万元整）</w:t>
      </w:r>
      <w:r>
        <w:rPr>
          <w:rFonts w:hint="eastAsia" w:ascii="宋体" w:hAnsi="宋体" w:cs="宋体"/>
          <w:sz w:val="21"/>
          <w:szCs w:val="21"/>
          <w:lang w:val="en-US" w:eastAsia="zh-CN"/>
        </w:rPr>
        <w:t>；二</w:t>
      </w:r>
      <w:r>
        <w:rPr>
          <w:rFonts w:hint="eastAsia" w:ascii="宋体" w:hAnsi="宋体" w:eastAsia="宋体" w:cs="宋体"/>
          <w:sz w:val="21"/>
          <w:szCs w:val="21"/>
          <w:lang w:val="en-US" w:eastAsia="zh-CN"/>
        </w:rPr>
        <w:t>标段收取合同履约保证金</w:t>
      </w:r>
      <w:r>
        <w:rPr>
          <w:rFonts w:hint="eastAsia" w:ascii="宋体" w:hAnsi="宋体" w:eastAsia="宋体" w:cs="宋体"/>
          <w:sz w:val="21"/>
          <w:szCs w:val="21"/>
          <w:u w:val="single"/>
          <w:lang w:val="en-US" w:eastAsia="zh-CN"/>
        </w:rPr>
        <w:t>200</w:t>
      </w:r>
      <w:r>
        <w:rPr>
          <w:rFonts w:hint="eastAsia" w:ascii="宋体" w:hAnsi="宋体" w:cs="宋体"/>
          <w:sz w:val="21"/>
          <w:szCs w:val="21"/>
          <w:u w:val="single"/>
          <w:lang w:val="en-US" w:eastAsia="zh-CN"/>
        </w:rPr>
        <w:t>,</w:t>
      </w:r>
      <w:r>
        <w:rPr>
          <w:rFonts w:hint="eastAsia" w:ascii="宋体" w:hAnsi="宋体" w:eastAsia="宋体" w:cs="宋体"/>
          <w:sz w:val="21"/>
          <w:szCs w:val="21"/>
          <w:u w:val="single"/>
          <w:lang w:val="en-US" w:eastAsia="zh-CN"/>
        </w:rPr>
        <w:t>000</w:t>
      </w:r>
      <w:r>
        <w:rPr>
          <w:rFonts w:hint="eastAsia" w:ascii="宋体" w:hAnsi="宋体" w:cs="宋体"/>
          <w:sz w:val="21"/>
          <w:szCs w:val="21"/>
          <w:u w:val="single"/>
          <w:lang w:val="en-US" w:eastAsia="zh-CN"/>
        </w:rPr>
        <w:t>.00</w:t>
      </w:r>
      <w:r>
        <w:rPr>
          <w:rFonts w:hint="eastAsia" w:ascii="宋体" w:hAnsi="宋体" w:eastAsia="宋体" w:cs="宋体"/>
          <w:sz w:val="21"/>
          <w:szCs w:val="21"/>
          <w:lang w:val="en-US" w:eastAsia="zh-CN"/>
        </w:rPr>
        <w:t>元（大写：人民币贰拾万元整），由成交人在合同签订前通过银行电汇形式将履约保证金缴纳至甲方指定账户，采购人在接到成交人缴纳履约保证金相关凭证后，方可签订合同。合同期内成交人履行完合同后，成交人提出申请，采购人于10个工作日内无息返还履约保证金。</w:t>
      </w:r>
    </w:p>
    <w:p w14:paraId="3C3C62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4.2因采购人调运原因、环保原因、降价原因、极端天气或者发生不可抗力事故造成合同无法履行的，履约保证金全部无息退还。</w:t>
      </w:r>
    </w:p>
    <w:p w14:paraId="173CD6EB">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4.3成交人</w:t>
      </w:r>
      <w:r>
        <w:rPr>
          <w:rFonts w:hint="eastAsia" w:ascii="宋体" w:hAnsi="宋体" w:eastAsia="宋体" w:cs="宋体"/>
          <w:sz w:val="21"/>
          <w:szCs w:val="21"/>
        </w:rPr>
        <w:t>供应燃煤与合同煤质严重不符的，</w:t>
      </w:r>
      <w:r>
        <w:rPr>
          <w:rFonts w:hint="eastAsia" w:ascii="宋体" w:hAnsi="宋体" w:cs="宋体"/>
          <w:sz w:val="21"/>
          <w:szCs w:val="21"/>
          <w:lang w:val="en-US" w:eastAsia="zh-CN"/>
        </w:rPr>
        <w:t>采购人</w:t>
      </w:r>
      <w:r>
        <w:rPr>
          <w:rFonts w:hint="eastAsia" w:ascii="宋体" w:hAnsi="宋体" w:eastAsia="宋体" w:cs="宋体"/>
          <w:sz w:val="21"/>
          <w:szCs w:val="21"/>
        </w:rPr>
        <w:t>有权停止采购乙方燃煤，并扣除全部履约保证金。本次保证金只接受现汇，不接受银行保函、现金等其他形式保证金</w:t>
      </w:r>
      <w:r>
        <w:rPr>
          <w:rFonts w:hint="eastAsia" w:ascii="宋体" w:hAnsi="宋体" w:cs="宋体"/>
          <w:sz w:val="21"/>
          <w:szCs w:val="21"/>
          <w:lang w:val="en-US" w:eastAsia="zh-CN"/>
        </w:rPr>
        <w:t>。</w:t>
      </w:r>
    </w:p>
    <w:p w14:paraId="30CD5929">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4.4合同履约保证金缴纳账户：</w:t>
      </w:r>
    </w:p>
    <w:p w14:paraId="439AA992">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5672E14B">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359D7817">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57B5FE2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4.5成交人也可按合同格式文本要求向采购人供应和保证金同等价值的燃煤。</w:t>
      </w:r>
    </w:p>
    <w:p w14:paraId="6D7C17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结算及付款方式</w:t>
      </w:r>
    </w:p>
    <w:p w14:paraId="5532D70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 结算方式：</w:t>
      </w:r>
    </w:p>
    <w:p w14:paraId="12F7A2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（1）合同期内以</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提供的到厂计量数量、化验结果为结算依据，合同期内所供电煤</w:t>
      </w:r>
      <w:r>
        <w:rPr>
          <w:rFonts w:hint="eastAsia" w:ascii="宋体" w:hAnsi="宋体" w:cs="宋体"/>
          <w:sz w:val="21"/>
          <w:szCs w:val="21"/>
          <w:highlight w:val="none"/>
          <w:lang w:val="en-US" w:eastAsia="zh-CN"/>
        </w:rPr>
        <w:t>一标段</w:t>
      </w:r>
      <w:r>
        <w:rPr>
          <w:rFonts w:hint="eastAsia" w:ascii="宋体" w:hAnsi="宋体" w:eastAsia="宋体" w:cs="宋体"/>
          <w:sz w:val="21"/>
          <w:szCs w:val="21"/>
          <w:highlight w:val="none"/>
          <w:lang w:val="en-US" w:eastAsia="zh-CN"/>
        </w:rPr>
        <w:t>按</w:t>
      </w:r>
      <w:r>
        <w:rPr>
          <w:rFonts w:hint="eastAsia" w:ascii="宋体" w:hAnsi="宋体" w:cs="宋体"/>
          <w:sz w:val="21"/>
          <w:szCs w:val="21"/>
          <w:highlight w:val="none"/>
          <w:lang w:val="en-US" w:eastAsia="zh-CN"/>
        </w:rPr>
        <w:t>3700</w:t>
      </w:r>
      <w:r>
        <w:rPr>
          <w:rFonts w:hint="eastAsia" w:ascii="宋体" w:hAnsi="宋体" w:eastAsia="宋体" w:cs="宋体"/>
          <w:sz w:val="21"/>
          <w:szCs w:val="21"/>
          <w:highlight w:val="none"/>
          <w:lang w:val="en-US" w:eastAsia="zh-CN"/>
        </w:rPr>
        <w:t>kcal/kg以上热值加权（或单批次）</w:t>
      </w:r>
      <w:r>
        <w:rPr>
          <w:rFonts w:hint="eastAsia" w:ascii="宋体" w:hAnsi="宋体" w:cs="宋体"/>
          <w:sz w:val="21"/>
          <w:szCs w:val="21"/>
          <w:highlight w:val="none"/>
          <w:lang w:val="en-US" w:eastAsia="zh-CN"/>
        </w:rPr>
        <w:t>、二标段</w:t>
      </w:r>
      <w:r>
        <w:rPr>
          <w:rFonts w:hint="eastAsia" w:ascii="宋体" w:hAnsi="宋体" w:eastAsia="宋体" w:cs="宋体"/>
          <w:sz w:val="21"/>
          <w:szCs w:val="21"/>
          <w:highlight w:val="none"/>
          <w:lang w:val="en-US" w:eastAsia="zh-CN"/>
        </w:rPr>
        <w:t>按</w:t>
      </w:r>
      <w:r>
        <w:rPr>
          <w:rFonts w:hint="eastAsia" w:ascii="宋体" w:hAnsi="宋体" w:cs="宋体"/>
          <w:sz w:val="21"/>
          <w:szCs w:val="21"/>
          <w:highlight w:val="none"/>
          <w:lang w:val="en-US" w:eastAsia="zh-CN"/>
        </w:rPr>
        <w:t>4500</w:t>
      </w:r>
      <w:r>
        <w:rPr>
          <w:rFonts w:hint="eastAsia" w:ascii="宋体" w:hAnsi="宋体" w:eastAsia="宋体" w:cs="宋体"/>
          <w:sz w:val="21"/>
          <w:szCs w:val="21"/>
          <w:highlight w:val="none"/>
          <w:lang w:val="en-US" w:eastAsia="zh-CN"/>
        </w:rPr>
        <w:t>kcal/kg以上热值加权（或单批次）</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lang w:val="en-US" w:eastAsia="zh-CN"/>
        </w:rPr>
        <w:t>方式计算后合计一票到厂结算</w:t>
      </w:r>
      <w:r>
        <w:rPr>
          <w:rFonts w:hint="eastAsia" w:ascii="宋体" w:hAnsi="宋体" w:cs="宋体"/>
          <w:b/>
          <w:bCs/>
          <w:sz w:val="21"/>
          <w:szCs w:val="21"/>
          <w:highlight w:val="none"/>
          <w:lang w:val="en-US" w:eastAsia="zh-CN"/>
        </w:rPr>
        <w:t>（若成交人选择供应同等价值及以上燃煤作为合同履约保证金，则自《中标通知书》发出之日起至合同签订之日前，所供应同等价值及以上燃煤煤量纳入全合同量一并结算）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sz w:val="21"/>
          <w:szCs w:val="21"/>
          <w:highlight w:val="none"/>
          <w:lang w:val="en-US" w:eastAsia="zh-CN"/>
        </w:rPr>
        <w:t>；</w:t>
      </w:r>
      <w:r>
        <w:rPr>
          <w:rFonts w:hint="eastAsia" w:ascii="宋体" w:hAnsi="宋体" w:eastAsia="宋体" w:cs="宋体"/>
          <w:b w:val="0"/>
          <w:bCs w:val="0"/>
          <w:color w:val="000000"/>
          <w:kern w:val="0"/>
          <w:sz w:val="21"/>
          <w:szCs w:val="21"/>
          <w:lang w:val="en-US" w:eastAsia="zh-CN" w:bidi="ar"/>
        </w:rPr>
        <w:t xml:space="preserve"> </w:t>
      </w:r>
    </w:p>
    <w:p w14:paraId="7BC9420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（2）所有指标用扣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后的煤量进行加权计算单价，并用扣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w:t>
      </w:r>
      <w:r>
        <w:rPr>
          <w:rFonts w:hint="eastAsia" w:ascii="宋体" w:hAnsi="宋体" w:cs="宋体"/>
          <w:sz w:val="21"/>
          <w:szCs w:val="21"/>
          <w:highlight w:val="none"/>
          <w:lang w:val="en-US" w:eastAsia="zh-CN"/>
        </w:rPr>
        <w:t>煤量</w:t>
      </w:r>
      <w:r>
        <w:rPr>
          <w:rFonts w:hint="eastAsia" w:ascii="宋体" w:hAnsi="宋体" w:eastAsia="宋体" w:cs="宋体"/>
          <w:sz w:val="21"/>
          <w:szCs w:val="21"/>
          <w:highlight w:val="none"/>
          <w:lang w:val="en-US" w:eastAsia="zh-CN"/>
        </w:rPr>
        <w:t>计算应结算煤款。</w:t>
      </w:r>
    </w:p>
    <w:p w14:paraId="2727972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（3）合同约定的供煤量完成后双方办理结算（</w:t>
      </w:r>
      <w:r>
        <w:rPr>
          <w:rFonts w:hint="eastAsia" w:ascii="宋体" w:hAnsi="宋体" w:cs="宋体"/>
          <w:sz w:val="21"/>
          <w:szCs w:val="21"/>
          <w:highlight w:val="none"/>
          <w:lang w:val="en-US" w:eastAsia="zh-CN"/>
        </w:rPr>
        <w:t>若成交人超期天数超过30天</w:t>
      </w:r>
      <w:r>
        <w:rPr>
          <w:rFonts w:hint="eastAsia" w:ascii="宋体" w:hAnsi="宋体" w:eastAsia="宋体" w:cs="宋体"/>
          <w:sz w:val="21"/>
          <w:szCs w:val="21"/>
          <w:highlight w:val="none"/>
          <w:lang w:val="en-US" w:eastAsia="zh-CN"/>
        </w:rPr>
        <w:t>仍未供应完合同约定煤量，则</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通知</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办理结算），</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根据双方共同签字确认的结算单，开具相应增值税专用发票（税率13%）交到</w:t>
      </w:r>
      <w:r>
        <w:rPr>
          <w:rFonts w:hint="eastAsia" w:ascii="宋体" w:hAnsi="宋体" w:cs="宋体"/>
          <w:sz w:val="21"/>
          <w:szCs w:val="21"/>
          <w:highlight w:val="none"/>
          <w:lang w:val="en-US" w:eastAsia="zh-CN"/>
        </w:rPr>
        <w:t>采购人；</w:t>
      </w:r>
    </w:p>
    <w:p w14:paraId="39FAB85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乙方完成合同约定供煤量，甲方于次月底前向乙方支付50%煤款，第三月月底前向乙方付清剩余煤款。乙方未提供发票的，甲方有权延期付款。</w:t>
      </w:r>
    </w:p>
    <w:p w14:paraId="6FB4B6C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2付款方式：现汇</w:t>
      </w:r>
      <w:r>
        <w:rPr>
          <w:rFonts w:hint="eastAsia" w:ascii="宋体" w:hAnsi="宋体" w:cs="宋体"/>
          <w:sz w:val="21"/>
          <w:szCs w:val="21"/>
          <w:highlight w:val="none"/>
          <w:lang w:val="en-US" w:eastAsia="zh-CN"/>
        </w:rPr>
        <w:t>、银行承兑汇票</w:t>
      </w:r>
      <w:r>
        <w:rPr>
          <w:rFonts w:hint="eastAsia" w:ascii="宋体" w:hAnsi="宋体" w:eastAsia="宋体" w:cs="宋体"/>
          <w:sz w:val="21"/>
          <w:szCs w:val="21"/>
          <w:highlight w:val="none"/>
          <w:lang w:val="en-US" w:eastAsia="zh-CN"/>
        </w:rPr>
        <w:t>或其他。</w:t>
      </w:r>
    </w:p>
    <w:p w14:paraId="08D8CC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包装、运输与装卸</w:t>
      </w:r>
    </w:p>
    <w:p w14:paraId="1867BA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除供货合同另有规定外，</w:t>
      </w:r>
      <w:r>
        <w:rPr>
          <w:rFonts w:hint="eastAsia" w:ascii="宋体" w:hAnsi="宋体" w:eastAsia="宋体" w:cs="宋体"/>
          <w:sz w:val="21"/>
          <w:szCs w:val="21"/>
          <w:lang w:eastAsia="zh-CN"/>
        </w:rPr>
        <w:t>成交人</w:t>
      </w:r>
      <w:r>
        <w:rPr>
          <w:rFonts w:hint="eastAsia" w:ascii="宋体" w:hAnsi="宋体" w:eastAsia="宋体" w:cs="宋体"/>
          <w:sz w:val="21"/>
          <w:szCs w:val="21"/>
        </w:rPr>
        <w:t>供应的货物，均应按国家、行业标准保护措施进行包装。这类包装应适应于远距离运输、防损、多次搬运装卸，以确货物完好无损运抵指定现场。由于</w:t>
      </w:r>
      <w:r>
        <w:rPr>
          <w:rFonts w:hint="eastAsia" w:ascii="宋体" w:hAnsi="宋体" w:eastAsia="宋体" w:cs="宋体"/>
          <w:sz w:val="21"/>
          <w:szCs w:val="21"/>
          <w:lang w:eastAsia="zh-CN"/>
        </w:rPr>
        <w:t>成交人</w:t>
      </w:r>
      <w:r>
        <w:rPr>
          <w:rFonts w:hint="eastAsia" w:ascii="宋体" w:hAnsi="宋体" w:eastAsia="宋体" w:cs="宋体"/>
          <w:sz w:val="21"/>
          <w:szCs w:val="21"/>
        </w:rPr>
        <w:t>包装、运输不善所造成的任何损失，由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3650E5C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lang w:eastAsia="zh-CN"/>
        </w:rPr>
        <w:t>成交人</w:t>
      </w:r>
      <w:r>
        <w:rPr>
          <w:rFonts w:hint="eastAsia" w:ascii="宋体" w:hAnsi="宋体" w:eastAsia="宋体" w:cs="宋体"/>
          <w:sz w:val="21"/>
          <w:szCs w:val="21"/>
        </w:rPr>
        <w:t>应选择合适的运输方式，并负责货物的安全合法发运、保险、装卸工作及费用和安全，</w:t>
      </w:r>
      <w:r>
        <w:rPr>
          <w:rFonts w:hint="eastAsia" w:ascii="宋体" w:hAnsi="宋体" w:eastAsia="宋体" w:cs="宋体"/>
          <w:sz w:val="21"/>
          <w:szCs w:val="21"/>
          <w:lang w:eastAsia="zh-CN"/>
        </w:rPr>
        <w:t>成交人</w:t>
      </w:r>
      <w:r>
        <w:rPr>
          <w:rFonts w:hint="eastAsia" w:ascii="宋体" w:hAnsi="宋体" w:eastAsia="宋体" w:cs="宋体"/>
          <w:sz w:val="21"/>
          <w:szCs w:val="21"/>
        </w:rPr>
        <w:t>运输人员必须具有相关从业资格证书,</w:t>
      </w:r>
      <w:r>
        <w:rPr>
          <w:rFonts w:hint="eastAsia" w:ascii="宋体" w:hAnsi="宋体" w:eastAsia="宋体" w:cs="宋体"/>
          <w:sz w:val="21"/>
          <w:szCs w:val="21"/>
          <w:lang w:eastAsia="zh-CN"/>
        </w:rPr>
        <w:t>成交人</w:t>
      </w:r>
      <w:r>
        <w:rPr>
          <w:rFonts w:hint="eastAsia" w:ascii="宋体" w:hAnsi="宋体" w:eastAsia="宋体" w:cs="宋体"/>
          <w:sz w:val="21"/>
          <w:szCs w:val="21"/>
        </w:rPr>
        <w:t>未按国家相关法律法规和本合同的约定在货物运输所造成的一切安全事故和损失，由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0DFF883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7.数量、质量验收</w:t>
      </w:r>
    </w:p>
    <w:p w14:paraId="56E6258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w:t>
      </w:r>
      <w:r>
        <w:rPr>
          <w:rFonts w:hint="eastAsia" w:ascii="宋体" w:hAnsi="宋体" w:cs="宋体"/>
          <w:sz w:val="21"/>
          <w:szCs w:val="21"/>
          <w:lang w:val="en-US" w:eastAsia="zh-CN"/>
        </w:rPr>
        <w:t>一标段供煤数量20000吨及以上，二标段供煤数量10000吨及以上。</w:t>
      </w:r>
    </w:p>
    <w:p w14:paraId="3423AC8B">
      <w:pPr>
        <w:keepNext w:val="0"/>
        <w:keepLines w:val="0"/>
        <w:pageBreakBefore w:val="0"/>
        <w:widowControl/>
        <w:suppressLineNumbers w:val="0"/>
        <w:kinsoku/>
        <w:wordWrap/>
        <w:overflowPunct/>
        <w:topLinePunct w:val="0"/>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7.2质量验收：产品计量方法为过衡计量，计量单位为吨为计量单位，保留两位小数。采购人对成交人所供燃煤采取车车采样，按批次（每天一个批次）进行化验，取样时按国家采制样标准执行，成交人</w:t>
      </w:r>
      <w:r>
        <w:rPr>
          <w:rFonts w:hint="eastAsia" w:ascii="宋体" w:hAnsi="宋体" w:cs="宋体"/>
          <w:color w:val="auto"/>
          <w:sz w:val="21"/>
          <w:szCs w:val="21"/>
          <w:lang w:val="en-US" w:eastAsia="zh-CN"/>
        </w:rPr>
        <w:t>有权监督</w:t>
      </w:r>
      <w:r>
        <w:rPr>
          <w:rFonts w:hint="eastAsia" w:ascii="宋体" w:hAnsi="宋体" w:eastAsia="宋体" w:cs="宋体"/>
          <w:sz w:val="21"/>
          <w:szCs w:val="21"/>
          <w:lang w:val="en-US" w:eastAsia="zh-CN"/>
        </w:rPr>
        <w:t>采购人取样、制样、缩分</w:t>
      </w:r>
      <w:r>
        <w:rPr>
          <w:rFonts w:hint="eastAsia" w:ascii="宋体" w:hAnsi="宋体" w:cs="宋体"/>
          <w:color w:val="auto"/>
          <w:sz w:val="21"/>
          <w:szCs w:val="21"/>
          <w:lang w:val="en-US" w:eastAsia="zh-CN"/>
        </w:rPr>
        <w:t>等操作</w:t>
      </w:r>
      <w:r>
        <w:rPr>
          <w:rFonts w:hint="eastAsia" w:ascii="宋体" w:hAnsi="宋体" w:eastAsia="宋体" w:cs="宋体"/>
          <w:color w:val="auto"/>
          <w:sz w:val="21"/>
          <w:szCs w:val="21"/>
          <w:lang w:val="en-US" w:eastAsia="zh-CN"/>
        </w:rPr>
        <w:t>过程</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并对封存样</w:t>
      </w:r>
      <w:r>
        <w:rPr>
          <w:rFonts w:hint="eastAsia" w:ascii="宋体" w:hAnsi="宋体" w:cs="宋体"/>
          <w:color w:val="auto"/>
          <w:sz w:val="21"/>
          <w:szCs w:val="21"/>
          <w:lang w:val="en-US" w:eastAsia="zh-CN"/>
        </w:rPr>
        <w:t>进行</w:t>
      </w:r>
      <w:r>
        <w:rPr>
          <w:rFonts w:hint="eastAsia" w:ascii="宋体" w:hAnsi="宋体" w:eastAsia="宋体" w:cs="宋体"/>
          <w:color w:val="auto"/>
          <w:sz w:val="21"/>
          <w:szCs w:val="21"/>
          <w:lang w:val="en-US" w:eastAsia="zh-CN"/>
        </w:rPr>
        <w:t>签字确认，若成交人不到场签字确认则视为认可采购人的取、制、分样过程，以采购人化验结果作为结算付款的依据（采购人对入厂燃煤的采制样、质量检验严格执行国家相关标准）；从入厂之日起，乙方应在交货后 5 个工作日内到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索取化验结果，若 5 个工作日内未取，</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视为</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对化验结果知晓</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成交人在知晓检验结果后3天内未书面提出异议的，即视为同意采购人的检验报告，</w:t>
      </w:r>
      <w:r>
        <w:rPr>
          <w:rFonts w:hint="eastAsia" w:ascii="宋体" w:hAnsi="宋体" w:eastAsia="宋体" w:cs="宋体"/>
          <w:sz w:val="21"/>
          <w:szCs w:val="21"/>
          <w:lang w:val="en-US" w:eastAsia="zh-CN"/>
        </w:rPr>
        <w:t>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8D6D80D">
      <w:pPr>
        <w:keepNext w:val="0"/>
        <w:keepLines w:val="0"/>
        <w:pageBreakBefore w:val="0"/>
        <w:widowControl/>
        <w:kinsoku/>
        <w:wordWrap/>
        <w:overflowPunct/>
        <w:topLinePunct w:val="0"/>
        <w:autoSpaceDE/>
        <w:autoSpaceDN/>
        <w:bidi w:val="0"/>
        <w:adjustRightInd/>
        <w:spacing w:line="360" w:lineRule="auto"/>
        <w:jc w:val="both"/>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7DB6CFA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5BBB6A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6B4F96A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 及其他杂物等。</w:t>
      </w:r>
    </w:p>
    <w:p w14:paraId="68A54D8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 若发现小车装质量好的煤，而大车装质量差的煤),热值超过500kcal/kg 的。</w:t>
      </w:r>
    </w:p>
    <w:p w14:paraId="177E090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来煤为无烟煤和来煤中掺配无烟煤的(以公司化验收到基挥发分Var小于</w:t>
      </w: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0</w:t>
      </w:r>
      <w:r>
        <w:rPr>
          <w:rFonts w:hint="eastAsia" w:ascii="宋体" w:hAnsi="宋体" w:eastAsia="宋体" w:cs="宋体"/>
          <w:color w:val="000000" w:themeColor="text1"/>
          <w:kern w:val="0"/>
          <w:sz w:val="21"/>
          <w:szCs w:val="21"/>
          <w14:textFill>
            <w14:solidFill>
              <w14:schemeClr w14:val="tx1"/>
            </w14:solidFill>
          </w14:textFill>
        </w:rPr>
        <w:t>.00%</w:t>
      </w:r>
      <w:r>
        <w:rPr>
          <w:rFonts w:hint="eastAsia" w:ascii="宋体" w:hAnsi="宋体" w:eastAsia="宋体" w:cs="宋体"/>
          <w:color w:val="000000"/>
          <w:kern w:val="0"/>
          <w:sz w:val="21"/>
          <w:szCs w:val="21"/>
        </w:rPr>
        <w:t>为基准)。</w:t>
      </w:r>
    </w:p>
    <w:p w14:paraId="1D2145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4A83F1B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乙方入厂煤如掺配有新疆煤、无烟煤的。</w:t>
      </w:r>
    </w:p>
    <w:p w14:paraId="6B08F6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燃料部、</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监察审计部</w:t>
      </w:r>
      <w:r>
        <w:rPr>
          <w:rFonts w:hint="eastAsia" w:ascii="宋体" w:hAnsi="宋体" w:eastAsia="宋体" w:cs="宋体"/>
          <w:color w:val="000000"/>
          <w:kern w:val="0"/>
          <w:sz w:val="21"/>
          <w:szCs w:val="21"/>
          <w:lang w:val="en-US" w:eastAsia="zh-CN"/>
        </w:rPr>
        <w:t>及成交人</w:t>
      </w:r>
      <w:r>
        <w:rPr>
          <w:rFonts w:hint="eastAsia" w:ascii="宋体" w:hAnsi="宋体" w:eastAsia="宋体" w:cs="宋体"/>
          <w:color w:val="000000"/>
          <w:kern w:val="0"/>
          <w:sz w:val="21"/>
          <w:szCs w:val="21"/>
        </w:rPr>
        <w:t>三方见证，达成一致意见后，认定为煤质异常</w:t>
      </w:r>
      <w:r>
        <w:rPr>
          <w:rFonts w:hint="eastAsia" w:ascii="宋体" w:hAnsi="宋体" w:eastAsia="宋体" w:cs="宋体"/>
          <w:color w:val="000000"/>
          <w:kern w:val="0"/>
          <w:sz w:val="21"/>
          <w:szCs w:val="21"/>
          <w:lang w:val="en-US" w:eastAsia="zh-CN"/>
        </w:rPr>
        <w:t>。</w:t>
      </w:r>
    </w:p>
    <w:p w14:paraId="3FFECA1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8.违约责任</w:t>
      </w:r>
    </w:p>
    <w:p w14:paraId="2EFD5F1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8.1</w:t>
      </w:r>
      <w:r>
        <w:rPr>
          <w:rFonts w:hint="eastAsia" w:ascii="宋体" w:hAnsi="宋体" w:eastAsia="宋体" w:cs="宋体"/>
          <w:b/>
          <w:bCs/>
          <w:sz w:val="21"/>
          <w:szCs w:val="21"/>
          <w:highlight w:val="none"/>
          <w:lang w:val="en-US" w:eastAsia="zh-CN"/>
        </w:rPr>
        <w:t>成交人必须按要求进行均衡发运，发运过程中，除因采购人接卸和其他不可抗力原因外</w:t>
      </w:r>
      <w:r>
        <w:rPr>
          <w:rFonts w:hint="eastAsia" w:ascii="宋体" w:hAnsi="宋体" w:cs="宋体"/>
          <w:b/>
          <w:bCs/>
          <w:sz w:val="21"/>
          <w:szCs w:val="21"/>
          <w:highlight w:val="none"/>
          <w:lang w:val="en-US" w:eastAsia="zh-CN"/>
        </w:rPr>
        <w:t>，一标段</w:t>
      </w:r>
      <w:r>
        <w:rPr>
          <w:rFonts w:hint="eastAsia" w:ascii="宋体" w:hAnsi="宋体" w:eastAsia="宋体" w:cs="宋体"/>
          <w:b/>
          <w:bCs/>
          <w:sz w:val="21"/>
          <w:szCs w:val="21"/>
          <w:highlight w:val="none"/>
          <w:lang w:val="en-US" w:eastAsia="zh-CN"/>
        </w:rPr>
        <w:t>中标供应商在合同签订之日起</w:t>
      </w:r>
      <w:r>
        <w:rPr>
          <w:rFonts w:hint="eastAsia" w:ascii="宋体" w:hAnsi="宋体" w:cs="宋体"/>
          <w:b/>
          <w:bCs/>
          <w:sz w:val="21"/>
          <w:szCs w:val="21"/>
          <w:highlight w:val="none"/>
          <w:lang w:val="en-US" w:eastAsia="zh-CN"/>
        </w:rPr>
        <w:t>45个日历天</w:t>
      </w:r>
      <w:r>
        <w:rPr>
          <w:rFonts w:hint="eastAsia" w:ascii="宋体" w:hAnsi="宋体" w:eastAsia="宋体" w:cs="宋体"/>
          <w:b/>
          <w:bCs/>
          <w:sz w:val="21"/>
          <w:szCs w:val="21"/>
          <w:highlight w:val="none"/>
          <w:lang w:val="en-US" w:eastAsia="zh-CN"/>
        </w:rPr>
        <w:t>内向采购人供应燃煤</w:t>
      </w:r>
      <w:r>
        <w:rPr>
          <w:rFonts w:hint="eastAsia" w:ascii="宋体" w:hAnsi="宋体" w:cs="宋体"/>
          <w:b/>
          <w:bCs/>
          <w:sz w:val="21"/>
          <w:szCs w:val="21"/>
          <w:highlight w:val="none"/>
          <w:lang w:val="en-US" w:eastAsia="zh-CN"/>
        </w:rPr>
        <w:t>为≥20000</w:t>
      </w:r>
      <w:r>
        <w:rPr>
          <w:rFonts w:hint="eastAsia" w:ascii="宋体" w:hAnsi="宋体" w:eastAsia="宋体" w:cs="宋体"/>
          <w:b/>
          <w:bCs/>
          <w:sz w:val="21"/>
          <w:szCs w:val="21"/>
          <w:highlight w:val="none"/>
          <w:lang w:val="en-US" w:eastAsia="zh-CN"/>
        </w:rPr>
        <w:t>吨</w:t>
      </w:r>
      <w:r>
        <w:rPr>
          <w:rFonts w:hint="eastAsia" w:ascii="宋体" w:hAnsi="宋体" w:cs="宋体"/>
          <w:b/>
          <w:bCs/>
          <w:sz w:val="21"/>
          <w:szCs w:val="21"/>
          <w:highlight w:val="none"/>
          <w:lang w:val="en-US" w:eastAsia="zh-CN"/>
        </w:rPr>
        <w:t>，二标段</w:t>
      </w:r>
      <w:r>
        <w:rPr>
          <w:rFonts w:hint="eastAsia" w:ascii="宋体" w:hAnsi="宋体" w:eastAsia="宋体" w:cs="宋体"/>
          <w:b/>
          <w:bCs/>
          <w:sz w:val="21"/>
          <w:szCs w:val="21"/>
          <w:highlight w:val="none"/>
          <w:lang w:val="en-US" w:eastAsia="zh-CN"/>
        </w:rPr>
        <w:t>中标供应商在合同签订之日起</w:t>
      </w:r>
      <w:r>
        <w:rPr>
          <w:rFonts w:hint="eastAsia" w:ascii="宋体" w:hAnsi="宋体" w:cs="宋体"/>
          <w:b/>
          <w:bCs/>
          <w:sz w:val="21"/>
          <w:szCs w:val="21"/>
          <w:highlight w:val="none"/>
          <w:lang w:val="en-US" w:eastAsia="zh-CN"/>
        </w:rPr>
        <w:t>30个日历天</w:t>
      </w:r>
      <w:r>
        <w:rPr>
          <w:rFonts w:hint="eastAsia" w:ascii="宋体" w:hAnsi="宋体" w:eastAsia="宋体" w:cs="宋体"/>
          <w:b/>
          <w:bCs/>
          <w:sz w:val="21"/>
          <w:szCs w:val="21"/>
          <w:highlight w:val="none"/>
          <w:lang w:val="en-US" w:eastAsia="zh-CN"/>
        </w:rPr>
        <w:t>内向采购人供应燃煤</w:t>
      </w:r>
      <w:r>
        <w:rPr>
          <w:rFonts w:hint="eastAsia" w:ascii="宋体" w:hAnsi="宋体" w:cs="宋体"/>
          <w:b/>
          <w:bCs/>
          <w:sz w:val="21"/>
          <w:szCs w:val="21"/>
          <w:highlight w:val="none"/>
          <w:lang w:val="en-US" w:eastAsia="zh-CN"/>
        </w:rPr>
        <w:t>为≥10000</w:t>
      </w:r>
      <w:r>
        <w:rPr>
          <w:rFonts w:hint="eastAsia" w:ascii="宋体" w:hAnsi="宋体" w:eastAsia="宋体" w:cs="宋体"/>
          <w:b/>
          <w:bCs/>
          <w:sz w:val="21"/>
          <w:szCs w:val="21"/>
          <w:highlight w:val="none"/>
          <w:lang w:val="en-US" w:eastAsia="zh-CN"/>
        </w:rPr>
        <w:t>吨</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供应商在收到采购人发出的</w:t>
      </w:r>
      <w:r>
        <w:rPr>
          <w:rFonts w:hint="eastAsia" w:ascii="宋体" w:hAnsi="宋体" w:cs="宋体"/>
          <w:b/>
          <w:bCs/>
          <w:sz w:val="21"/>
          <w:szCs w:val="21"/>
          <w:highlight w:val="none"/>
          <w:lang w:val="en-US" w:eastAsia="zh-CN"/>
        </w:rPr>
        <w:t>《中标通知书》7个工作日</w:t>
      </w:r>
      <w:r>
        <w:rPr>
          <w:rFonts w:hint="eastAsia" w:ascii="宋体" w:hAnsi="宋体" w:eastAsia="宋体" w:cs="宋体"/>
          <w:b/>
          <w:bCs/>
          <w:sz w:val="21"/>
          <w:szCs w:val="21"/>
          <w:highlight w:val="none"/>
          <w:lang w:val="en-US" w:eastAsia="zh-CN"/>
        </w:rPr>
        <w:t>内在采购人指定地点签订合同。</w:t>
      </w:r>
      <w:r>
        <w:rPr>
          <w:rFonts w:hint="eastAsia" w:ascii="宋体" w:hAnsi="宋体" w:cs="宋体"/>
          <w:b/>
          <w:bCs/>
          <w:sz w:val="21"/>
          <w:szCs w:val="21"/>
          <w:highlight w:val="none"/>
          <w:lang w:val="en-US" w:eastAsia="zh-CN"/>
        </w:rPr>
        <w:t>若</w:t>
      </w:r>
      <w:r>
        <w:rPr>
          <w:rStyle w:val="89"/>
          <w:rFonts w:hint="eastAsia" w:ascii="宋体" w:hAnsi="宋体" w:cs="宋体" w:eastAsiaTheme="minorEastAsia"/>
          <w:b/>
          <w:bCs/>
          <w:color w:val="auto"/>
          <w:szCs w:val="22"/>
          <w:lang w:val="en-US" w:eastAsia="zh-CN"/>
        </w:rPr>
        <w:t>合同期结束时一标段</w:t>
      </w:r>
      <w:r>
        <w:rPr>
          <w:rFonts w:hint="eastAsia" w:ascii="宋体" w:hAnsi="宋体" w:eastAsia="宋体" w:cs="宋体"/>
          <w:b/>
          <w:bCs/>
          <w:sz w:val="21"/>
          <w:szCs w:val="21"/>
          <w:highlight w:val="none"/>
          <w:lang w:val="en-US" w:eastAsia="zh-CN"/>
        </w:rPr>
        <w:t>中标供应商</w:t>
      </w:r>
      <w:r>
        <w:rPr>
          <w:rStyle w:val="89"/>
          <w:rFonts w:hint="eastAsia" w:ascii="宋体" w:hAnsi="宋体" w:cs="宋体" w:eastAsiaTheme="minorEastAsia"/>
          <w:b/>
          <w:bCs/>
          <w:color w:val="auto"/>
          <w:szCs w:val="22"/>
          <w:lang w:val="en-US" w:eastAsia="zh-CN"/>
        </w:rPr>
        <w:t>供应燃煤小于20000吨、二标段</w:t>
      </w:r>
      <w:r>
        <w:rPr>
          <w:rFonts w:hint="eastAsia" w:ascii="宋体" w:hAnsi="宋体" w:eastAsia="宋体" w:cs="宋体"/>
          <w:b/>
          <w:bCs/>
          <w:sz w:val="21"/>
          <w:szCs w:val="21"/>
          <w:highlight w:val="none"/>
          <w:lang w:val="en-US" w:eastAsia="zh-CN"/>
        </w:rPr>
        <w:t>中标供应商</w:t>
      </w:r>
      <w:r>
        <w:rPr>
          <w:rStyle w:val="89"/>
          <w:rFonts w:hint="eastAsia" w:ascii="宋体" w:hAnsi="宋体" w:cs="宋体" w:eastAsiaTheme="minorEastAsia"/>
          <w:b/>
          <w:bCs/>
          <w:color w:val="auto"/>
          <w:szCs w:val="22"/>
          <w:lang w:val="en-US" w:eastAsia="zh-CN"/>
        </w:rPr>
        <w:t>供应燃煤小于10000吨，基准单价降低0.01元/[(kcal/kg)×吨]同时不予退还合同履约保证金；未在规定的时间节点完成发运量，甲方有权终止合同。</w:t>
      </w:r>
    </w:p>
    <w:p w14:paraId="4FF8D6FB">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b/>
          <w:bCs/>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cs="宋体"/>
          <w:color w:val="auto"/>
          <w:sz w:val="21"/>
          <w:szCs w:val="21"/>
          <w:lang w:val="en-US" w:eastAsia="zh-CN"/>
        </w:rPr>
        <w:t>2</w:t>
      </w:r>
      <w:r>
        <w:rPr>
          <w:rFonts w:hint="eastAsia" w:ascii="宋体" w:hAnsi="宋体" w:eastAsia="宋体" w:cs="宋体"/>
          <w:b/>
          <w:bCs/>
          <w:color w:val="000000" w:themeColor="text1"/>
          <w:sz w:val="21"/>
          <w:szCs w:val="21"/>
          <w:lang w:eastAsia="zh-CN"/>
          <w14:textFill>
            <w14:solidFill>
              <w14:schemeClr w14:val="tx1"/>
            </w14:solidFill>
          </w14:textFill>
        </w:rPr>
        <w:t>成交人</w:t>
      </w:r>
      <w:r>
        <w:rPr>
          <w:rFonts w:hint="eastAsia" w:ascii="宋体" w:hAnsi="宋体" w:eastAsia="宋体" w:cs="宋体"/>
          <w:b/>
          <w:bCs/>
          <w:color w:val="000000" w:themeColor="text1"/>
          <w:sz w:val="21"/>
          <w:szCs w:val="21"/>
          <w14:textFill>
            <w14:solidFill>
              <w14:schemeClr w14:val="tx1"/>
            </w14:solidFill>
          </w14:textFill>
        </w:rPr>
        <w:t>来煤</w:t>
      </w:r>
      <w:r>
        <w:rPr>
          <w:rStyle w:val="89"/>
          <w:rFonts w:hint="eastAsia" w:ascii="宋体" w:hAnsi="宋体" w:cs="宋体" w:eastAsiaTheme="minorEastAsia"/>
          <w:b/>
          <w:bCs/>
          <w:color w:val="000000" w:themeColor="text1"/>
          <w:szCs w:val="22"/>
          <w:lang w:val="en-US" w:eastAsia="zh-CN"/>
          <w14:textFill>
            <w14:solidFill>
              <w14:schemeClr w14:val="tx1"/>
            </w14:solidFill>
          </w14:textFill>
        </w:rPr>
        <w:t>若掺配新疆煤、无烟煤采购人有权拒付。</w:t>
      </w:r>
    </w:p>
    <w:p w14:paraId="10825B22">
      <w:pPr>
        <w:keepNext w:val="0"/>
        <w:keepLines w:val="0"/>
        <w:pageBreakBefore w:val="0"/>
        <w:kinsoku/>
        <w:wordWrap/>
        <w:overflowPunct/>
        <w:topLinePunct w:val="0"/>
        <w:autoSpaceDE/>
        <w:autoSpaceDN/>
        <w:bidi w:val="0"/>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 xml:space="preserve">3 </w:t>
      </w:r>
      <w:r>
        <w:rPr>
          <w:rFonts w:hint="eastAsia" w:ascii="宋体" w:hAnsi="宋体" w:eastAsia="宋体" w:cs="宋体"/>
          <w:sz w:val="21"/>
          <w:szCs w:val="21"/>
          <w:lang w:val="en-US" w:eastAsia="zh-CN"/>
        </w:rPr>
        <w:t>因</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提供的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不符合合同质量要求导致</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缺煤停机或造成设备异常损坏的，</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应采取更换、补发符合合同约定的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，并承担由此产生的费用，给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造成的经济损失应予以全额赔偿，</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有权解除合同</w:t>
      </w:r>
      <w:r>
        <w:rPr>
          <w:rFonts w:hint="eastAsia" w:ascii="宋体" w:hAnsi="宋体" w:cs="宋体"/>
          <w:sz w:val="21"/>
          <w:szCs w:val="21"/>
          <w:lang w:val="en-US" w:eastAsia="zh-CN"/>
        </w:rPr>
        <w:t>。</w:t>
      </w:r>
    </w:p>
    <w:p w14:paraId="129E74B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其他</w:t>
      </w:r>
    </w:p>
    <w:p w14:paraId="697C846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9.1采购人和成交人双方在燃煤供应全过程中，均不得有行贿受贿或有意刁难对方的行为，违者按有关法律、法规及制度严惩；</w:t>
      </w:r>
    </w:p>
    <w:p w14:paraId="155BDA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9.2成交人车辆及司机进入采购人厂区后，应服从管理，听从指挥，一车一人，限速行驶（5km/h）,严禁超速；</w:t>
      </w:r>
    </w:p>
    <w:p w14:paraId="0281BA5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9.3禁止成交人司机及其他人员在公司物料卸货区域及其它地方随意逗留、穿行，由此发</w:t>
      </w:r>
      <w:r>
        <w:rPr>
          <w:rFonts w:hint="eastAsia" w:ascii="宋体" w:hAnsi="宋体" w:cs="宋体"/>
          <w:sz w:val="21"/>
          <w:szCs w:val="21"/>
          <w:lang w:val="en-US" w:eastAsia="zh-CN"/>
        </w:rPr>
        <w:t>生</w:t>
      </w:r>
      <w:r>
        <w:rPr>
          <w:rFonts w:hint="eastAsia" w:ascii="宋体" w:hAnsi="宋体" w:eastAsia="宋体" w:cs="宋体"/>
          <w:sz w:val="21"/>
          <w:szCs w:val="21"/>
          <w:lang w:val="en-US" w:eastAsia="zh-CN"/>
        </w:rPr>
        <w:t>的安全风险及责任由成交人自行承担；</w:t>
      </w:r>
    </w:p>
    <w:p w14:paraId="68B5165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9.4成交人车辆及司机证照齐全有效，严格遵守道路交通法规和野马寨电厂相关管理规章制度。严禁违章作业；</w:t>
      </w:r>
    </w:p>
    <w:p w14:paraId="750C683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9.5成交人车辆外观整洁，车况完好，不得带病行驶，运输燃煤必须加盖篷布，防止道路遗洒和扬尘。不得采用前后轮距超过11.8米的拖挂车进行运输，不得采用平板车进行运输、不得组织民工进行卸煤</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7494C6F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9.6成交人运输煤的车辆必须确保在每天8：30时至18：30时</w:t>
      </w:r>
      <w:r>
        <w:rPr>
          <w:rFonts w:hint="eastAsia" w:ascii="宋体" w:hAnsi="宋体" w:eastAsia="宋体" w:cs="宋体"/>
          <w:sz w:val="21"/>
          <w:szCs w:val="21"/>
          <w:lang w:val="en-US" w:eastAsia="zh-CN"/>
        </w:rPr>
        <w:t>范围内到厂，其他时间内到厂的车辆须等到次日上班后才能过磅（特殊情况除外）；</w:t>
      </w:r>
    </w:p>
    <w:p w14:paraId="74388FA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21642DF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29E590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42AE36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01B78DD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9.11成交人与采购人的业务涉及税务调查，成交人必须履行通知义务；采购人与成交人的业务涉及税务调查，成交人有义务配合。</w:t>
      </w:r>
    </w:p>
    <w:p w14:paraId="6A5FE7C0">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应完全响应</w:t>
      </w:r>
      <w:r>
        <w:rPr>
          <w:rFonts w:hint="eastAsia" w:ascii="宋体" w:hAnsi="宋体" w:cs="宋体"/>
          <w:b/>
          <w:bCs/>
          <w:sz w:val="21"/>
          <w:szCs w:val="21"/>
          <w:lang w:val="en-US" w:eastAsia="zh-CN"/>
        </w:rPr>
        <w:t>或优于</w:t>
      </w:r>
      <w:r>
        <w:rPr>
          <w:rFonts w:hint="eastAsia" w:ascii="宋体" w:hAnsi="宋体" w:eastAsia="宋体" w:cs="宋体"/>
          <w:b/>
          <w:bCs/>
          <w:sz w:val="21"/>
          <w:szCs w:val="21"/>
          <w:lang w:val="en-US" w:eastAsia="zh-CN"/>
        </w:rPr>
        <w:t>采购文件商务</w:t>
      </w:r>
      <w:r>
        <w:rPr>
          <w:rFonts w:hint="eastAsia" w:ascii="宋体" w:hAnsi="宋体" w:cs="宋体"/>
          <w:b/>
          <w:bCs/>
          <w:sz w:val="21"/>
          <w:szCs w:val="21"/>
          <w:lang w:val="en-US" w:eastAsia="zh-CN"/>
        </w:rPr>
        <w:t>要求</w:t>
      </w:r>
      <w:r>
        <w:rPr>
          <w:rFonts w:hint="eastAsia" w:ascii="宋体" w:hAnsi="宋体" w:eastAsia="宋体" w:cs="宋体"/>
          <w:b/>
          <w:bCs/>
          <w:sz w:val="21"/>
          <w:szCs w:val="21"/>
          <w:lang w:val="en-US" w:eastAsia="zh-CN"/>
        </w:rPr>
        <w:t>，否则响应文件无效。</w:t>
      </w:r>
    </w:p>
    <w:p w14:paraId="26F0061B">
      <w:pPr>
        <w:pStyle w:val="49"/>
        <w:numPr>
          <w:ilvl w:val="0"/>
          <w:numId w:val="0"/>
        </w:numP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w:t>
      </w:r>
    </w:p>
    <w:p w14:paraId="2415CACE">
      <w:pPr>
        <w:pStyle w:val="33"/>
        <w:keepNext w:val="0"/>
        <w:keepLines w:val="0"/>
        <w:pageBreakBefore w:val="0"/>
        <w:kinsoku/>
        <w:wordWrap/>
        <w:overflowPunct/>
        <w:topLinePunct w:val="0"/>
        <w:autoSpaceDE/>
        <w:autoSpaceDN/>
        <w:bidi w:val="0"/>
        <w:snapToGrid w:val="0"/>
        <w:spacing w:after="0" w:line="360" w:lineRule="auto"/>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供应商在</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后不能按照本</w:t>
      </w:r>
      <w:r>
        <w:rPr>
          <w:rFonts w:hint="eastAsia" w:ascii="宋体" w:hAnsi="宋体" w:eastAsia="宋体" w:cs="宋体"/>
          <w:b/>
          <w:bCs/>
          <w:sz w:val="21"/>
          <w:szCs w:val="21"/>
          <w:lang w:eastAsia="zh-CN"/>
        </w:rPr>
        <w:t>采购文件</w:t>
      </w:r>
      <w:r>
        <w:rPr>
          <w:rFonts w:hint="eastAsia" w:ascii="宋体" w:hAnsi="宋体" w:eastAsia="宋体" w:cs="宋体"/>
          <w:b/>
          <w:bCs/>
          <w:sz w:val="21"/>
          <w:szCs w:val="21"/>
        </w:rPr>
        <w:t>及其</w:t>
      </w:r>
      <w:r>
        <w:rPr>
          <w:rFonts w:hint="eastAsia" w:ascii="宋体" w:hAnsi="宋体" w:eastAsia="宋体" w:cs="宋体"/>
          <w:b/>
          <w:bCs/>
          <w:sz w:val="21"/>
          <w:szCs w:val="21"/>
          <w:lang w:eastAsia="zh-CN"/>
        </w:rPr>
        <w:t>响应文件</w:t>
      </w:r>
      <w:r>
        <w:rPr>
          <w:rFonts w:hint="eastAsia" w:ascii="宋体" w:hAnsi="宋体" w:eastAsia="宋体" w:cs="宋体"/>
          <w:b/>
          <w:bCs/>
          <w:sz w:val="21"/>
          <w:szCs w:val="21"/>
        </w:rPr>
        <w:t>、包括供应商的澄清、修改等书面资料提供相关货物的，采购方将有权取消其</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资格；造成严重后果的，将有权追究其法律责任。</w:t>
      </w:r>
    </w:p>
    <w:p w14:paraId="1C2F41FB">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1C59829D">
      <w:pPr>
        <w:pStyle w:val="2"/>
        <w:spacing w:after="240"/>
        <w:rPr>
          <w:rFonts w:hint="eastAsia" w:ascii="宋体" w:hAnsi="宋体" w:eastAsia="宋体" w:cs="宋体"/>
          <w:sz w:val="30"/>
          <w:szCs w:val="30"/>
          <w:lang w:eastAsia="zh-CN"/>
        </w:rPr>
      </w:pPr>
      <w:bookmarkStart w:id="25" w:name="_Toc26378"/>
      <w:bookmarkStart w:id="26" w:name="_Toc16691"/>
      <w:r>
        <w:rPr>
          <w:rFonts w:hint="eastAsia" w:ascii="宋体" w:hAnsi="宋体" w:cs="宋体"/>
          <w:sz w:val="30"/>
          <w:szCs w:val="30"/>
        </w:rPr>
        <w:t xml:space="preserve">第五章 </w:t>
      </w:r>
      <w:r>
        <w:rPr>
          <w:rFonts w:hint="eastAsia" w:ascii="宋体" w:hAnsi="宋体" w:cs="宋体"/>
          <w:sz w:val="30"/>
          <w:szCs w:val="30"/>
          <w:lang w:val="en-US" w:eastAsia="zh-CN"/>
        </w:rPr>
        <w:t xml:space="preserve"> </w:t>
      </w:r>
      <w:r>
        <w:rPr>
          <w:rFonts w:hint="eastAsia" w:ascii="宋体" w:hAnsi="宋体" w:cs="宋体"/>
          <w:sz w:val="30"/>
          <w:szCs w:val="30"/>
        </w:rPr>
        <w:t>合同</w:t>
      </w:r>
      <w:bookmarkEnd w:id="25"/>
      <w:r>
        <w:rPr>
          <w:rFonts w:hint="eastAsia" w:ascii="宋体" w:hAnsi="宋体" w:cs="宋体"/>
          <w:sz w:val="30"/>
          <w:szCs w:val="30"/>
        </w:rPr>
        <w:t>格式文本</w:t>
      </w:r>
      <w:bookmarkEnd w:id="26"/>
    </w:p>
    <w:p w14:paraId="163FAED1">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b/>
          <w:bCs/>
          <w:color w:val="000000"/>
          <w:kern w:val="0"/>
          <w:sz w:val="16"/>
          <w:szCs w:val="16"/>
        </w:rPr>
      </w:pPr>
      <w:r>
        <w:rPr>
          <w:rFonts w:hint="eastAsia" w:ascii="宋体" w:hAnsi="宋体" w:cs="宋体"/>
          <w:sz w:val="22"/>
          <w:szCs w:val="22"/>
          <w:lang w:eastAsia="zh-CN"/>
        </w:rPr>
        <w:t>（</w:t>
      </w:r>
      <w:r>
        <w:rPr>
          <w:rFonts w:hint="eastAsia" w:ascii="宋体" w:hAnsi="宋体" w:cs="宋体"/>
          <w:sz w:val="22"/>
          <w:szCs w:val="22"/>
          <w:lang w:val="en-US" w:eastAsia="zh-CN"/>
        </w:rPr>
        <w:t>以采购热值4200大卡燃煤为例，具体以各标段实际签订的合同为准</w:t>
      </w:r>
      <w:r>
        <w:rPr>
          <w:rFonts w:hint="eastAsia" w:ascii="宋体" w:hAnsi="宋体" w:cs="宋体"/>
          <w:sz w:val="22"/>
          <w:szCs w:val="22"/>
          <w:lang w:eastAsia="zh-CN"/>
        </w:rPr>
        <w:t>）</w:t>
      </w:r>
    </w:p>
    <w:p w14:paraId="09C46FFD">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甲方：贵州钟山野马寨热电有限责任公司</w:t>
      </w:r>
    </w:p>
    <w:p w14:paraId="6C8ED51C">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乙方：XX</w:t>
      </w:r>
      <w:r>
        <w:rPr>
          <w:rFonts w:hint="eastAsia" w:ascii="宋体" w:hAnsi="宋体" w:cs="宋体"/>
          <w:b/>
          <w:bCs/>
          <w:color w:val="000000"/>
          <w:kern w:val="0"/>
          <w:sz w:val="21"/>
          <w:szCs w:val="21"/>
          <w:lang w:val="en-US" w:eastAsia="zh-CN"/>
        </w:rPr>
        <w:t>XXXXXX</w:t>
      </w:r>
      <w:r>
        <w:rPr>
          <w:rFonts w:hint="eastAsia" w:ascii="宋体" w:hAnsi="宋体" w:eastAsia="宋体" w:cs="宋体"/>
          <w:b/>
          <w:bCs/>
          <w:color w:val="000000"/>
          <w:kern w:val="0"/>
          <w:sz w:val="21"/>
          <w:szCs w:val="21"/>
        </w:rPr>
        <w:t xml:space="preserve">公司 </w:t>
      </w:r>
    </w:p>
    <w:p w14:paraId="5D94257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p w14:paraId="52170E5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根据《中华人民共和国民法典》等相关法律法规的规定，经甲、乙双方平等协商,就燃煤购销事宜签订本合同，以资共同遵守。</w:t>
      </w:r>
    </w:p>
    <w:p w14:paraId="4FEE701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一、</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收货方名称、供煤矿点、交货地点、品种规格、质量、交货时间及数量 </w:t>
      </w:r>
    </w:p>
    <w:p w14:paraId="279CD73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交货时间：202</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日至</w:t>
      </w:r>
      <w:r>
        <w:rPr>
          <w:rFonts w:hint="eastAsia" w:ascii="宋体" w:hAnsi="宋体" w:eastAsia="宋体" w:cs="宋体"/>
          <w:kern w:val="0"/>
          <w:sz w:val="21"/>
          <w:szCs w:val="21"/>
        </w:rPr>
        <w:t xml:space="preserve"> 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r>
        <w:rPr>
          <w:rFonts w:hint="eastAsia" w:ascii="宋体" w:hAnsi="宋体" w:eastAsia="宋体" w:cs="宋体"/>
          <w:color w:val="000000"/>
          <w:kern w:val="0"/>
          <w:sz w:val="21"/>
          <w:szCs w:val="21"/>
        </w:rPr>
        <w:t xml:space="preserve">（数量验收时间以甲方到厂验收时间为准，不以乙方发运时间）。 </w:t>
      </w:r>
    </w:p>
    <w:p w14:paraId="34AC693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收货方名称、供煤矿点、交货地点、交货时间及数量如下： </w:t>
      </w:r>
    </w:p>
    <w:tbl>
      <w:tblPr>
        <w:tblStyle w:val="35"/>
        <w:tblW w:w="9866" w:type="dxa"/>
        <w:jc w:val="center"/>
        <w:tblLayout w:type="fixed"/>
        <w:tblCellMar>
          <w:top w:w="0" w:type="dxa"/>
          <w:left w:w="108" w:type="dxa"/>
          <w:bottom w:w="0" w:type="dxa"/>
          <w:right w:w="108" w:type="dxa"/>
        </w:tblCellMar>
      </w:tblPr>
      <w:tblGrid>
        <w:gridCol w:w="1732"/>
        <w:gridCol w:w="1574"/>
        <w:gridCol w:w="1446"/>
        <w:gridCol w:w="1739"/>
        <w:gridCol w:w="2012"/>
        <w:gridCol w:w="1363"/>
      </w:tblGrid>
      <w:tr w14:paraId="19A2909C">
        <w:tblPrEx>
          <w:tblCellMar>
            <w:top w:w="0" w:type="dxa"/>
            <w:left w:w="108" w:type="dxa"/>
            <w:bottom w:w="0" w:type="dxa"/>
            <w:right w:w="108" w:type="dxa"/>
          </w:tblCellMar>
        </w:tblPrEx>
        <w:trPr>
          <w:trHeight w:val="629" w:hRule="atLeast"/>
          <w:jc w:val="center"/>
        </w:trPr>
        <w:tc>
          <w:tcPr>
            <w:tcW w:w="1732" w:type="dxa"/>
            <w:tcBorders>
              <w:top w:val="single" w:color="000000" w:sz="4" w:space="0"/>
              <w:left w:val="single" w:color="000000" w:sz="4" w:space="0"/>
              <w:bottom w:val="single" w:color="000000" w:sz="4" w:space="0"/>
              <w:right w:val="single" w:color="000000" w:sz="4" w:space="0"/>
            </w:tcBorders>
            <w:noWrap/>
            <w:vAlign w:val="center"/>
          </w:tcPr>
          <w:p w14:paraId="43FDAED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收货方名称</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825A11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供煤矿点</w:t>
            </w:r>
          </w:p>
          <w:p w14:paraId="03137EC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（户名）</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38DC00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采购区域</w:t>
            </w:r>
          </w:p>
        </w:tc>
        <w:tc>
          <w:tcPr>
            <w:tcW w:w="1739" w:type="dxa"/>
            <w:tcBorders>
              <w:top w:val="single" w:color="000000" w:sz="4" w:space="0"/>
              <w:left w:val="single" w:color="000000" w:sz="4" w:space="0"/>
              <w:bottom w:val="single" w:color="000000" w:sz="4" w:space="0"/>
              <w:right w:val="single" w:color="000000" w:sz="4" w:space="0"/>
            </w:tcBorders>
            <w:noWrap/>
            <w:vAlign w:val="center"/>
          </w:tcPr>
          <w:p w14:paraId="1740346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交货地点</w:t>
            </w:r>
          </w:p>
          <w:p w14:paraId="131A27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（到场）</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3309A2B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交货时间</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21B27B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供煤数量</w:t>
            </w:r>
            <w:r>
              <w:rPr>
                <w:rFonts w:hint="eastAsia" w:ascii="宋体" w:hAnsi="宋体" w:eastAsia="宋体" w:cs="宋体"/>
                <w:b/>
                <w:bCs/>
                <w:color w:val="000000"/>
                <w:kern w:val="0"/>
                <w:sz w:val="21"/>
                <w:szCs w:val="21"/>
                <w:lang w:eastAsia="zh-CN"/>
              </w:rPr>
              <w:t>（</w:t>
            </w:r>
            <w:r>
              <w:rPr>
                <w:rFonts w:hint="eastAsia" w:ascii="宋体" w:hAnsi="宋体" w:eastAsia="宋体" w:cs="宋体"/>
                <w:color w:val="000000"/>
                <w:sz w:val="21"/>
                <w:szCs w:val="21"/>
              </w:rPr>
              <w:t>万吨</w:t>
            </w:r>
            <w:r>
              <w:rPr>
                <w:rFonts w:hint="eastAsia" w:ascii="宋体" w:hAnsi="宋体" w:eastAsia="宋体" w:cs="宋体"/>
                <w:b/>
                <w:bCs/>
                <w:color w:val="000000"/>
                <w:kern w:val="0"/>
                <w:sz w:val="21"/>
                <w:szCs w:val="21"/>
                <w:lang w:eastAsia="zh-CN"/>
              </w:rPr>
              <w:t>）</w:t>
            </w:r>
          </w:p>
        </w:tc>
      </w:tr>
      <w:tr w14:paraId="21091D54">
        <w:tblPrEx>
          <w:tblCellMar>
            <w:top w:w="0" w:type="dxa"/>
            <w:left w:w="108" w:type="dxa"/>
            <w:bottom w:w="0" w:type="dxa"/>
            <w:right w:w="108" w:type="dxa"/>
          </w:tblCellMar>
        </w:tblPrEx>
        <w:trPr>
          <w:trHeight w:val="947" w:hRule="atLeast"/>
          <w:jc w:val="center"/>
        </w:trPr>
        <w:tc>
          <w:tcPr>
            <w:tcW w:w="1732" w:type="dxa"/>
            <w:tcBorders>
              <w:top w:val="single" w:color="000000" w:sz="4" w:space="0"/>
              <w:left w:val="single" w:color="000000" w:sz="4" w:space="0"/>
              <w:bottom w:val="single" w:color="000000" w:sz="4" w:space="0"/>
              <w:right w:val="single" w:color="000000" w:sz="4" w:space="0"/>
            </w:tcBorders>
            <w:vAlign w:val="center"/>
          </w:tcPr>
          <w:p w14:paraId="0A978F9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1574" w:type="dxa"/>
            <w:tcBorders>
              <w:top w:val="single" w:color="000000" w:sz="4" w:space="0"/>
              <w:left w:val="single" w:color="000000" w:sz="4" w:space="0"/>
              <w:bottom w:val="single" w:color="000000" w:sz="4" w:space="0"/>
              <w:right w:val="single" w:color="000000" w:sz="4" w:space="0"/>
            </w:tcBorders>
            <w:vAlign w:val="center"/>
          </w:tcPr>
          <w:p w14:paraId="538CAE56">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482DBE33">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省内</w:t>
            </w:r>
          </w:p>
        </w:tc>
        <w:tc>
          <w:tcPr>
            <w:tcW w:w="1739" w:type="dxa"/>
            <w:tcBorders>
              <w:top w:val="single" w:color="000000" w:sz="4" w:space="0"/>
              <w:left w:val="single" w:color="000000" w:sz="4" w:space="0"/>
              <w:bottom w:val="single" w:color="000000" w:sz="4" w:space="0"/>
              <w:right w:val="single" w:color="000000" w:sz="4" w:space="0"/>
            </w:tcBorders>
            <w:vAlign w:val="center"/>
          </w:tcPr>
          <w:p w14:paraId="090E7E7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05ECC823">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月</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日-</w:t>
            </w:r>
          </w:p>
          <w:p w14:paraId="5A9E8660">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月</w:t>
            </w:r>
            <w:r>
              <w:rPr>
                <w:rFonts w:hint="eastAsia" w:ascii="宋体" w:hAnsi="宋体" w:cs="宋体"/>
                <w:kern w:val="0"/>
                <w:sz w:val="21"/>
                <w:szCs w:val="21"/>
                <w:lang w:val="en-US" w:eastAsia="zh-CN"/>
              </w:rPr>
              <w:t>XX</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E3318C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XX</w:t>
            </w:r>
            <w:r>
              <w:rPr>
                <w:rFonts w:hint="eastAsia" w:ascii="宋体" w:hAnsi="宋体" w:cs="宋体"/>
                <w:color w:val="000000"/>
                <w:sz w:val="21"/>
                <w:szCs w:val="21"/>
                <w:lang w:val="en-US" w:eastAsia="zh-CN"/>
              </w:rPr>
              <w:t>XX</w:t>
            </w:r>
          </w:p>
        </w:tc>
      </w:tr>
    </w:tbl>
    <w:p w14:paraId="209B67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品种规格及质量要求</w:t>
      </w:r>
    </w:p>
    <w:p w14:paraId="2C05FBA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乙方所供燃煤需满足本合同相关条款要求，同时所供燃煤中不得含有任何对卸输煤设施、燃煤制粉系统及燃煤设备造成意外损坏的物质，由此造成的相应损失由乙方承担。</w:t>
      </w:r>
    </w:p>
    <w:tbl>
      <w:tblPr>
        <w:tblStyle w:val="35"/>
        <w:tblW w:w="10016" w:type="dxa"/>
        <w:jc w:val="center"/>
        <w:tblLayout w:type="fixed"/>
        <w:tblCellMar>
          <w:top w:w="0" w:type="dxa"/>
          <w:left w:w="108" w:type="dxa"/>
          <w:bottom w:w="0" w:type="dxa"/>
          <w:right w:w="108" w:type="dxa"/>
        </w:tblCellMar>
      </w:tblPr>
      <w:tblGrid>
        <w:gridCol w:w="1008"/>
        <w:gridCol w:w="2496"/>
        <w:gridCol w:w="1304"/>
        <w:gridCol w:w="3109"/>
        <w:gridCol w:w="1232"/>
        <w:gridCol w:w="867"/>
      </w:tblGrid>
      <w:tr w14:paraId="0621B34A">
        <w:tblPrEx>
          <w:tblCellMar>
            <w:top w:w="0" w:type="dxa"/>
            <w:left w:w="108" w:type="dxa"/>
            <w:bottom w:w="0" w:type="dxa"/>
            <w:right w:w="108" w:type="dxa"/>
          </w:tblCellMar>
        </w:tblPrEx>
        <w:trPr>
          <w:trHeight w:val="8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54E3A29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品种/煤种</w:t>
            </w:r>
          </w:p>
        </w:tc>
        <w:tc>
          <w:tcPr>
            <w:tcW w:w="2496" w:type="dxa"/>
            <w:tcBorders>
              <w:top w:val="single" w:color="000000" w:sz="4" w:space="0"/>
              <w:left w:val="single" w:color="000000" w:sz="4" w:space="0"/>
              <w:bottom w:val="single" w:color="000000" w:sz="4" w:space="0"/>
              <w:right w:val="single" w:color="000000" w:sz="4" w:space="0"/>
            </w:tcBorders>
            <w:vAlign w:val="center"/>
          </w:tcPr>
          <w:p w14:paraId="0F168D7B">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发热量</w:t>
            </w:r>
          </w:p>
          <w:p w14:paraId="3572650F">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Qnet,ar(kcal/kg)</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6D06402">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全水</w:t>
            </w:r>
          </w:p>
          <w:p w14:paraId="3616D835">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Mt(%)</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0FCE16F0">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挥发分</w:t>
            </w:r>
          </w:p>
          <w:p w14:paraId="2C63455A">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Var(%)</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4A1DA44D">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硫分</w:t>
            </w:r>
          </w:p>
          <w:p w14:paraId="3B6DCE64">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St,d(%)</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FB5B3B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粒度（mm）</w:t>
            </w:r>
          </w:p>
        </w:tc>
      </w:tr>
      <w:tr w14:paraId="72AEB4FA">
        <w:tblPrEx>
          <w:tblCellMar>
            <w:top w:w="0" w:type="dxa"/>
            <w:left w:w="108" w:type="dxa"/>
            <w:bottom w:w="0" w:type="dxa"/>
            <w:right w:w="108" w:type="dxa"/>
          </w:tblCellMar>
        </w:tblPrEx>
        <w:trPr>
          <w:trHeight w:val="4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275D49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烟煤</w:t>
            </w:r>
          </w:p>
        </w:tc>
        <w:tc>
          <w:tcPr>
            <w:tcW w:w="2496" w:type="dxa"/>
            <w:tcBorders>
              <w:top w:val="single" w:color="000000" w:sz="4" w:space="0"/>
              <w:left w:val="single" w:color="000000" w:sz="4" w:space="0"/>
              <w:bottom w:val="single" w:color="000000" w:sz="4" w:space="0"/>
              <w:right w:val="single" w:color="000000" w:sz="4" w:space="0"/>
            </w:tcBorders>
            <w:noWrap/>
            <w:vAlign w:val="center"/>
          </w:tcPr>
          <w:p w14:paraId="0A32DE16">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default"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cs="宋体"/>
                <w:sz w:val="21"/>
                <w:szCs w:val="21"/>
                <w:lang w:val="en-US" w:eastAsia="zh-CN"/>
              </w:rPr>
              <w:t>4200</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AF347C0">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≤15.0</w:t>
            </w:r>
            <w:r>
              <w:rPr>
                <w:rFonts w:hint="eastAsia" w:ascii="宋体" w:hAnsi="宋体" w:eastAsia="宋体" w:cs="宋体"/>
                <w:sz w:val="21"/>
                <w:szCs w:val="21"/>
                <w:lang w:val="en-US" w:eastAsia="zh-CN"/>
              </w:rPr>
              <w:t>0</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1E787F5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cs="宋体"/>
                <w:sz w:val="21"/>
                <w:szCs w:val="21"/>
                <w:lang w:eastAsia="zh-CN"/>
              </w:rPr>
              <w:t>13.00≤Var(%)≤25.00</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0AC17783">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sz w:val="21"/>
                <w:szCs w:val="21"/>
              </w:rPr>
              <w:t>≤3.00</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C693C28">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≤50</w:t>
            </w:r>
          </w:p>
        </w:tc>
      </w:tr>
    </w:tbl>
    <w:p w14:paraId="7477A94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 xml:space="preserve">供应燃煤达到下列条件之一,该批次燃煤不进入加权，单批次考核（一天到厂燃煤为一个批次）： </w:t>
      </w:r>
    </w:p>
    <w:p w14:paraId="69AFDAE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（1）乙方Qnet,ar收到基低位发热量＜</w:t>
      </w:r>
      <w:r>
        <w:rPr>
          <w:rFonts w:hint="eastAsia" w:ascii="宋体" w:hAnsi="宋体" w:cs="宋体"/>
          <w:color w:val="000000"/>
          <w:kern w:val="0"/>
          <w:sz w:val="21"/>
          <w:szCs w:val="21"/>
          <w:lang w:val="en-US" w:eastAsia="zh-CN"/>
        </w:rPr>
        <w:t>37</w:t>
      </w:r>
      <w:r>
        <w:rPr>
          <w:rFonts w:hint="eastAsia" w:ascii="宋体" w:hAnsi="宋体" w:eastAsia="宋体" w:cs="宋体"/>
          <w:color w:val="000000"/>
          <w:kern w:val="0"/>
          <w:sz w:val="21"/>
          <w:szCs w:val="21"/>
        </w:rPr>
        <w:t>00(kcal/kg）时；</w:t>
      </w:r>
    </w:p>
    <w:p w14:paraId="45DAA46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（2）乙方来煤St,d＞5.00%时</w:t>
      </w:r>
      <w:r>
        <w:rPr>
          <w:rFonts w:hint="eastAsia" w:ascii="宋体" w:hAnsi="宋体" w:eastAsia="宋体" w:cs="宋体"/>
          <w:color w:val="000000"/>
          <w:kern w:val="0"/>
          <w:sz w:val="21"/>
          <w:szCs w:val="21"/>
          <w:lang w:eastAsia="zh-CN"/>
        </w:rPr>
        <w:t>。</w:t>
      </w:r>
    </w:p>
    <w:p w14:paraId="1B8F389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60BCCBC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257B09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32BF319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泥团、油土、石灰石、碎石、泥土、矿粉、炉渣、石膏、油泥以及其他杂物等。</w:t>
      </w:r>
    </w:p>
    <w:p w14:paraId="43B7BA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 若发现小车装质量好的煤，而大车装质量差的煤),热值超过500kcal/kg 的。</w:t>
      </w:r>
    </w:p>
    <w:p w14:paraId="765351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来煤为无烟煤和来煤中掺配无烟煤的(以公司化验收到基挥发分Var小于1</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.00%为基准)。</w:t>
      </w:r>
    </w:p>
    <w:p w14:paraId="1F581F6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（6）乙方入厂煤如掺配有新疆煤、无烟煤的。</w:t>
      </w:r>
    </w:p>
    <w:p w14:paraId="6E56AD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6AB593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燃料部、</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监察审计部、 供应商三方见证，达成一致意见后，认定为煤质异常。</w:t>
      </w:r>
    </w:p>
    <w:p w14:paraId="62674C3A">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二、</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运输及交货方式 </w:t>
      </w:r>
    </w:p>
    <w:p w14:paraId="2F33CD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本合同项下燃煤的运输由乙方自行组织，合同约定的交货地点为</w:t>
      </w:r>
      <w:r>
        <w:rPr>
          <w:rFonts w:hint="eastAsia" w:ascii="宋体" w:hAnsi="宋体" w:eastAsia="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有限责任公司</w:t>
      </w:r>
      <w:r>
        <w:rPr>
          <w:rFonts w:hint="eastAsia" w:ascii="宋体" w:hAnsi="宋体" w:eastAsia="宋体" w:cs="宋体"/>
          <w:kern w:val="0"/>
          <w:sz w:val="21"/>
          <w:szCs w:val="21"/>
          <w:u w:val="single"/>
        </w:rPr>
        <w:t>煤场</w:t>
      </w:r>
      <w:r>
        <w:rPr>
          <w:rFonts w:hint="eastAsia" w:ascii="宋体" w:hAnsi="宋体" w:eastAsia="宋体" w:cs="宋体"/>
          <w:color w:val="000000"/>
          <w:kern w:val="0"/>
          <w:sz w:val="21"/>
          <w:szCs w:val="21"/>
        </w:rPr>
        <w:t xml:space="preserve">。在交货前的一切风险及费用由乙方自行承担。 </w:t>
      </w:r>
    </w:p>
    <w:p w14:paraId="34956D2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三、</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燃煤价格及执行期 </w:t>
      </w:r>
    </w:p>
    <w:p w14:paraId="4528F2C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（一）</w:t>
      </w:r>
      <w:r>
        <w:rPr>
          <w:rFonts w:hint="eastAsia" w:ascii="宋体" w:hAnsi="宋体" w:eastAsia="宋体" w:cs="宋体"/>
          <w:b/>
          <w:bCs/>
          <w:color w:val="000000"/>
          <w:kern w:val="0"/>
          <w:sz w:val="21"/>
          <w:szCs w:val="21"/>
        </w:rPr>
        <w:t>燃煤合同基价</w:t>
      </w:r>
    </w:p>
    <w:p w14:paraId="3F9524C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基准指标</w:t>
      </w:r>
      <w:r>
        <w:rPr>
          <w:rFonts w:hint="eastAsia" w:ascii="宋体" w:hAnsi="宋体" w:eastAsia="宋体" w:cs="宋体"/>
          <w:kern w:val="0"/>
          <w:sz w:val="21"/>
          <w:szCs w:val="21"/>
        </w:rPr>
        <w:t>：基准热值 Qnet,ar≥</w:t>
      </w:r>
      <w:r>
        <w:rPr>
          <w:rFonts w:hint="eastAsia" w:ascii="宋体" w:hAnsi="宋体" w:cs="宋体"/>
          <w:kern w:val="0"/>
          <w:sz w:val="21"/>
          <w:szCs w:val="21"/>
          <w:lang w:val="en-US" w:eastAsia="zh-CN"/>
        </w:rPr>
        <w:t>42</w:t>
      </w:r>
      <w:r>
        <w:rPr>
          <w:rFonts w:hint="eastAsia" w:ascii="宋体" w:hAnsi="宋体" w:eastAsia="宋体" w:cs="宋体"/>
          <w:kern w:val="0"/>
          <w:sz w:val="21"/>
          <w:szCs w:val="21"/>
        </w:rPr>
        <w:t>00kcal/kg</w:t>
      </w:r>
      <w:r>
        <w:rPr>
          <w:rFonts w:hint="eastAsia" w:ascii="宋体" w:hAnsi="宋体" w:cs="宋体"/>
          <w:kern w:val="0"/>
          <w:sz w:val="21"/>
          <w:szCs w:val="21"/>
          <w:lang w:eastAsia="zh-CN"/>
        </w:rPr>
        <w:t>，</w:t>
      </w:r>
      <w:r>
        <w:rPr>
          <w:rFonts w:hint="eastAsia" w:ascii="宋体" w:hAnsi="宋体" w:eastAsia="宋体" w:cs="宋体"/>
          <w:kern w:val="0"/>
          <w:sz w:val="21"/>
          <w:szCs w:val="21"/>
        </w:rPr>
        <w:t>热值基准单价为</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元/[(kcal/kg)×吨]（含全额增值税专用发票,税率13%,下同)。</w:t>
      </w:r>
    </w:p>
    <w:p w14:paraId="1F5C374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rPr>
        <w:t xml:space="preserve">燃煤结算价格采用以下方式确定 </w:t>
      </w:r>
    </w:p>
    <w:p w14:paraId="1110CF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燃煤结算单价=发热量计价+质量调整价+数量调整价+ 其他因素调整价(备注：以下各项计价计算结果按四舍五入保留2位小数）。</w:t>
      </w:r>
    </w:p>
    <w:p w14:paraId="52037C4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lang w:eastAsia="zh-CN"/>
        </w:rPr>
        <w:t>（</w:t>
      </w:r>
      <w:r>
        <w:rPr>
          <w:rFonts w:hint="eastAsia" w:ascii="宋体" w:hAnsi="宋体" w:cs="宋体"/>
          <w:b/>
          <w:bCs/>
          <w:color w:val="000000"/>
          <w:kern w:val="0"/>
          <w:sz w:val="21"/>
          <w:szCs w:val="21"/>
          <w:lang w:val="en-US" w:eastAsia="zh-CN"/>
        </w:rPr>
        <w:t>1</w:t>
      </w:r>
      <w:r>
        <w:rPr>
          <w:rFonts w:hint="eastAsia" w:ascii="宋体" w:hAnsi="宋体" w:eastAsia="宋体" w:cs="宋体"/>
          <w:b/>
          <w:bCs/>
          <w:color w:val="000000"/>
          <w:kern w:val="0"/>
          <w:sz w:val="21"/>
          <w:szCs w:val="21"/>
          <w:lang w:val="en-US" w:eastAsia="zh-CN"/>
        </w:rPr>
        <w:t>）</w:t>
      </w:r>
      <w:r>
        <w:rPr>
          <w:rFonts w:hint="eastAsia" w:ascii="宋体" w:hAnsi="宋体" w:eastAsia="宋体" w:cs="宋体"/>
          <w:b/>
          <w:bCs/>
          <w:color w:val="000000"/>
          <w:kern w:val="0"/>
          <w:sz w:val="21"/>
          <w:szCs w:val="21"/>
        </w:rPr>
        <w:t>发热量计价（通过热值计价方式进行确定）</w:t>
      </w:r>
    </w:p>
    <w:tbl>
      <w:tblPr>
        <w:tblStyle w:val="35"/>
        <w:tblW w:w="9623" w:type="dxa"/>
        <w:jc w:val="center"/>
        <w:tblLayout w:type="fixed"/>
        <w:tblCellMar>
          <w:top w:w="0" w:type="dxa"/>
          <w:left w:w="108" w:type="dxa"/>
          <w:bottom w:w="0" w:type="dxa"/>
          <w:right w:w="108" w:type="dxa"/>
        </w:tblCellMar>
      </w:tblPr>
      <w:tblGrid>
        <w:gridCol w:w="3108"/>
        <w:gridCol w:w="2425"/>
        <w:gridCol w:w="1465"/>
        <w:gridCol w:w="2625"/>
      </w:tblGrid>
      <w:tr w14:paraId="42116AB3">
        <w:tblPrEx>
          <w:tblCellMar>
            <w:top w:w="0" w:type="dxa"/>
            <w:left w:w="108" w:type="dxa"/>
            <w:bottom w:w="0" w:type="dxa"/>
            <w:right w:w="108" w:type="dxa"/>
          </w:tblCellMar>
        </w:tblPrEx>
        <w:trPr>
          <w:trHeight w:val="984"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7D38B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热值范围（kcal/kg）</w:t>
            </w:r>
          </w:p>
        </w:tc>
        <w:tc>
          <w:tcPr>
            <w:tcW w:w="2425" w:type="dxa"/>
            <w:tcBorders>
              <w:top w:val="single" w:color="000000" w:sz="4" w:space="0"/>
              <w:left w:val="single" w:color="000000" w:sz="4" w:space="0"/>
              <w:bottom w:val="single" w:color="000000" w:sz="4" w:space="0"/>
              <w:right w:val="single" w:color="000000" w:sz="4" w:space="0"/>
            </w:tcBorders>
            <w:vAlign w:val="center"/>
          </w:tcPr>
          <w:p w14:paraId="3D9FAEA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热值基准价格（元 /[(kcal/kg)×吨]）</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94049E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加权方式</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20E28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热值计价公式</w:t>
            </w:r>
          </w:p>
        </w:tc>
      </w:tr>
      <w:tr w14:paraId="18B404D4">
        <w:tblPrEx>
          <w:tblCellMar>
            <w:top w:w="0" w:type="dxa"/>
            <w:left w:w="108" w:type="dxa"/>
            <w:bottom w:w="0" w:type="dxa"/>
            <w:right w:w="108" w:type="dxa"/>
          </w:tblCellMar>
        </w:tblPrEx>
        <w:trPr>
          <w:trHeight w:val="9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931D1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4200</w:t>
            </w:r>
            <w:r>
              <w:rPr>
                <w:rFonts w:hint="eastAsia" w:ascii="宋体" w:hAnsi="宋体" w:eastAsia="宋体" w:cs="宋体"/>
                <w:kern w:val="0"/>
                <w:sz w:val="21"/>
                <w:szCs w:val="21"/>
              </w:rPr>
              <w:t>≤加权 Qnet,ar</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694A40F9">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w:t>
            </w:r>
          </w:p>
        </w:tc>
        <w:tc>
          <w:tcPr>
            <w:tcW w:w="1465" w:type="dxa"/>
            <w:vMerge w:val="restart"/>
            <w:tcBorders>
              <w:left w:val="single" w:color="000000" w:sz="4" w:space="0"/>
              <w:right w:val="single" w:color="000000" w:sz="4" w:space="0"/>
            </w:tcBorders>
            <w:vAlign w:val="center"/>
          </w:tcPr>
          <w:p w14:paraId="3E14737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单批次来煤Qnet,ar≥ </w:t>
            </w:r>
            <w:r>
              <w:rPr>
                <w:rFonts w:hint="eastAsia" w:ascii="宋体" w:hAnsi="宋体" w:cs="宋体"/>
                <w:kern w:val="0"/>
                <w:sz w:val="21"/>
                <w:szCs w:val="21"/>
                <w:lang w:val="en-US" w:eastAsia="zh-CN"/>
              </w:rPr>
              <w:t>37</w:t>
            </w:r>
            <w:r>
              <w:rPr>
                <w:rFonts w:hint="eastAsia" w:ascii="宋体" w:hAnsi="宋体" w:eastAsia="宋体" w:cs="宋体"/>
                <w:kern w:val="0"/>
                <w:sz w:val="21"/>
                <w:szCs w:val="21"/>
              </w:rPr>
              <w:t>00kcal/ kg 参与加权</w:t>
            </w:r>
          </w:p>
        </w:tc>
        <w:tc>
          <w:tcPr>
            <w:tcW w:w="2625" w:type="dxa"/>
            <w:tcBorders>
              <w:top w:val="single" w:color="000000" w:sz="4" w:space="0"/>
              <w:left w:val="single" w:color="000000" w:sz="4" w:space="0"/>
              <w:bottom w:val="single" w:color="000000" w:sz="4" w:space="0"/>
              <w:right w:val="single" w:color="000000" w:sz="4" w:space="0"/>
            </w:tcBorders>
            <w:vAlign w:val="center"/>
          </w:tcPr>
          <w:p w14:paraId="7BA6F30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w:t>
            </w:r>
          </w:p>
        </w:tc>
      </w:tr>
      <w:tr w14:paraId="671D5D79">
        <w:tblPrEx>
          <w:tblCellMar>
            <w:top w:w="0" w:type="dxa"/>
            <w:left w:w="108" w:type="dxa"/>
            <w:bottom w:w="0" w:type="dxa"/>
            <w:right w:w="108" w:type="dxa"/>
          </w:tblCellMar>
        </w:tblPrEx>
        <w:trPr>
          <w:trHeight w:val="59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FC5B46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rPr>
            </w:pPr>
            <w:r>
              <w:rPr>
                <w:rFonts w:hint="eastAsia" w:ascii="宋体" w:hAnsi="宋体" w:cs="宋体"/>
                <w:kern w:val="0"/>
                <w:sz w:val="21"/>
                <w:szCs w:val="21"/>
                <w:lang w:val="en-US" w:eastAsia="zh-CN"/>
              </w:rPr>
              <w:t>4100</w:t>
            </w:r>
            <w:r>
              <w:rPr>
                <w:rFonts w:hint="eastAsia" w:ascii="宋体" w:hAnsi="宋体" w:eastAsia="宋体" w:cs="宋体"/>
                <w:kern w:val="0"/>
                <w:sz w:val="21"/>
                <w:szCs w:val="21"/>
              </w:rPr>
              <w:t>≤加权 Qnet,ar＜</w:t>
            </w:r>
            <w:r>
              <w:rPr>
                <w:rFonts w:hint="eastAsia" w:ascii="宋体" w:hAnsi="宋体" w:cs="宋体"/>
                <w:kern w:val="0"/>
                <w:sz w:val="21"/>
                <w:szCs w:val="21"/>
                <w:lang w:val="en-US" w:eastAsia="zh-CN"/>
              </w:rPr>
              <w:t>4200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55154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基准单价-0.005</w:t>
            </w:r>
          </w:p>
        </w:tc>
        <w:tc>
          <w:tcPr>
            <w:tcW w:w="1465" w:type="dxa"/>
            <w:vMerge w:val="continue"/>
            <w:tcBorders>
              <w:left w:val="single" w:color="000000" w:sz="4" w:space="0"/>
              <w:right w:val="single" w:color="000000" w:sz="4" w:space="0"/>
            </w:tcBorders>
            <w:vAlign w:val="center"/>
          </w:tcPr>
          <w:p w14:paraId="2A09649E">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E31282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收到基低位发热量×（基准单价-0.005）</w:t>
            </w:r>
          </w:p>
        </w:tc>
      </w:tr>
      <w:tr w14:paraId="1D18D566">
        <w:tblPrEx>
          <w:tblCellMar>
            <w:top w:w="0" w:type="dxa"/>
            <w:left w:w="108" w:type="dxa"/>
            <w:bottom w:w="0" w:type="dxa"/>
            <w:right w:w="108" w:type="dxa"/>
          </w:tblCellMar>
        </w:tblPrEx>
        <w:trPr>
          <w:trHeight w:val="54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02EAE3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40</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41</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2EF834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w:t>
            </w:r>
          </w:p>
        </w:tc>
        <w:tc>
          <w:tcPr>
            <w:tcW w:w="1465" w:type="dxa"/>
            <w:vMerge w:val="continue"/>
            <w:tcBorders>
              <w:left w:val="single" w:color="000000" w:sz="4" w:space="0"/>
              <w:right w:val="single" w:color="000000" w:sz="4" w:space="0"/>
            </w:tcBorders>
            <w:vAlign w:val="center"/>
          </w:tcPr>
          <w:p w14:paraId="5101A811">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4525E4B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w:t>
            </w:r>
          </w:p>
        </w:tc>
      </w:tr>
      <w:tr w14:paraId="583EF163">
        <w:tblPrEx>
          <w:tblCellMar>
            <w:top w:w="0" w:type="dxa"/>
            <w:left w:w="108" w:type="dxa"/>
            <w:bottom w:w="0" w:type="dxa"/>
            <w:right w:w="108" w:type="dxa"/>
          </w:tblCellMar>
        </w:tblPrEx>
        <w:trPr>
          <w:trHeight w:val="459"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17726C1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39</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40</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255A59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基准单价-0.015</w:t>
            </w:r>
          </w:p>
        </w:tc>
        <w:tc>
          <w:tcPr>
            <w:tcW w:w="1465" w:type="dxa"/>
            <w:vMerge w:val="continue"/>
            <w:tcBorders>
              <w:left w:val="single" w:color="000000" w:sz="4" w:space="0"/>
              <w:right w:val="single" w:color="000000" w:sz="4" w:space="0"/>
            </w:tcBorders>
            <w:vAlign w:val="center"/>
          </w:tcPr>
          <w:p w14:paraId="26EFCE7A">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2DE722B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收到基低位发热量×（基准单价-0.015）</w:t>
            </w:r>
          </w:p>
        </w:tc>
      </w:tr>
      <w:tr w14:paraId="72D422B9">
        <w:tblPrEx>
          <w:tblCellMar>
            <w:top w:w="0" w:type="dxa"/>
            <w:left w:w="108" w:type="dxa"/>
            <w:bottom w:w="0" w:type="dxa"/>
            <w:right w:w="108" w:type="dxa"/>
          </w:tblCellMar>
        </w:tblPrEx>
        <w:trPr>
          <w:trHeight w:val="66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E0825C0">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38</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39</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779D4E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基准单价-0.02</w:t>
            </w:r>
          </w:p>
        </w:tc>
        <w:tc>
          <w:tcPr>
            <w:tcW w:w="1465" w:type="dxa"/>
            <w:vMerge w:val="continue"/>
            <w:tcBorders>
              <w:left w:val="single" w:color="000000" w:sz="4" w:space="0"/>
              <w:right w:val="single" w:color="000000" w:sz="4" w:space="0"/>
            </w:tcBorders>
            <w:vAlign w:val="center"/>
          </w:tcPr>
          <w:p w14:paraId="4674E85B">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5A913F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收到基低位发热量×（基准单价-0.02）</w:t>
            </w:r>
          </w:p>
        </w:tc>
      </w:tr>
      <w:tr w14:paraId="50EB5CA6">
        <w:tblPrEx>
          <w:tblCellMar>
            <w:top w:w="0" w:type="dxa"/>
            <w:left w:w="108" w:type="dxa"/>
            <w:bottom w:w="0" w:type="dxa"/>
            <w:right w:w="108" w:type="dxa"/>
          </w:tblCellMar>
        </w:tblPrEx>
        <w:trPr>
          <w:trHeight w:val="573" w:hRule="atLeast"/>
          <w:jc w:val="center"/>
        </w:trPr>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00E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 w:val="21"/>
                <w:szCs w:val="21"/>
                <w:lang w:val="en-US" w:eastAsia="zh-CN"/>
              </w:rPr>
              <w:t>370</w:t>
            </w:r>
            <w:r>
              <w:rPr>
                <w:rFonts w:hint="eastAsia" w:ascii="宋体" w:hAnsi="宋体" w:eastAsia="宋体" w:cs="宋体"/>
                <w:kern w:val="0"/>
                <w:sz w:val="21"/>
                <w:szCs w:val="21"/>
              </w:rPr>
              <w:t>0≤加权 Qnet,ar＜</w:t>
            </w:r>
            <w:r>
              <w:rPr>
                <w:rFonts w:hint="eastAsia" w:ascii="宋体" w:hAnsi="宋体" w:cs="宋体"/>
                <w:kern w:val="0"/>
                <w:sz w:val="21"/>
                <w:szCs w:val="21"/>
                <w:lang w:val="en-US" w:eastAsia="zh-CN"/>
              </w:rPr>
              <w:t>38</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A97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基准单价-0.025</w:t>
            </w:r>
          </w:p>
        </w:tc>
        <w:tc>
          <w:tcPr>
            <w:tcW w:w="1465" w:type="dxa"/>
            <w:vMerge w:val="continue"/>
            <w:tcBorders>
              <w:left w:val="single" w:color="000000" w:sz="4" w:space="0"/>
              <w:bottom w:val="single" w:color="000000" w:sz="4" w:space="0"/>
              <w:right w:val="single" w:color="000000" w:sz="4" w:space="0"/>
            </w:tcBorders>
            <w:shd w:val="clear" w:color="auto" w:fill="auto"/>
            <w:vAlign w:val="center"/>
          </w:tcPr>
          <w:p w14:paraId="1AA8334B">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2"/>
                <w:sz w:val="21"/>
                <w:szCs w:val="21"/>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484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收到基低位发热量×（基准单价-0.025）</w:t>
            </w:r>
          </w:p>
        </w:tc>
      </w:tr>
      <w:tr w14:paraId="122A4BDD">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426BD84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rPr>
              <w:t>3200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3700</w:t>
            </w:r>
          </w:p>
        </w:tc>
        <w:tc>
          <w:tcPr>
            <w:tcW w:w="2425" w:type="dxa"/>
            <w:tcBorders>
              <w:top w:val="single" w:color="000000" w:sz="4" w:space="0"/>
              <w:left w:val="single" w:color="000000" w:sz="4" w:space="0"/>
              <w:bottom w:val="single" w:color="000000" w:sz="4" w:space="0"/>
              <w:right w:val="single" w:color="auto" w:sz="4" w:space="0"/>
            </w:tcBorders>
            <w:noWrap/>
            <w:vAlign w:val="center"/>
          </w:tcPr>
          <w:p w14:paraId="31C1524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基准单价×0.5</w:t>
            </w:r>
          </w:p>
        </w:tc>
        <w:tc>
          <w:tcPr>
            <w:tcW w:w="1465" w:type="dxa"/>
            <w:vMerge w:val="restart"/>
            <w:tcBorders>
              <w:top w:val="single" w:color="000000" w:sz="4" w:space="0"/>
              <w:left w:val="single" w:color="auto" w:sz="4" w:space="0"/>
              <w:right w:val="single" w:color="000000" w:sz="4" w:space="0"/>
            </w:tcBorders>
            <w:noWrap/>
            <w:vAlign w:val="center"/>
          </w:tcPr>
          <w:p w14:paraId="0B5F27C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单批次考核</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FB9FCB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收到基低位发热量×基准单价×0.5</w:t>
            </w:r>
          </w:p>
        </w:tc>
      </w:tr>
      <w:tr w14:paraId="7938828C">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C6F582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2700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32</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B42131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基准单价×0.2</w:t>
            </w:r>
          </w:p>
        </w:tc>
        <w:tc>
          <w:tcPr>
            <w:tcW w:w="1465" w:type="dxa"/>
            <w:vMerge w:val="continue"/>
            <w:tcBorders>
              <w:left w:val="single" w:color="auto" w:sz="4" w:space="0"/>
              <w:right w:val="single" w:color="000000" w:sz="4" w:space="0"/>
            </w:tcBorders>
            <w:noWrap/>
            <w:vAlign w:val="center"/>
          </w:tcPr>
          <w:p w14:paraId="1B61526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53E69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收到基低位发热量×基准单价×0.2</w:t>
            </w:r>
          </w:p>
        </w:tc>
      </w:tr>
      <w:tr w14:paraId="17079848">
        <w:tblPrEx>
          <w:tblCellMar>
            <w:top w:w="0" w:type="dxa"/>
            <w:left w:w="108" w:type="dxa"/>
            <w:bottom w:w="0" w:type="dxa"/>
            <w:right w:w="108" w:type="dxa"/>
          </w:tblCellMar>
        </w:tblPrEx>
        <w:trPr>
          <w:trHeight w:val="353"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39ADD8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2700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5991C1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090" w:type="dxa"/>
            <w:gridSpan w:val="2"/>
            <w:tcBorders>
              <w:top w:val="single" w:color="auto" w:sz="4" w:space="0"/>
              <w:left w:val="single" w:color="000000" w:sz="4" w:space="0"/>
              <w:bottom w:val="single" w:color="auto" w:sz="4" w:space="0"/>
              <w:right w:val="single" w:color="000000" w:sz="4" w:space="0"/>
            </w:tcBorders>
            <w:noWrap/>
            <w:vAlign w:val="center"/>
          </w:tcPr>
          <w:p w14:paraId="033A5AE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通知乙方停发；若已收则按</w:t>
            </w:r>
            <w:r>
              <w:rPr>
                <w:rFonts w:hint="eastAsia" w:ascii="宋体" w:hAnsi="宋体" w:cs="宋体"/>
                <w:kern w:val="0"/>
                <w:sz w:val="21"/>
                <w:szCs w:val="21"/>
                <w:lang w:val="en-US" w:eastAsia="zh-CN"/>
              </w:rPr>
              <w:t>25</w:t>
            </w:r>
            <w:r>
              <w:rPr>
                <w:rFonts w:hint="eastAsia" w:ascii="宋体" w:hAnsi="宋体" w:eastAsia="宋体" w:cs="宋体"/>
                <w:kern w:val="0"/>
                <w:sz w:val="21"/>
                <w:szCs w:val="21"/>
              </w:rPr>
              <w:t>元/吨结算，不计质量调整价</w:t>
            </w:r>
          </w:p>
        </w:tc>
      </w:tr>
    </w:tbl>
    <w:p w14:paraId="6EA11CAD">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发热量计价</w:t>
      </w:r>
      <w:r>
        <w:rPr>
          <w:rFonts w:hint="eastAsia" w:ascii="宋体" w:hAnsi="宋体" w:eastAsia="宋体" w:cs="宋体"/>
          <w:b/>
          <w:bCs/>
          <w:color w:val="000000"/>
          <w:kern w:val="0"/>
          <w:sz w:val="21"/>
          <w:szCs w:val="21"/>
          <w:lang w:val="en-US" w:eastAsia="zh-CN"/>
        </w:rPr>
        <w:t>计算</w:t>
      </w:r>
      <w:r>
        <w:rPr>
          <w:rFonts w:hint="eastAsia" w:ascii="宋体" w:hAnsi="宋体" w:eastAsia="宋体" w:cs="宋体"/>
          <w:b/>
          <w:bCs/>
          <w:color w:val="000000"/>
          <w:kern w:val="0"/>
          <w:sz w:val="21"/>
          <w:szCs w:val="21"/>
        </w:rPr>
        <w:t>说明</w:t>
      </w:r>
      <w:r>
        <w:rPr>
          <w:rFonts w:hint="eastAsia" w:ascii="宋体" w:hAnsi="宋体" w:cs="宋体"/>
          <w:b/>
          <w:bCs/>
          <w:color w:val="000000"/>
          <w:kern w:val="0"/>
          <w:sz w:val="21"/>
          <w:szCs w:val="21"/>
          <w:lang w:eastAsia="zh-CN"/>
        </w:rPr>
        <w:t>：</w:t>
      </w:r>
    </w:p>
    <w:p w14:paraId="1B85491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各批次发热量Qnet,ar≥</w:t>
      </w:r>
      <w:r>
        <w:rPr>
          <w:rFonts w:hint="eastAsia" w:ascii="宋体" w:hAnsi="宋体" w:cs="宋体"/>
          <w:color w:val="000000"/>
          <w:kern w:val="0"/>
          <w:sz w:val="21"/>
          <w:szCs w:val="21"/>
          <w:lang w:val="en-US" w:eastAsia="zh-CN"/>
        </w:rPr>
        <w:t>37</w:t>
      </w:r>
      <w:r>
        <w:rPr>
          <w:rFonts w:hint="eastAsia" w:ascii="宋体" w:hAnsi="宋体" w:eastAsia="宋体" w:cs="宋体"/>
          <w:color w:val="000000"/>
          <w:kern w:val="0"/>
          <w:sz w:val="21"/>
          <w:szCs w:val="21"/>
        </w:rPr>
        <w:t>00kcal/kg的来煤进入加权，加权后的热值按对应热值范围结算；</w:t>
      </w:r>
    </w:p>
    <w:p w14:paraId="3F3DAAB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3200</w:t>
      </w:r>
      <w:r>
        <w:rPr>
          <w:rFonts w:hint="eastAsia" w:ascii="宋体" w:hAnsi="宋体" w:eastAsia="宋体" w:cs="宋体"/>
          <w:kern w:val="0"/>
          <w:sz w:val="21"/>
          <w:szCs w:val="21"/>
        </w:rPr>
        <w:t>≤Qnet,ar＜</w:t>
      </w:r>
      <w:r>
        <w:rPr>
          <w:rFonts w:hint="eastAsia" w:ascii="宋体" w:hAnsi="宋体" w:cs="宋体"/>
          <w:kern w:val="0"/>
          <w:sz w:val="21"/>
          <w:szCs w:val="21"/>
          <w:lang w:val="en-US" w:eastAsia="zh-CN"/>
        </w:rPr>
        <w:t>370</w:t>
      </w:r>
      <w:r>
        <w:rPr>
          <w:rFonts w:hint="eastAsia" w:ascii="宋体" w:hAnsi="宋体" w:eastAsia="宋体" w:cs="宋体"/>
          <w:kern w:val="0"/>
          <w:sz w:val="21"/>
          <w:szCs w:val="21"/>
        </w:rPr>
        <w:t>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收到基低位发热量×基准单价×0.5；</w:t>
      </w:r>
    </w:p>
    <w:p w14:paraId="7EF509F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27</w:t>
      </w:r>
      <w:r>
        <w:rPr>
          <w:rFonts w:hint="eastAsia" w:ascii="宋体" w:hAnsi="宋体" w:eastAsia="宋体" w:cs="宋体"/>
          <w:kern w:val="0"/>
          <w:sz w:val="21"/>
          <w:szCs w:val="21"/>
        </w:rPr>
        <w:t>00≤Qnet,ar＜</w:t>
      </w:r>
      <w:r>
        <w:rPr>
          <w:rFonts w:hint="eastAsia" w:ascii="宋体" w:hAnsi="宋体" w:cs="宋体"/>
          <w:kern w:val="0"/>
          <w:sz w:val="21"/>
          <w:szCs w:val="21"/>
          <w:lang w:val="en-US" w:eastAsia="zh-CN"/>
        </w:rPr>
        <w:t>32</w:t>
      </w:r>
      <w:r>
        <w:rPr>
          <w:rFonts w:hint="eastAsia" w:ascii="宋体" w:hAnsi="宋体" w:eastAsia="宋体" w:cs="宋体"/>
          <w:kern w:val="0"/>
          <w:sz w:val="21"/>
          <w:szCs w:val="21"/>
        </w:rPr>
        <w:t>00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收到基低位发热量×基准单价×0.2；</w:t>
      </w:r>
    </w:p>
    <w:p w14:paraId="2842E71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000000"/>
          <w:kern w:val="0"/>
          <w:sz w:val="21"/>
          <w:szCs w:val="21"/>
          <w:lang w:val="en-US" w:eastAsia="zh-CN"/>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27</w:t>
      </w:r>
      <w:r>
        <w:rPr>
          <w:rFonts w:hint="eastAsia" w:ascii="宋体" w:hAnsi="宋体" w:eastAsia="宋体" w:cs="宋体"/>
          <w:kern w:val="0"/>
          <w:sz w:val="21"/>
          <w:szCs w:val="21"/>
        </w:rPr>
        <w:t>00</w:t>
      </w:r>
      <w:r>
        <w:rPr>
          <w:rFonts w:hint="eastAsia" w:ascii="宋体" w:hAnsi="宋体" w:eastAsia="宋体" w:cs="宋体"/>
          <w:color w:val="000000"/>
          <w:kern w:val="0"/>
          <w:sz w:val="21"/>
          <w:szCs w:val="21"/>
        </w:rPr>
        <w:t>kcal/kg的来煤</w:t>
      </w:r>
      <w:r>
        <w:rPr>
          <w:rFonts w:hint="eastAsia" w:ascii="宋体" w:hAnsi="宋体" w:eastAsia="宋体" w:cs="宋体"/>
          <w:kern w:val="0"/>
          <w:sz w:val="21"/>
          <w:szCs w:val="21"/>
        </w:rPr>
        <w:t>通知乙方停发；若已收则按</w:t>
      </w:r>
      <w:r>
        <w:rPr>
          <w:rFonts w:hint="eastAsia" w:ascii="宋体" w:hAnsi="宋体" w:cs="宋体"/>
          <w:kern w:val="0"/>
          <w:sz w:val="21"/>
          <w:szCs w:val="21"/>
          <w:lang w:val="en-US" w:eastAsia="zh-CN"/>
        </w:rPr>
        <w:t>25</w:t>
      </w:r>
      <w:r>
        <w:rPr>
          <w:rFonts w:hint="eastAsia" w:ascii="宋体" w:hAnsi="宋体" w:eastAsia="宋体" w:cs="宋体"/>
          <w:kern w:val="0"/>
          <w:sz w:val="21"/>
          <w:szCs w:val="21"/>
        </w:rPr>
        <w:t>元/吨结算，不计质量调整价</w:t>
      </w:r>
      <w:r>
        <w:rPr>
          <w:rFonts w:hint="eastAsia" w:ascii="宋体" w:hAnsi="宋体" w:eastAsia="宋体" w:cs="宋体"/>
          <w:kern w:val="0"/>
          <w:sz w:val="21"/>
          <w:szCs w:val="21"/>
          <w:lang w:eastAsia="zh-CN"/>
        </w:rPr>
        <w:t>。</w:t>
      </w:r>
    </w:p>
    <w:p w14:paraId="5CC689AB">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（2）</w:t>
      </w:r>
      <w:r>
        <w:rPr>
          <w:rFonts w:hint="eastAsia" w:ascii="宋体" w:hAnsi="宋体" w:eastAsia="宋体" w:cs="宋体"/>
          <w:b/>
          <w:bCs/>
          <w:color w:val="000000"/>
          <w:kern w:val="0"/>
          <w:sz w:val="21"/>
          <w:szCs w:val="21"/>
        </w:rPr>
        <w:t>质量调整价</w:t>
      </w:r>
    </w:p>
    <w:tbl>
      <w:tblPr>
        <w:tblStyle w:val="3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305"/>
        <w:gridCol w:w="1350"/>
        <w:gridCol w:w="1155"/>
        <w:gridCol w:w="1387"/>
        <w:gridCol w:w="2753"/>
      </w:tblGrid>
      <w:tr w14:paraId="39C3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D851E1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指标范围（％）</w:t>
            </w:r>
          </w:p>
        </w:tc>
        <w:tc>
          <w:tcPr>
            <w:tcW w:w="1305" w:type="dxa"/>
            <w:tcBorders>
              <w:top w:val="single" w:color="auto" w:sz="4" w:space="0"/>
              <w:left w:val="single" w:color="auto" w:sz="4" w:space="0"/>
              <w:bottom w:val="single" w:color="auto" w:sz="4" w:space="0"/>
              <w:right w:val="single" w:color="auto" w:sz="4" w:space="0"/>
            </w:tcBorders>
            <w:vAlign w:val="center"/>
          </w:tcPr>
          <w:p w14:paraId="0C37677C">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变化幅度（％）</w:t>
            </w:r>
          </w:p>
        </w:tc>
        <w:tc>
          <w:tcPr>
            <w:tcW w:w="1350" w:type="dxa"/>
            <w:tcBorders>
              <w:top w:val="single" w:color="auto" w:sz="4" w:space="0"/>
              <w:left w:val="single" w:color="auto" w:sz="4" w:space="0"/>
              <w:bottom w:val="single" w:color="auto" w:sz="4" w:space="0"/>
              <w:right w:val="single" w:color="auto" w:sz="4" w:space="0"/>
            </w:tcBorders>
            <w:vAlign w:val="center"/>
          </w:tcPr>
          <w:p w14:paraId="385A5FDB">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奖罚额　（元/吨）</w:t>
            </w:r>
          </w:p>
        </w:tc>
        <w:tc>
          <w:tcPr>
            <w:tcW w:w="1155" w:type="dxa"/>
            <w:tcBorders>
              <w:top w:val="single" w:color="auto" w:sz="4" w:space="0"/>
              <w:left w:val="single" w:color="auto" w:sz="4" w:space="0"/>
              <w:bottom w:val="single" w:color="auto" w:sz="4" w:space="0"/>
              <w:right w:val="single" w:color="auto" w:sz="4" w:space="0"/>
            </w:tcBorders>
            <w:vAlign w:val="center"/>
          </w:tcPr>
          <w:p w14:paraId="63E15B73">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奖罚基准（％）</w:t>
            </w:r>
          </w:p>
        </w:tc>
        <w:tc>
          <w:tcPr>
            <w:tcW w:w="1387" w:type="dxa"/>
            <w:tcBorders>
              <w:top w:val="single" w:color="auto" w:sz="4" w:space="0"/>
              <w:left w:val="single" w:color="auto" w:sz="4" w:space="0"/>
              <w:bottom w:val="single" w:color="auto" w:sz="4" w:space="0"/>
              <w:right w:val="single" w:color="auto" w:sz="4" w:space="0"/>
            </w:tcBorders>
            <w:vAlign w:val="center"/>
          </w:tcPr>
          <w:p w14:paraId="27AD8409">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加权方式</w:t>
            </w:r>
          </w:p>
        </w:tc>
        <w:tc>
          <w:tcPr>
            <w:tcW w:w="2753" w:type="dxa"/>
            <w:tcBorders>
              <w:top w:val="single" w:color="auto" w:sz="4" w:space="0"/>
              <w:left w:val="single" w:color="auto" w:sz="4" w:space="0"/>
              <w:bottom w:val="single" w:color="auto" w:sz="4" w:space="0"/>
              <w:right w:val="single" w:color="auto" w:sz="4" w:space="0"/>
            </w:tcBorders>
            <w:vAlign w:val="center"/>
          </w:tcPr>
          <w:p w14:paraId="28714B5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质量调整价公式</w:t>
            </w:r>
          </w:p>
        </w:tc>
      </w:tr>
      <w:tr w14:paraId="1E02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117E165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Mt＞15.0</w:t>
            </w:r>
          </w:p>
        </w:tc>
        <w:tc>
          <w:tcPr>
            <w:tcW w:w="1305" w:type="dxa"/>
            <w:tcBorders>
              <w:top w:val="single" w:color="auto" w:sz="4" w:space="0"/>
              <w:left w:val="single" w:color="auto" w:sz="4" w:space="0"/>
              <w:bottom w:val="single" w:color="auto" w:sz="4" w:space="0"/>
              <w:right w:val="single" w:color="auto" w:sz="4" w:space="0"/>
            </w:tcBorders>
            <w:vAlign w:val="center"/>
          </w:tcPr>
          <w:p w14:paraId="6CD2EE3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350" w:type="dxa"/>
            <w:tcBorders>
              <w:top w:val="single" w:color="auto" w:sz="4" w:space="0"/>
              <w:left w:val="single" w:color="auto" w:sz="4" w:space="0"/>
              <w:bottom w:val="single" w:color="auto" w:sz="4" w:space="0"/>
              <w:right w:val="single" w:color="auto" w:sz="4" w:space="0"/>
            </w:tcBorders>
            <w:vAlign w:val="center"/>
          </w:tcPr>
          <w:p w14:paraId="3481BBF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14:paraId="7067589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15.0</w:t>
            </w:r>
          </w:p>
        </w:tc>
        <w:tc>
          <w:tcPr>
            <w:tcW w:w="1387" w:type="dxa"/>
            <w:tcBorders>
              <w:top w:val="single" w:color="auto" w:sz="4" w:space="0"/>
              <w:left w:val="single" w:color="auto" w:sz="4" w:space="0"/>
              <w:right w:val="single" w:color="auto" w:sz="4" w:space="0"/>
            </w:tcBorders>
            <w:vAlign w:val="center"/>
          </w:tcPr>
          <w:p w14:paraId="3F6E92C5">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top w:val="single" w:color="auto" w:sz="4" w:space="0"/>
              <w:left w:val="single" w:color="auto" w:sz="4" w:space="0"/>
              <w:right w:val="single" w:color="auto" w:sz="4" w:space="0"/>
            </w:tcBorders>
            <w:vAlign w:val="center"/>
          </w:tcPr>
          <w:p w14:paraId="4600A3E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热值计价×（15.0%-全水分）</w:t>
            </w:r>
          </w:p>
        </w:tc>
      </w:tr>
      <w:tr w14:paraId="40AB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7B9FD2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5.00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St,d＞3.00</w:t>
            </w:r>
          </w:p>
        </w:tc>
        <w:tc>
          <w:tcPr>
            <w:tcW w:w="1305" w:type="dxa"/>
            <w:tcBorders>
              <w:top w:val="single" w:color="auto" w:sz="4" w:space="0"/>
              <w:left w:val="single" w:color="auto" w:sz="4" w:space="0"/>
              <w:bottom w:val="single" w:color="auto" w:sz="4" w:space="0"/>
              <w:right w:val="single" w:color="auto" w:sz="4" w:space="0"/>
            </w:tcBorders>
            <w:vAlign w:val="center"/>
          </w:tcPr>
          <w:p w14:paraId="6A83235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4BE2DBF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7A9BF7E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w:t>
            </w:r>
          </w:p>
        </w:tc>
        <w:tc>
          <w:tcPr>
            <w:tcW w:w="1387" w:type="dxa"/>
            <w:tcBorders>
              <w:left w:val="single" w:color="auto" w:sz="4" w:space="0"/>
              <w:bottom w:val="single" w:color="auto" w:sz="4" w:space="0"/>
              <w:right w:val="single" w:color="auto" w:sz="4" w:space="0"/>
            </w:tcBorders>
            <w:vAlign w:val="center"/>
          </w:tcPr>
          <w:p w14:paraId="2EB5156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3247FEFA">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（验收值-奖罚基准）/变化幅度×奖罚额</w:t>
            </w:r>
          </w:p>
        </w:tc>
      </w:tr>
      <w:tr w14:paraId="0D98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7C7F7F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St,d＞5.00</w:t>
            </w:r>
          </w:p>
        </w:tc>
        <w:tc>
          <w:tcPr>
            <w:tcW w:w="1305" w:type="dxa"/>
            <w:tcBorders>
              <w:top w:val="single" w:color="auto" w:sz="4" w:space="0"/>
              <w:left w:val="single" w:color="auto" w:sz="4" w:space="0"/>
              <w:bottom w:val="single" w:color="auto" w:sz="4" w:space="0"/>
              <w:right w:val="single" w:color="auto" w:sz="4" w:space="0"/>
            </w:tcBorders>
            <w:vAlign w:val="center"/>
          </w:tcPr>
          <w:p w14:paraId="464D61B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50" w:type="dxa"/>
            <w:tcBorders>
              <w:top w:val="single" w:color="auto" w:sz="4" w:space="0"/>
              <w:left w:val="single" w:color="auto" w:sz="4" w:space="0"/>
              <w:bottom w:val="single" w:color="auto" w:sz="4" w:space="0"/>
              <w:right w:val="single" w:color="auto" w:sz="4" w:space="0"/>
            </w:tcBorders>
            <w:vAlign w:val="center"/>
          </w:tcPr>
          <w:p w14:paraId="0E80191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w:t>
            </w:r>
          </w:p>
        </w:tc>
        <w:tc>
          <w:tcPr>
            <w:tcW w:w="1155" w:type="dxa"/>
            <w:tcBorders>
              <w:top w:val="single" w:color="auto" w:sz="4" w:space="0"/>
              <w:left w:val="single" w:color="auto" w:sz="4" w:space="0"/>
              <w:bottom w:val="single" w:color="auto" w:sz="4" w:space="0"/>
              <w:right w:val="single" w:color="auto" w:sz="4" w:space="0"/>
            </w:tcBorders>
            <w:vAlign w:val="center"/>
          </w:tcPr>
          <w:p w14:paraId="7528251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87" w:type="dxa"/>
            <w:tcBorders>
              <w:top w:val="single" w:color="auto" w:sz="4" w:space="0"/>
              <w:left w:val="single" w:color="auto" w:sz="4" w:space="0"/>
              <w:bottom w:val="single" w:color="auto" w:sz="4" w:space="0"/>
              <w:right w:val="single" w:color="auto" w:sz="4" w:space="0"/>
            </w:tcBorders>
            <w:vAlign w:val="center"/>
          </w:tcPr>
          <w:p w14:paraId="5C317DB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right w:val="single" w:color="auto" w:sz="4" w:space="0"/>
            </w:tcBorders>
            <w:vAlign w:val="center"/>
          </w:tcPr>
          <w:p w14:paraId="4DDFD7F0">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150元/吨</w:t>
            </w:r>
          </w:p>
        </w:tc>
      </w:tr>
      <w:tr w14:paraId="4D7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19B6DC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10.00≤Var＜1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05" w:type="dxa"/>
            <w:tcBorders>
              <w:top w:val="single" w:color="auto" w:sz="4" w:space="0"/>
              <w:left w:val="single" w:color="auto" w:sz="4" w:space="0"/>
              <w:bottom w:val="single" w:color="auto" w:sz="4" w:space="0"/>
              <w:right w:val="single" w:color="auto" w:sz="4" w:space="0"/>
            </w:tcBorders>
            <w:vAlign w:val="center"/>
          </w:tcPr>
          <w:p w14:paraId="2C08777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616DACC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07A85BB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87" w:type="dxa"/>
            <w:tcBorders>
              <w:top w:val="single" w:color="auto" w:sz="4" w:space="0"/>
              <w:left w:val="single" w:color="auto" w:sz="4" w:space="0"/>
              <w:right w:val="single" w:color="auto" w:sz="4" w:space="0"/>
            </w:tcBorders>
            <w:vAlign w:val="center"/>
          </w:tcPr>
          <w:p w14:paraId="313F589B">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25CAEC2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（奖罚基准-验收值）/变化幅度×奖罚额</w:t>
            </w:r>
          </w:p>
        </w:tc>
      </w:tr>
      <w:tr w14:paraId="5310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8070EC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Var＞</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.00或</w:t>
            </w:r>
            <w:r>
              <w:rPr>
                <w:rFonts w:hint="eastAsia" w:ascii="宋体" w:hAnsi="宋体" w:eastAsia="宋体" w:cs="宋体"/>
                <w:color w:val="auto"/>
                <w:kern w:val="0"/>
                <w:sz w:val="21"/>
                <w:szCs w:val="21"/>
              </w:rPr>
              <w:t>Var＜10</w:t>
            </w:r>
            <w:r>
              <w:rPr>
                <w:rFonts w:hint="eastAsia" w:ascii="宋体" w:hAnsi="宋体" w:eastAsia="宋体" w:cs="宋体"/>
                <w:color w:val="auto"/>
                <w:kern w:val="0"/>
                <w:sz w:val="21"/>
                <w:szCs w:val="21"/>
                <w:lang w:val="en-US" w:eastAsia="zh-CN"/>
              </w:rPr>
              <w:t>.00</w:t>
            </w:r>
          </w:p>
        </w:tc>
        <w:tc>
          <w:tcPr>
            <w:tcW w:w="3810" w:type="dxa"/>
            <w:gridSpan w:val="3"/>
            <w:tcBorders>
              <w:top w:val="single" w:color="auto" w:sz="4" w:space="0"/>
              <w:left w:val="single" w:color="auto" w:sz="4" w:space="0"/>
              <w:bottom w:val="single" w:color="auto" w:sz="4" w:space="0"/>
              <w:right w:val="single" w:color="auto" w:sz="4" w:space="0"/>
            </w:tcBorders>
            <w:vAlign w:val="center"/>
          </w:tcPr>
          <w:p w14:paraId="2507B46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w:t>
            </w:r>
          </w:p>
        </w:tc>
        <w:tc>
          <w:tcPr>
            <w:tcW w:w="1387" w:type="dxa"/>
            <w:tcBorders>
              <w:left w:val="single" w:color="auto" w:sz="4" w:space="0"/>
              <w:right w:val="single" w:color="auto" w:sz="4" w:space="0"/>
            </w:tcBorders>
            <w:vAlign w:val="center"/>
          </w:tcPr>
          <w:p w14:paraId="349E679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bottom w:val="single" w:color="auto" w:sz="4" w:space="0"/>
              <w:right w:val="single" w:color="auto" w:sz="4" w:space="0"/>
            </w:tcBorders>
            <w:vAlign w:val="center"/>
          </w:tcPr>
          <w:p w14:paraId="3ED9912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拒付（Var＜10</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视为无烟煤）</w:t>
            </w:r>
          </w:p>
        </w:tc>
      </w:tr>
    </w:tbl>
    <w:p w14:paraId="50EA32EE">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质量调整价计价</w:t>
      </w:r>
      <w:r>
        <w:rPr>
          <w:rFonts w:hint="eastAsia" w:ascii="宋体" w:hAnsi="宋体" w:eastAsia="宋体" w:cs="宋体"/>
          <w:b/>
          <w:bCs/>
          <w:color w:val="auto"/>
          <w:kern w:val="0"/>
          <w:sz w:val="21"/>
          <w:szCs w:val="21"/>
        </w:rPr>
        <w:t>说明</w:t>
      </w:r>
      <w:r>
        <w:rPr>
          <w:rFonts w:hint="eastAsia" w:ascii="宋体" w:hAnsi="宋体" w:cs="宋体"/>
          <w:b/>
          <w:bCs/>
          <w:color w:val="auto"/>
          <w:kern w:val="0"/>
          <w:sz w:val="21"/>
          <w:szCs w:val="21"/>
          <w:lang w:eastAsia="zh-CN"/>
        </w:rPr>
        <w:t>：</w:t>
      </w:r>
    </w:p>
    <w:p w14:paraId="62D787C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水分计价：当加权Mt≤15.0%时，不计价；当加权Mt＞15.0%时，水分计价=热值计价×（15.0%-全水分）；</w:t>
      </w:r>
    </w:p>
    <w:p w14:paraId="680EF1C2">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硫分计价：当加权St,d≤3.00%时，不计</w:t>
      </w:r>
      <w:r>
        <w:rPr>
          <w:rFonts w:hint="eastAsia" w:ascii="宋体" w:hAnsi="宋体" w:eastAsia="宋体" w:cs="宋体"/>
          <w:color w:val="auto"/>
          <w:kern w:val="0"/>
          <w:sz w:val="21"/>
          <w:szCs w:val="21"/>
          <w:highlight w:val="none"/>
        </w:rPr>
        <w:t>价；当加权St,d＞3.00%时</w:t>
      </w:r>
      <w:r>
        <w:rPr>
          <w:rFonts w:hint="eastAsia" w:ascii="宋体" w:hAnsi="宋体" w:eastAsia="宋体" w:cs="宋体"/>
          <w:color w:val="auto"/>
          <w:kern w:val="0"/>
          <w:sz w:val="21"/>
          <w:szCs w:val="21"/>
        </w:rPr>
        <w:t>，每上升0.01%，相应扣减0.1元/吨。单批次St,d＞5.00%时，单批次考核，扣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50元每吨；</w:t>
      </w:r>
    </w:p>
    <w:p w14:paraId="586BC476">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挥发分计价：当1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加权Var</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时，不计价；当10.00%≤加权Var＜1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.00%时，每降低0.01%，相应扣减0.1元/吨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.00%或</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10.00%时，单批次拒付（Var＜10.00%视为无烟煤）</w:t>
      </w:r>
      <w:r>
        <w:rPr>
          <w:rFonts w:hint="eastAsia" w:ascii="宋体" w:hAnsi="宋体" w:eastAsia="宋体" w:cs="宋体"/>
          <w:color w:val="auto"/>
          <w:kern w:val="0"/>
          <w:sz w:val="21"/>
          <w:szCs w:val="21"/>
          <w:lang w:eastAsia="zh-CN"/>
        </w:rPr>
        <w:t>。</w:t>
      </w:r>
    </w:p>
    <w:p w14:paraId="07C3399F">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textAlignment w:val="center"/>
        <w:rPr>
          <w:rFonts w:hint="eastAsia" w:ascii="宋体" w:hAnsi="宋体" w:eastAsia="宋体" w:cs="宋体"/>
          <w:b/>
          <w:bCs/>
          <w:color w:val="auto"/>
          <w:kern w:val="0"/>
          <w:sz w:val="21"/>
          <w:szCs w:val="21"/>
        </w:rPr>
      </w:pP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rPr>
        <w:t>数量调整价</w:t>
      </w:r>
    </w:p>
    <w:p w14:paraId="764E6915">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截止2025年XX月XX日，乙方向甲方供应燃煤实际到厂数量（若乙方选择供应同等价值及以上燃煤作为合同履约保证金，则自《中标通知书》发出之日起至合同签订之日前，所供应同等价值及以上燃煤煤量一并计入）达到20000吨时，为完成合同量；</w:t>
      </w:r>
    </w:p>
    <w:p w14:paraId="5D4667AA">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2）若截止2025年XX月XX日实际到厂数量（若乙方选择供应同等价值及以上燃煤作为合同履约保证金，则自《中标通知书》发出之日起至合同签订之日前，所供应同等价值及以上燃煤煤量一并计入）小于20000吨时：</w:t>
      </w:r>
    </w:p>
    <w:p w14:paraId="35A89266">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①</w:t>
      </w:r>
      <w:r>
        <w:rPr>
          <w:rFonts w:hint="eastAsia" w:ascii="宋体" w:hAnsi="宋体" w:eastAsia="宋体" w:cs="宋体"/>
          <w:color w:val="auto"/>
          <w:kern w:val="0"/>
          <w:sz w:val="21"/>
          <w:szCs w:val="21"/>
        </w:rPr>
        <w:t>乙方选择办理结算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则</w:t>
      </w:r>
      <w:r>
        <w:rPr>
          <w:rFonts w:hint="eastAsia" w:ascii="宋体" w:hAnsi="宋体" w:eastAsia="宋体" w:cs="宋体"/>
          <w:color w:val="auto"/>
          <w:kern w:val="0"/>
          <w:sz w:val="21"/>
          <w:szCs w:val="21"/>
        </w:rPr>
        <w:t>基准单价降低 0.01 元/[(kcal/kg)×吨]同时不予退还合同履约保证金</w:t>
      </w:r>
      <w:r>
        <w:rPr>
          <w:rFonts w:hint="eastAsia" w:ascii="宋体" w:hAnsi="宋体" w:eastAsia="宋体" w:cs="宋体"/>
          <w:color w:val="auto"/>
          <w:kern w:val="0"/>
          <w:sz w:val="21"/>
          <w:szCs w:val="21"/>
          <w:lang w:eastAsia="zh-CN"/>
        </w:rPr>
        <w:t>；</w:t>
      </w:r>
    </w:p>
    <w:p w14:paraId="043BCACB">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②合同到期</w:t>
      </w:r>
      <w:r>
        <w:rPr>
          <w:rFonts w:hint="eastAsia" w:ascii="宋体" w:hAnsi="宋体" w:eastAsia="宋体" w:cs="宋体"/>
          <w:color w:val="auto"/>
          <w:kern w:val="0"/>
          <w:sz w:val="21"/>
          <w:szCs w:val="21"/>
          <w:lang w:val="en-US" w:eastAsia="zh-CN"/>
        </w:rPr>
        <w:t>后</w:t>
      </w:r>
      <w:r>
        <w:rPr>
          <w:rFonts w:hint="eastAsia" w:ascii="宋体" w:hAnsi="宋体" w:eastAsia="宋体" w:cs="宋体"/>
          <w:color w:val="auto"/>
          <w:kern w:val="0"/>
          <w:sz w:val="21"/>
          <w:szCs w:val="21"/>
        </w:rPr>
        <w:t>乙方选择继续履约合同</w:t>
      </w:r>
      <w:r>
        <w:rPr>
          <w:rFonts w:hint="eastAsia" w:ascii="宋体" w:hAnsi="宋体" w:eastAsia="宋体" w:cs="宋体"/>
          <w:color w:val="auto"/>
          <w:kern w:val="0"/>
          <w:sz w:val="21"/>
          <w:szCs w:val="21"/>
          <w:lang w:val="en-US" w:eastAsia="zh-CN"/>
        </w:rPr>
        <w:t>向甲方供应燃煤</w:t>
      </w:r>
      <w:r>
        <w:rPr>
          <w:rFonts w:hint="eastAsia" w:ascii="宋体" w:hAnsi="宋体" w:eastAsia="宋体" w:cs="宋体"/>
          <w:color w:val="auto"/>
          <w:kern w:val="0"/>
          <w:sz w:val="21"/>
          <w:szCs w:val="21"/>
        </w:rPr>
        <w:t>，则</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已供应燃煤及超期供应的燃煤按下表</w:t>
      </w:r>
      <w:r>
        <w:rPr>
          <w:rFonts w:hint="eastAsia" w:ascii="宋体" w:hAnsi="宋体" w:eastAsia="宋体" w:cs="宋体"/>
          <w:color w:val="auto"/>
          <w:kern w:val="0"/>
          <w:sz w:val="21"/>
          <w:szCs w:val="21"/>
          <w:lang w:val="en-US" w:eastAsia="zh-CN"/>
        </w:rPr>
        <w:t>对应</w:t>
      </w:r>
      <w:r>
        <w:rPr>
          <w:rFonts w:hint="eastAsia" w:ascii="宋体" w:hAnsi="宋体" w:eastAsia="宋体" w:cs="宋体"/>
          <w:color w:val="auto"/>
          <w:kern w:val="0"/>
          <w:sz w:val="21"/>
          <w:szCs w:val="21"/>
        </w:rPr>
        <w:t>超期天数</w:t>
      </w:r>
      <w:r>
        <w:rPr>
          <w:rFonts w:hint="eastAsia" w:ascii="宋体" w:hAnsi="宋体" w:eastAsia="宋体" w:cs="宋体"/>
          <w:color w:val="auto"/>
          <w:kern w:val="0"/>
          <w:sz w:val="21"/>
          <w:szCs w:val="21"/>
          <w:lang w:val="en-US" w:eastAsia="zh-CN"/>
        </w:rPr>
        <w:t>及</w:t>
      </w:r>
      <w:r>
        <w:rPr>
          <w:rFonts w:hint="eastAsia" w:ascii="宋体" w:hAnsi="宋体" w:eastAsia="宋体" w:cs="宋体"/>
          <w:color w:val="auto"/>
          <w:kern w:val="0"/>
          <w:sz w:val="21"/>
          <w:szCs w:val="21"/>
        </w:rPr>
        <w:t>基准单价下浮结算，不</w:t>
      </w:r>
      <w:r>
        <w:rPr>
          <w:rFonts w:hint="eastAsia" w:ascii="宋体" w:hAnsi="宋体" w:eastAsia="宋体" w:cs="宋体"/>
          <w:color w:val="auto"/>
          <w:kern w:val="0"/>
          <w:sz w:val="21"/>
          <w:szCs w:val="21"/>
          <w:lang w:val="en-US" w:eastAsia="zh-CN"/>
        </w:rPr>
        <w:t>再</w:t>
      </w:r>
      <w:r>
        <w:rPr>
          <w:rFonts w:hint="eastAsia" w:ascii="宋体" w:hAnsi="宋体" w:eastAsia="宋体" w:cs="宋体"/>
          <w:color w:val="auto"/>
          <w:kern w:val="0"/>
          <w:sz w:val="21"/>
          <w:szCs w:val="21"/>
        </w:rPr>
        <w:t>执行基准单价下浮 0.01 元/[(kcal/kg)×吨]和扣除乙方合同履约保证金</w:t>
      </w:r>
      <w:r>
        <w:rPr>
          <w:rFonts w:hint="eastAsia" w:ascii="宋体" w:hAnsi="宋体" w:eastAsia="宋体" w:cs="宋体"/>
          <w:color w:val="auto"/>
          <w:kern w:val="0"/>
          <w:sz w:val="21"/>
          <w:szCs w:val="21"/>
          <w:lang w:val="en-US" w:eastAsia="zh-CN"/>
        </w:rPr>
        <w:t>条款</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若</w:t>
      </w:r>
      <w:r>
        <w:rPr>
          <w:rFonts w:hint="eastAsia" w:ascii="宋体" w:hAnsi="宋体" w:eastAsia="宋体" w:cs="宋体"/>
          <w:color w:val="auto"/>
          <w:kern w:val="0"/>
          <w:sz w:val="21"/>
          <w:szCs w:val="21"/>
        </w:rPr>
        <w:t>乙方超期</w:t>
      </w:r>
      <w:r>
        <w:rPr>
          <w:rFonts w:hint="eastAsia" w:ascii="宋体" w:hAnsi="宋体" w:eastAsia="宋体" w:cs="宋体"/>
          <w:color w:val="auto"/>
          <w:kern w:val="0"/>
          <w:sz w:val="21"/>
          <w:szCs w:val="21"/>
          <w:lang w:val="en-US" w:eastAsia="zh-CN"/>
        </w:rPr>
        <w:t>仍</w:t>
      </w:r>
      <w:r>
        <w:rPr>
          <w:rFonts w:hint="eastAsia" w:ascii="宋体" w:hAnsi="宋体" w:eastAsia="宋体" w:cs="宋体"/>
          <w:color w:val="auto"/>
          <w:kern w:val="0"/>
          <w:sz w:val="21"/>
          <w:szCs w:val="21"/>
        </w:rPr>
        <w:t>未完成合同约定的供煤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量，乙方</w:t>
      </w:r>
      <w:r>
        <w:rPr>
          <w:rFonts w:hint="eastAsia" w:ascii="宋体" w:hAnsi="宋体" w:eastAsia="宋体" w:cs="宋体"/>
          <w:color w:val="auto"/>
          <w:kern w:val="0"/>
          <w:sz w:val="21"/>
          <w:szCs w:val="21"/>
          <w:lang w:val="en-US" w:eastAsia="zh-CN"/>
        </w:rPr>
        <w:t>申请</w:t>
      </w:r>
      <w:r>
        <w:rPr>
          <w:rFonts w:hint="eastAsia" w:ascii="宋体" w:hAnsi="宋体" w:eastAsia="宋体" w:cs="宋体"/>
          <w:color w:val="auto"/>
          <w:kern w:val="0"/>
          <w:sz w:val="21"/>
          <w:szCs w:val="21"/>
        </w:rPr>
        <w:t>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超期天数按甲方收到乙方结算书面申请时间为止</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，甲方</w:t>
      </w:r>
      <w:r>
        <w:rPr>
          <w:rFonts w:hint="eastAsia" w:ascii="宋体" w:hAnsi="宋体" w:eastAsia="宋体" w:cs="宋体"/>
          <w:color w:val="auto"/>
          <w:kern w:val="0"/>
          <w:sz w:val="21"/>
          <w:szCs w:val="21"/>
          <w:lang w:val="en-US" w:eastAsia="zh-CN"/>
        </w:rPr>
        <w:t>仍执行</w:t>
      </w:r>
      <w:r>
        <w:rPr>
          <w:rFonts w:hint="eastAsia" w:ascii="宋体" w:hAnsi="宋体" w:eastAsia="宋体" w:cs="宋体"/>
          <w:color w:val="auto"/>
          <w:kern w:val="0"/>
          <w:sz w:val="21"/>
          <w:szCs w:val="21"/>
        </w:rPr>
        <w:t>在基准单价上下浮0.01元/[(kcal/kg)×吨]和对应</w:t>
      </w:r>
      <w:r>
        <w:rPr>
          <w:rFonts w:hint="eastAsia" w:ascii="宋体" w:hAnsi="宋体" w:eastAsia="宋体" w:cs="宋体"/>
          <w:color w:val="auto"/>
          <w:kern w:val="0"/>
          <w:sz w:val="21"/>
          <w:szCs w:val="21"/>
          <w:lang w:val="en-US" w:eastAsia="zh-CN"/>
        </w:rPr>
        <w:t>下表</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天数及</w:t>
      </w:r>
      <w:r>
        <w:rPr>
          <w:rFonts w:hint="eastAsia" w:ascii="宋体" w:hAnsi="宋体" w:eastAsia="宋体" w:cs="宋体"/>
          <w:color w:val="auto"/>
          <w:kern w:val="0"/>
          <w:sz w:val="21"/>
          <w:szCs w:val="21"/>
        </w:rPr>
        <w:t>下浮基准单价</w:t>
      </w:r>
      <w:r>
        <w:rPr>
          <w:rFonts w:hint="eastAsia" w:ascii="宋体" w:hAnsi="宋体" w:eastAsia="宋体" w:cs="宋体"/>
          <w:color w:val="auto"/>
          <w:kern w:val="0"/>
          <w:sz w:val="21"/>
          <w:szCs w:val="21"/>
          <w:lang w:val="en-US" w:eastAsia="zh-CN"/>
        </w:rPr>
        <w:t>与乙方</w:t>
      </w:r>
      <w:r>
        <w:rPr>
          <w:rFonts w:hint="eastAsia" w:ascii="宋体" w:hAnsi="宋体" w:eastAsia="宋体" w:cs="宋体"/>
          <w:color w:val="auto"/>
          <w:kern w:val="0"/>
          <w:sz w:val="21"/>
          <w:szCs w:val="21"/>
        </w:rPr>
        <w:t>办理所</w:t>
      </w:r>
      <w:r>
        <w:rPr>
          <w:rFonts w:hint="eastAsia" w:ascii="宋体" w:hAnsi="宋体" w:eastAsia="宋体" w:cs="宋体"/>
          <w:color w:val="auto"/>
          <w:kern w:val="0"/>
          <w:sz w:val="21"/>
          <w:szCs w:val="21"/>
          <w:lang w:val="en-US" w:eastAsia="zh-CN"/>
        </w:rPr>
        <w:t>有</w:t>
      </w:r>
      <w:r>
        <w:rPr>
          <w:rFonts w:hint="eastAsia" w:ascii="宋体" w:hAnsi="宋体" w:eastAsia="宋体" w:cs="宋体"/>
          <w:color w:val="auto"/>
          <w:kern w:val="0"/>
          <w:sz w:val="21"/>
          <w:szCs w:val="21"/>
        </w:rPr>
        <w:t>供</w:t>
      </w:r>
      <w:r>
        <w:rPr>
          <w:rFonts w:hint="eastAsia" w:ascii="宋体" w:hAnsi="宋体" w:eastAsia="宋体" w:cs="宋体"/>
          <w:color w:val="auto"/>
          <w:kern w:val="0"/>
          <w:sz w:val="21"/>
          <w:szCs w:val="21"/>
          <w:lang w:val="en-US" w:eastAsia="zh-CN"/>
        </w:rPr>
        <w:t>应燃</w:t>
      </w:r>
      <w:r>
        <w:rPr>
          <w:rFonts w:hint="eastAsia" w:ascii="宋体" w:hAnsi="宋体" w:eastAsia="宋体" w:cs="宋体"/>
          <w:color w:val="auto"/>
          <w:kern w:val="0"/>
          <w:sz w:val="21"/>
          <w:szCs w:val="21"/>
        </w:rPr>
        <w:t>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rPr>
        <w:t>结算，同时不予退还</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合同履约保证金；</w:t>
      </w:r>
    </w:p>
    <w:p w14:paraId="310385C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超期基准单价下浮表</w:t>
      </w:r>
    </w:p>
    <w:tbl>
      <w:tblPr>
        <w:tblStyle w:val="36"/>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6735"/>
      </w:tblGrid>
      <w:tr w14:paraId="2F63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393D266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超期时间（天）</w:t>
            </w:r>
          </w:p>
        </w:tc>
        <w:tc>
          <w:tcPr>
            <w:tcW w:w="6735" w:type="dxa"/>
            <w:vAlign w:val="center"/>
          </w:tcPr>
          <w:p w14:paraId="364B196D">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基准单价下浮（元/[(kcal/kg)×吨]）</w:t>
            </w:r>
          </w:p>
        </w:tc>
      </w:tr>
      <w:tr w14:paraId="4505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6796B21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超期天数≤5</w:t>
            </w:r>
          </w:p>
        </w:tc>
        <w:tc>
          <w:tcPr>
            <w:tcW w:w="6735" w:type="dxa"/>
            <w:vAlign w:val="center"/>
          </w:tcPr>
          <w:p w14:paraId="25A60C5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1</w:t>
            </w:r>
          </w:p>
        </w:tc>
      </w:tr>
      <w:tr w14:paraId="1559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F5E7A6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6≤超期天数≤10</w:t>
            </w:r>
          </w:p>
        </w:tc>
        <w:tc>
          <w:tcPr>
            <w:tcW w:w="6735" w:type="dxa"/>
            <w:vAlign w:val="center"/>
          </w:tcPr>
          <w:p w14:paraId="20BB9B7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 下浮 0.00</w:t>
            </w:r>
            <w:r>
              <w:rPr>
                <w:rFonts w:hint="eastAsia" w:ascii="宋体" w:hAnsi="宋体" w:eastAsia="宋体" w:cs="宋体"/>
                <w:color w:val="auto"/>
                <w:kern w:val="0"/>
                <w:sz w:val="21"/>
                <w:szCs w:val="21"/>
                <w:lang w:val="en-US" w:eastAsia="zh-CN"/>
              </w:rPr>
              <w:t>2</w:t>
            </w:r>
          </w:p>
        </w:tc>
      </w:tr>
      <w:tr w14:paraId="0B71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DE0398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11≤超期天数≤15</w:t>
            </w:r>
          </w:p>
        </w:tc>
        <w:tc>
          <w:tcPr>
            <w:tcW w:w="6735" w:type="dxa"/>
            <w:vAlign w:val="center"/>
          </w:tcPr>
          <w:p w14:paraId="41AC882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3</w:t>
            </w:r>
          </w:p>
        </w:tc>
      </w:tr>
      <w:tr w14:paraId="79DA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C8250A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16≤超期天数≤20</w:t>
            </w:r>
          </w:p>
        </w:tc>
        <w:tc>
          <w:tcPr>
            <w:tcW w:w="6735" w:type="dxa"/>
            <w:vAlign w:val="center"/>
          </w:tcPr>
          <w:p w14:paraId="0EDBC9E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下浮0.005</w:t>
            </w:r>
          </w:p>
        </w:tc>
      </w:tr>
      <w:tr w14:paraId="27F5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513BFED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21≤超期天数≤25</w:t>
            </w:r>
          </w:p>
        </w:tc>
        <w:tc>
          <w:tcPr>
            <w:tcW w:w="6735" w:type="dxa"/>
            <w:vAlign w:val="center"/>
          </w:tcPr>
          <w:p w14:paraId="404B906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0.006</w:t>
            </w:r>
          </w:p>
        </w:tc>
      </w:tr>
      <w:tr w14:paraId="7CE5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02" w:type="dxa"/>
            <w:vAlign w:val="center"/>
          </w:tcPr>
          <w:p w14:paraId="5E4573C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26≤超期天数≤30</w:t>
            </w:r>
          </w:p>
        </w:tc>
        <w:tc>
          <w:tcPr>
            <w:tcW w:w="6735" w:type="dxa"/>
            <w:vAlign w:val="center"/>
          </w:tcPr>
          <w:p w14:paraId="63E8FA1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 0.007</w:t>
            </w:r>
          </w:p>
        </w:tc>
      </w:tr>
      <w:tr w14:paraId="4C98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BE78C9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超期30天以上</w:t>
            </w:r>
          </w:p>
        </w:tc>
        <w:tc>
          <w:tcPr>
            <w:tcW w:w="6735" w:type="dxa"/>
            <w:vAlign w:val="center"/>
          </w:tcPr>
          <w:p w14:paraId="0B2BCFF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所有煤量基准单价下浮 0.010（办理结算，终止合同）</w:t>
            </w:r>
          </w:p>
        </w:tc>
      </w:tr>
    </w:tbl>
    <w:p w14:paraId="1B5269A5">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注：合同超期后如遇市场煤价下跌或甲方公司燃煤经营情况变化需要，甲方有权随时终止合同并</w:t>
      </w:r>
      <w:r>
        <w:rPr>
          <w:rFonts w:hint="eastAsia" w:ascii="宋体" w:hAnsi="宋体" w:eastAsia="宋体" w:cs="宋体"/>
          <w:color w:val="auto"/>
          <w:kern w:val="0"/>
          <w:sz w:val="21"/>
          <w:szCs w:val="21"/>
          <w:lang w:val="en-US" w:eastAsia="zh-CN"/>
        </w:rPr>
        <w:t>书面</w:t>
      </w:r>
      <w:r>
        <w:rPr>
          <w:rFonts w:hint="eastAsia" w:ascii="宋体" w:hAnsi="宋体" w:eastAsia="宋体" w:cs="宋体"/>
          <w:color w:val="auto"/>
          <w:kern w:val="0"/>
          <w:sz w:val="21"/>
          <w:szCs w:val="21"/>
        </w:rPr>
        <w:t>告知乙方，乙方所供煤量视为完成合同量，煤款按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基准单价下浮表》对应</w:t>
      </w:r>
      <w:r>
        <w:rPr>
          <w:rFonts w:hint="eastAsia" w:ascii="宋体" w:hAnsi="宋体" w:eastAsia="宋体" w:cs="宋体"/>
          <w:color w:val="auto"/>
          <w:kern w:val="0"/>
          <w:sz w:val="21"/>
          <w:szCs w:val="21"/>
        </w:rPr>
        <w:t>条款予以</w:t>
      </w:r>
      <w:r>
        <w:rPr>
          <w:rFonts w:hint="eastAsia" w:ascii="宋体" w:hAnsi="宋体" w:eastAsia="宋体" w:cs="宋体"/>
          <w:color w:val="auto"/>
          <w:kern w:val="0"/>
          <w:sz w:val="21"/>
          <w:szCs w:val="21"/>
          <w:lang w:val="en-US" w:eastAsia="zh-CN"/>
        </w:rPr>
        <w:t>结</w:t>
      </w:r>
      <w:r>
        <w:rPr>
          <w:rFonts w:hint="eastAsia" w:ascii="宋体" w:hAnsi="宋体" w:eastAsia="宋体" w:cs="宋体"/>
          <w:color w:val="auto"/>
          <w:kern w:val="0"/>
          <w:sz w:val="21"/>
          <w:szCs w:val="21"/>
        </w:rPr>
        <w:t>算</w:t>
      </w:r>
      <w:r>
        <w:rPr>
          <w:rFonts w:hint="eastAsia" w:ascii="宋体" w:hAnsi="宋体" w:eastAsia="宋体" w:cs="宋体"/>
          <w:color w:val="auto"/>
          <w:kern w:val="0"/>
          <w:sz w:val="21"/>
          <w:szCs w:val="21"/>
          <w:lang w:eastAsia="zh-CN"/>
        </w:rPr>
        <w:t>。</w:t>
      </w:r>
    </w:p>
    <w:p w14:paraId="0F93DA2B">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若乙方超期天数超过30天仍未供应完合同约定煤量，甲、乙双方终止合同，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通知乙方办理结算，同时不予退还合同履约保证金</w:t>
      </w:r>
      <w:r>
        <w:rPr>
          <w:rFonts w:hint="eastAsia" w:ascii="宋体" w:hAnsi="宋体" w:eastAsia="宋体" w:cs="宋体"/>
          <w:color w:val="auto"/>
          <w:kern w:val="0"/>
          <w:sz w:val="21"/>
          <w:szCs w:val="21"/>
          <w:lang w:eastAsia="zh-CN"/>
        </w:rPr>
        <w:t>；</w:t>
      </w:r>
    </w:p>
    <w:p w14:paraId="69DD952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因不可抗力（国家规定的任何不能预见、不能克服、不能避免的事件和因素等）及甲方原因导致乙方超期供应的不做相关考核。发生不可抗力致使部分或全部合同不能履约的，应立即通知对方，并在5日内提供相应的证明材料，同时双方协商解决方案，以减轻产生的后果。</w:t>
      </w:r>
    </w:p>
    <w:p w14:paraId="18C996E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其他因素调整价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w:t>
      </w:r>
    </w:p>
    <w:p w14:paraId="632506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2.燃煤结算价</w:t>
      </w:r>
    </w:p>
    <w:p w14:paraId="3B531C9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燃煤结算价=燃煤结算单价×合格数量+单批次结算单价×单批次数量-乙方违反甲方公司相关管理制度考核。</w:t>
      </w:r>
    </w:p>
    <w:p w14:paraId="7B6D14FB">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四、数量及质量验收 </w:t>
      </w:r>
    </w:p>
    <w:p w14:paraId="15CA5F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 xml:space="preserve">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 </w:t>
      </w:r>
    </w:p>
    <w:p w14:paraId="2DD6F7D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乙方应在交货后5个工作日内到甲方索取化验结果，若</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xml:space="preserve">个工作日内未取，甲方视为乙方对化验结果知晓。 </w:t>
      </w:r>
    </w:p>
    <w:p w14:paraId="3E58E9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三</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甲方应保存备查煤样两个月（从制样开始计时），如乙方对化验结果有异议，可按本合同争议解决条款处理。</w:t>
      </w:r>
    </w:p>
    <w:p w14:paraId="7F82926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四</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如乙方入厂煤属下列情形之一按以下原则处理： </w:t>
      </w:r>
    </w:p>
    <w:p w14:paraId="312C653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 xml:space="preserve">上下分层装车、包芯，甲方有权拒付或按甲方相关制度规定执行。 </w:t>
      </w:r>
    </w:p>
    <w:p w14:paraId="0291E96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来煤有矸石、石头及其他杂物时按相应重量扣除吨位；情节严重的，拒绝入厂、卸车，对已卸煤场的，按甲方相关制度规定进行扣吨处理。</w:t>
      </w:r>
    </w:p>
    <w:p w14:paraId="1159F41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五</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复检机构为贵州省煤</w:t>
      </w:r>
      <w:r>
        <w:rPr>
          <w:rFonts w:hint="eastAsia" w:ascii="宋体" w:hAnsi="宋体" w:cs="宋体"/>
          <w:color w:val="auto"/>
          <w:kern w:val="0"/>
          <w:sz w:val="21"/>
          <w:szCs w:val="21"/>
          <w:lang w:val="en-US" w:eastAsia="zh-CN"/>
        </w:rPr>
        <w:t>炭</w:t>
      </w:r>
      <w:r>
        <w:rPr>
          <w:rFonts w:hint="eastAsia" w:ascii="宋体" w:hAnsi="宋体" w:eastAsia="宋体" w:cs="宋体"/>
          <w:color w:val="auto"/>
          <w:kern w:val="0"/>
          <w:sz w:val="21"/>
          <w:szCs w:val="21"/>
        </w:rPr>
        <w:t>产品质量监督检验院。</w:t>
      </w:r>
    </w:p>
    <w:p w14:paraId="6D0FCA3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六</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检验费用：数量检测费用由甲方承担，质量检测费用由甲方承担。发生复检时，复检费用由甲、乙双方主张的检验结果与最终复检结果偏差较大的一方承担，若偏差相同，则复检费用由提出异议方承担。 </w:t>
      </w:r>
    </w:p>
    <w:p w14:paraId="2480E6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七</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双方约定的其他条款：乙方应熟知和遵守甲方验收相关制度或标准，</w:t>
      </w:r>
      <w:r>
        <w:rPr>
          <w:rFonts w:hint="eastAsia" w:ascii="宋体" w:hAnsi="宋体" w:eastAsia="宋体" w:cs="宋体"/>
          <w:color w:val="auto"/>
          <w:kern w:val="0"/>
          <w:sz w:val="21"/>
          <w:szCs w:val="21"/>
          <w:lang w:val="en-US" w:eastAsia="zh-CN"/>
        </w:rPr>
        <w:t>若乙方</w:t>
      </w:r>
      <w:r>
        <w:rPr>
          <w:rFonts w:hint="eastAsia" w:ascii="宋体" w:hAnsi="宋体" w:eastAsia="宋体" w:cs="宋体"/>
          <w:color w:val="auto"/>
          <w:kern w:val="0"/>
          <w:sz w:val="21"/>
          <w:szCs w:val="21"/>
        </w:rPr>
        <w:t xml:space="preserve">违反附件所列制度或标准的责任由乙方承担。 </w:t>
      </w:r>
    </w:p>
    <w:p w14:paraId="247449D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 xml:space="preserve">五、结算及付款方式 </w:t>
      </w:r>
      <w:r>
        <w:rPr>
          <w:rFonts w:hint="eastAsia" w:ascii="宋体" w:hAnsi="宋体" w:eastAsia="宋体" w:cs="宋体"/>
          <w:color w:val="auto"/>
          <w:kern w:val="0"/>
          <w:sz w:val="21"/>
          <w:szCs w:val="21"/>
        </w:rPr>
        <w:t xml:space="preserve"> </w:t>
      </w:r>
    </w:p>
    <w:p w14:paraId="13543AB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结算方式</w:t>
      </w:r>
    </w:p>
    <w:p w14:paraId="27F2EF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rPr>
        <w:t>合同期内以甲方</w:t>
      </w:r>
      <w:r>
        <w:rPr>
          <w:rFonts w:hint="eastAsia" w:ascii="宋体" w:hAnsi="宋体" w:eastAsia="宋体" w:cs="宋体"/>
          <w:b w:val="0"/>
          <w:bCs w:val="0"/>
          <w:color w:val="000000"/>
          <w:kern w:val="0"/>
          <w:sz w:val="21"/>
          <w:szCs w:val="21"/>
          <w:lang w:val="en-US" w:eastAsia="zh-CN"/>
        </w:rPr>
        <w:t>实际</w:t>
      </w:r>
      <w:r>
        <w:rPr>
          <w:rFonts w:hint="eastAsia" w:ascii="宋体" w:hAnsi="宋体" w:eastAsia="宋体" w:cs="宋体"/>
          <w:b w:val="0"/>
          <w:bCs w:val="0"/>
          <w:color w:val="000000"/>
          <w:kern w:val="0"/>
          <w:sz w:val="21"/>
          <w:szCs w:val="21"/>
        </w:rPr>
        <w:t>到厂计量数量、化验结果为结算依据，合同期内所供燃煤按</w:t>
      </w:r>
      <w:r>
        <w:rPr>
          <w:rFonts w:hint="eastAsia" w:ascii="宋体" w:hAnsi="宋体" w:cs="宋体"/>
          <w:b w:val="0"/>
          <w:bCs w:val="0"/>
          <w:color w:val="000000"/>
          <w:kern w:val="0"/>
          <w:sz w:val="21"/>
          <w:szCs w:val="21"/>
          <w:lang w:val="en-US" w:eastAsia="zh-CN"/>
        </w:rPr>
        <w:t>3700</w:t>
      </w:r>
      <w:r>
        <w:rPr>
          <w:rFonts w:hint="eastAsia" w:ascii="宋体" w:hAnsi="宋体" w:eastAsia="宋体" w:cs="宋体"/>
          <w:b w:val="0"/>
          <w:bCs w:val="0"/>
          <w:color w:val="000000"/>
          <w:kern w:val="0"/>
          <w:sz w:val="21"/>
          <w:szCs w:val="21"/>
        </w:rPr>
        <w:t>大卡以上热值加权（或单批次）方式计算后合计一票到厂结算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若乙方选择供应同等价值及以上燃煤作为合同履约保证金，则自《中标通知书》发出之日起至合同签订之日前，所供应同等价值及以上燃煤煤量纳入全合同量一并结算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w:t>
      </w:r>
    </w:p>
    <w:p w14:paraId="63CE8D8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rPr>
        <w:t>所有指标用扣吨后的煤量进行加权计算单价，并用扣吨后的</w:t>
      </w:r>
      <w:r>
        <w:rPr>
          <w:rFonts w:hint="eastAsia" w:ascii="宋体" w:hAnsi="宋体" w:eastAsia="宋体" w:cs="宋体"/>
          <w:b w:val="0"/>
          <w:bCs w:val="0"/>
          <w:color w:val="000000"/>
          <w:kern w:val="0"/>
          <w:sz w:val="21"/>
          <w:szCs w:val="21"/>
          <w:lang w:val="en-US" w:eastAsia="zh-CN"/>
        </w:rPr>
        <w:t>煤量</w:t>
      </w:r>
      <w:r>
        <w:rPr>
          <w:rFonts w:hint="eastAsia" w:ascii="宋体" w:hAnsi="宋体" w:eastAsia="宋体" w:cs="宋体"/>
          <w:b w:val="0"/>
          <w:bCs w:val="0"/>
          <w:color w:val="000000"/>
          <w:kern w:val="0"/>
          <w:sz w:val="21"/>
          <w:szCs w:val="21"/>
        </w:rPr>
        <w:t>计算应结算煤款</w:t>
      </w:r>
      <w:r>
        <w:rPr>
          <w:rFonts w:hint="eastAsia" w:ascii="宋体" w:hAnsi="宋体" w:eastAsia="宋体" w:cs="宋体"/>
          <w:b w:val="0"/>
          <w:bCs w:val="0"/>
          <w:color w:val="000000"/>
          <w:kern w:val="0"/>
          <w:sz w:val="21"/>
          <w:szCs w:val="21"/>
          <w:lang w:eastAsia="zh-CN"/>
        </w:rPr>
        <w:t>；</w:t>
      </w:r>
    </w:p>
    <w:p w14:paraId="458321F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rPr>
        <w:t>合同约定的供煤量完成后双方办理结算（若乙方超</w:t>
      </w:r>
      <w:r>
        <w:rPr>
          <w:rFonts w:hint="eastAsia" w:ascii="宋体" w:hAnsi="宋体" w:eastAsia="宋体" w:cs="宋体"/>
          <w:b w:val="0"/>
          <w:bCs w:val="0"/>
          <w:color w:val="000000"/>
          <w:kern w:val="0"/>
          <w:sz w:val="21"/>
          <w:szCs w:val="21"/>
          <w:lang w:val="en-US" w:eastAsia="zh-CN"/>
        </w:rPr>
        <w:t>期天数超过30</w:t>
      </w:r>
      <w:r>
        <w:rPr>
          <w:rFonts w:hint="eastAsia" w:ascii="宋体" w:hAnsi="宋体" w:eastAsia="宋体" w:cs="宋体"/>
          <w:b w:val="0"/>
          <w:bCs w:val="0"/>
          <w:color w:val="000000"/>
          <w:kern w:val="0"/>
          <w:sz w:val="21"/>
          <w:szCs w:val="21"/>
        </w:rPr>
        <w:t>天仍未供应完合同约定煤量</w:t>
      </w:r>
      <w:r>
        <w:rPr>
          <w:rFonts w:hint="eastAsia" w:ascii="宋体" w:hAnsi="宋体" w:eastAsia="宋体" w:cs="宋体"/>
          <w:b w:val="0"/>
          <w:bCs w:val="0"/>
          <w:color w:val="000000"/>
          <w:kern w:val="0"/>
          <w:sz w:val="21"/>
          <w:szCs w:val="21"/>
          <w:lang w:val="en-US" w:eastAsia="zh-CN"/>
        </w:rPr>
        <w:t>，则甲方通知乙方办理结算</w:t>
      </w:r>
      <w:r>
        <w:rPr>
          <w:rFonts w:hint="eastAsia" w:ascii="宋体" w:hAnsi="宋体" w:eastAsia="宋体" w:cs="宋体"/>
          <w:b w:val="0"/>
          <w:bCs w:val="0"/>
          <w:color w:val="000000"/>
          <w:kern w:val="0"/>
          <w:sz w:val="21"/>
          <w:szCs w:val="21"/>
        </w:rPr>
        <w:t>）；乙方根据双方共同签字确认的结算单，开具相应增值税专用发票（税率13%）交到甲方</w:t>
      </w:r>
      <w:r>
        <w:rPr>
          <w:rFonts w:hint="eastAsia" w:ascii="宋体" w:hAnsi="宋体" w:eastAsia="宋体" w:cs="宋体"/>
          <w:b w:val="0"/>
          <w:bCs w:val="0"/>
          <w:color w:val="000000"/>
          <w:kern w:val="0"/>
          <w:sz w:val="21"/>
          <w:szCs w:val="21"/>
          <w:lang w:eastAsia="zh-CN"/>
        </w:rPr>
        <w:t>；</w:t>
      </w:r>
    </w:p>
    <w:p w14:paraId="4507B9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4.乙方完成合同约定供煤量，甲方于次月底前向乙方支付50%煤款，第三月月底前向乙方付清剩余煤款。乙方未提供发票的，甲方有权延期付款。</w:t>
      </w:r>
    </w:p>
    <w:p w14:paraId="107F48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二</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付款方式：</w:t>
      </w:r>
      <w:r>
        <w:rPr>
          <w:rFonts w:hint="eastAsia" w:ascii="宋体" w:hAnsi="宋体" w:eastAsia="宋体" w:cs="宋体"/>
          <w:b w:val="0"/>
          <w:bCs w:val="0"/>
          <w:color w:val="000000"/>
          <w:kern w:val="0"/>
          <w:sz w:val="21"/>
          <w:szCs w:val="21"/>
        </w:rPr>
        <w:t>现汇</w:t>
      </w: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lang w:val="en-US" w:eastAsia="zh-CN"/>
        </w:rPr>
        <w:t>银行承兑汇票</w:t>
      </w:r>
      <w:r>
        <w:rPr>
          <w:rFonts w:hint="eastAsia" w:ascii="宋体" w:hAnsi="宋体" w:eastAsia="宋体" w:cs="宋体"/>
          <w:b w:val="0"/>
          <w:bCs w:val="0"/>
          <w:color w:val="000000"/>
          <w:kern w:val="0"/>
          <w:sz w:val="21"/>
          <w:szCs w:val="21"/>
        </w:rPr>
        <w:t>或其他。</w:t>
      </w:r>
    </w:p>
    <w:p w14:paraId="5B60C8B6">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三</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双方约定的其他条款：</w:t>
      </w:r>
      <w:r>
        <w:rPr>
          <w:rFonts w:hint="eastAsia" w:ascii="宋体" w:hAnsi="宋体" w:eastAsia="宋体" w:cs="宋体"/>
          <w:b w:val="0"/>
          <w:bCs w:val="0"/>
          <w:color w:val="000000"/>
          <w:kern w:val="0"/>
          <w:sz w:val="21"/>
          <w:szCs w:val="21"/>
        </w:rPr>
        <w:t>无。</w:t>
      </w:r>
    </w:p>
    <w:p w14:paraId="4910C498">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六、</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合同变更、提前终止与解除 </w:t>
      </w:r>
    </w:p>
    <w:p w14:paraId="2961B2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本合同生效后，任何一方均不得擅自变更或解除。如确需变更或解除，应经双方协商一致并达成书面协议。书面协议达成之前，本合同继续有效。 </w:t>
      </w:r>
    </w:p>
    <w:p w14:paraId="3913E31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发生如下任何一种情形的，甲方有权解除合同且无需承担违约责任： </w:t>
      </w:r>
    </w:p>
    <w:p w14:paraId="6010D0D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1.乙方违反本合同义务，甲方书面通知后 7 日内仍未纠正的。</w:t>
      </w:r>
    </w:p>
    <w:p w14:paraId="1A352FB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2.乙方不履行本合同义务，经甲方书面通知后 7 日内仍未履行的。</w:t>
      </w:r>
    </w:p>
    <w:p w14:paraId="1D43CD9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3.在约定的交货日前 7 日，甲方书面通知乙方的。</w:t>
      </w:r>
    </w:p>
    <w:p w14:paraId="70AF5D8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4.乙方发生破产清算、注销或吊销营业执照等情形的。</w:t>
      </w:r>
    </w:p>
    <w:p w14:paraId="0E00F72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5.本合同约定的其他甲方解除合同的情形。 </w:t>
      </w:r>
    </w:p>
    <w:p w14:paraId="1D2D42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发生如下任何一种情形的，乙方有权解除合同且无需承担违约责任：</w:t>
      </w:r>
    </w:p>
    <w:p w14:paraId="0EDF5C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1.甲方违反本合同义务，经乙方书面通知后 7 日内仍未纠正的。</w:t>
      </w:r>
    </w:p>
    <w:p w14:paraId="67612D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2.甲方不履行本合同义务，经乙方书面通知后 7 日内仍未履行的。</w:t>
      </w:r>
    </w:p>
    <w:p w14:paraId="328186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3.甲方发生破产清算、注销或吊销营业执照等情形的。</w:t>
      </w:r>
    </w:p>
    <w:p w14:paraId="2AF40B5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4.本合同约定的其他乙方解除合同的情形。 </w:t>
      </w:r>
    </w:p>
    <w:p w14:paraId="1F82736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七、</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违约责任 </w:t>
      </w:r>
    </w:p>
    <w:p w14:paraId="2A6EA0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合同履行过程中双方应加强沟通，因乙方原因未按照合同规定的时间、数量及甲方通知的调运计划发运燃煤的，乙方应承担由此造成的经济损失。乙方逾期交付超过7日的，甲方有权解除合同。 </w:t>
      </w:r>
    </w:p>
    <w:p w14:paraId="188C112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甲方发现乙方来煤煤质异常时，应立即电话通知乙方合同中确定的联系人，乙方应及时赶到现场处理。若乙方接到通知后8小时内未赶到现场或未作任何回复即视为乙方接受甲方处理结果，甲方应做好通知乙方的记录台账并存档备查。 </w:t>
      </w:r>
    </w:p>
    <w:p w14:paraId="6F15EEE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因乙方提供的燃煤不符合本合同质量要求导致甲方缺煤停机或造成设备异常损坏的，乙方应采取更换、补发符合合同约定的燃煤，并承担由此产生的费用，给甲方造成的经济损失应予以全额赔偿，甲方有权解除合同。 </w:t>
      </w:r>
    </w:p>
    <w:p w14:paraId="7E8881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甲、乙双方应严格履行本合同。任何一方不履行本合同义务或履行本合同义务不符合本合同约定的，应按《中华人民共和国民法典》的规定承担继续履行、采取补救措施和赔偿守约方损失等违约责任。</w:t>
      </w:r>
    </w:p>
    <w:p w14:paraId="52A89D4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五</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双方约定的其他条款：</w:t>
      </w:r>
    </w:p>
    <w:p w14:paraId="05555F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乙方可选择以下任何一种方式向甲方交纳合同履约保证金：</w:t>
      </w:r>
    </w:p>
    <w:p w14:paraId="13F87317">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仿宋_GB2312" w:hAnsi="仿宋_GB2312" w:eastAsia="仿宋_GB2312" w:cs="仿宋_GB2312"/>
          <w:color w:val="000000"/>
          <w:kern w:val="0"/>
          <w:sz w:val="28"/>
          <w:szCs w:val="28"/>
        </w:rPr>
      </w:pPr>
      <w:r>
        <w:rPr>
          <w:rFonts w:hint="eastAsia" w:ascii="宋体" w:hAnsi="宋体" w:eastAsia="宋体" w:cs="宋体"/>
          <w:color w:val="000000"/>
          <w:kern w:val="0"/>
          <w:sz w:val="21"/>
          <w:szCs w:val="21"/>
          <w:lang w:val="en-US" w:eastAsia="zh-CN"/>
        </w:rPr>
        <w:t>（1）</w:t>
      </w:r>
      <w:r>
        <w:rPr>
          <w:rFonts w:hint="eastAsia" w:ascii="宋体" w:hAnsi="宋体" w:eastAsia="宋体" w:cs="宋体"/>
          <w:b/>
          <w:bCs/>
          <w:color w:val="000000"/>
          <w:kern w:val="0"/>
          <w:sz w:val="21"/>
          <w:szCs w:val="21"/>
        </w:rPr>
        <w:t>履约保证金：</w:t>
      </w:r>
    </w:p>
    <w:p w14:paraId="104A4095">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1）乙方需在收到甲方发出的《中标通知书》7个工作日内向甲方交纳履约保证金</w:t>
      </w:r>
      <w:r>
        <w:rPr>
          <w:rFonts w:hint="eastAsia" w:ascii="宋体" w:hAnsi="宋体" w:cs="宋体"/>
          <w:color w:val="000000"/>
          <w:kern w:val="0"/>
          <w:sz w:val="21"/>
          <w:szCs w:val="21"/>
          <w:lang w:val="en-US" w:eastAsia="zh-CN"/>
        </w:rPr>
        <w:t>30</w:t>
      </w:r>
      <w:r>
        <w:rPr>
          <w:rFonts w:hint="eastAsia" w:ascii="宋体" w:hAnsi="宋体" w:eastAsia="宋体" w:cs="宋体"/>
          <w:color w:val="000000"/>
          <w:kern w:val="0"/>
          <w:sz w:val="21"/>
          <w:szCs w:val="21"/>
          <w:lang w:val="en-US" w:eastAsia="zh-CN"/>
        </w:rPr>
        <w:t>0,000元（大写：人民币</w:t>
      </w:r>
      <w:r>
        <w:rPr>
          <w:rFonts w:hint="eastAsia" w:ascii="宋体" w:hAnsi="宋体" w:cs="宋体"/>
          <w:color w:val="000000"/>
          <w:kern w:val="0"/>
          <w:sz w:val="21"/>
          <w:szCs w:val="21"/>
          <w:lang w:val="en-US" w:eastAsia="zh-CN"/>
        </w:rPr>
        <w:t>叁</w:t>
      </w:r>
      <w:r>
        <w:rPr>
          <w:rFonts w:hint="eastAsia" w:ascii="宋体" w:hAnsi="宋体" w:eastAsia="宋体" w:cs="宋体"/>
          <w:color w:val="000000"/>
          <w:kern w:val="0"/>
          <w:sz w:val="21"/>
          <w:szCs w:val="21"/>
          <w:lang w:val="en-US" w:eastAsia="zh-CN"/>
        </w:rPr>
        <w:t>拾万元整），乙方在收到《中标通知书》7个工作日内需通过银行电汇形式将履约保证金交纳到甲方指定账户，甲方在接到乙方交纳履约保证金相关凭证后，方可签订合同。</w:t>
      </w:r>
    </w:p>
    <w:p w14:paraId="40F976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乙方履行完合同后，由乙方提出书面申请，甲方于10个工作日内无息返还履约保证金。因甲方调运原因、环保原因、降价原因、极端天气或者发生不可抗力事故造成合同无法履行的，履约保证金全部无息退还。乙方供应燃煤与合同煤质严重不符的，甲方有权停止采购乙方燃煤，并扣除全部履约保证金。本次保证金只接受现汇，不接受银行保函、现金等其他形式保证金。保证金交纳账户：</w:t>
      </w:r>
    </w:p>
    <w:p w14:paraId="248BF3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名  称：</w:t>
      </w:r>
      <w:r>
        <w:rPr>
          <w:rFonts w:hint="eastAsia" w:ascii="宋体" w:hAnsi="宋体" w:cs="宋体"/>
          <w:color w:val="000000"/>
          <w:kern w:val="0"/>
          <w:sz w:val="21"/>
          <w:szCs w:val="21"/>
          <w:lang w:val="en-US" w:eastAsia="zh-CN"/>
        </w:rPr>
        <w:t>XXXXXXXX</w:t>
      </w:r>
      <w:r>
        <w:rPr>
          <w:rFonts w:hint="eastAsia" w:ascii="宋体" w:hAnsi="宋体" w:eastAsia="宋体" w:cs="宋体"/>
          <w:color w:val="000000"/>
          <w:kern w:val="0"/>
          <w:sz w:val="21"/>
          <w:szCs w:val="21"/>
          <w:lang w:val="en-US" w:eastAsia="zh-CN"/>
        </w:rPr>
        <w:t>公司</w:t>
      </w:r>
    </w:p>
    <w:p w14:paraId="0377ED1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开户行： </w:t>
      </w:r>
    </w:p>
    <w:p w14:paraId="161993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账  号: </w:t>
      </w:r>
    </w:p>
    <w:p w14:paraId="15B90546">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b/>
          <w:bCs/>
          <w:color w:val="000000"/>
          <w:kern w:val="0"/>
          <w:sz w:val="21"/>
          <w:szCs w:val="21"/>
          <w:lang w:val="en-US" w:eastAsia="zh-CN"/>
        </w:rPr>
        <w:t>同等价值的燃煤</w:t>
      </w:r>
    </w:p>
    <w:p w14:paraId="6308A0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乙方在收到甲方发出的《中标通知书》之日起7个工作日内向甲方供应与保证金同等价值及以上的燃煤作为本合同履约保证金；</w:t>
      </w:r>
    </w:p>
    <w:p w14:paraId="3609A6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乙方收到甲方发出的《中标通知书》7个工作日后，甲方按本合同条款加权或单批次核算乙方所供应的燃煤是否等同或大于履约保证金价值；若乙方供应的燃煤等于或大于履约保证金价值，则甲方与乙方签订本合同；若乙方供应的燃煤小于保证金价值，则乙方可选择与甲方签订合同，但在合同办理结算时，需扣除不足合同履约保证金价值的煤款，乙方也可选择放弃与甲方签订合同，则乙方已供应到甲方的燃煤不做结算；</w:t>
      </w:r>
    </w:p>
    <w:p w14:paraId="3F8C31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乙方收到甲方发出的《中标通知书》7个工作日内，已向甲方供应燃煤，但供应价值不足履约保证金的情况下，乙方可选择在收到甲方发出的《中标通知书》7个工作日内向甲方交纳全额履约保证金，保证金在规定时间交纳后，乙方已向甲方供应的燃煤纳入全合同量按合同条款结算；</w:t>
      </w:r>
    </w:p>
    <w:p w14:paraId="28A6EF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乙方向甲方供应的同等价值的燃煤具有和履约保证金相等的效用，乙方所供应同等履约保证金价值的燃煤纳入全合同量按合同条款结算，在乙方履约合同时涉及到本合同保证金扣罚条款时，甲方在结算的总煤款中扣除。</w:t>
      </w:r>
    </w:p>
    <w:p w14:paraId="4780328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八、不可抗力 </w:t>
      </w:r>
    </w:p>
    <w:p w14:paraId="56B2DC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在本合同履行过程中，如遇不可抗力（包括但不限于自然灾害、战争、政府征用、没收等不可预见、不能克服、不能避免的事件与因素）致使合同无法正常履行的，甲乙双方对此均不承担违约责任。  </w:t>
      </w:r>
    </w:p>
    <w:p w14:paraId="57942A5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不可抗力发生后，不能正常履行合同的一方应在 7 个工作日内将情况通知另外一方，并有义务采取合理措施将损失降到最低，同时应在不可抗力事件停止或影响消除后 7 个工作日内向另外一方提供相应书面证明。 </w:t>
      </w:r>
    </w:p>
    <w:p w14:paraId="37C17EC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不可抗力事件停止或影响消除后，对于本合同相关的约定事项是否延期履行、部分履行或解除本合同，由双方协商解决。</w:t>
      </w:r>
    </w:p>
    <w:p w14:paraId="24A428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如果一方已发出不可抗力通知，且不可抗力事件已不间断地持续达90天，则任何一方均有权在向对方发出终止通知后终止本合同。 </w:t>
      </w:r>
    </w:p>
    <w:p w14:paraId="72E00FB4">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九、</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争议解决 </w:t>
      </w:r>
    </w:p>
    <w:p w14:paraId="4D08D39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本合同在履行过程中发生争议，通过协商解决，协商不成，按以下方式解决：</w:t>
      </w:r>
    </w:p>
    <w:p w14:paraId="512DC5A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向甲方住所地人民法院起诉</w:t>
      </w:r>
      <w:r>
        <w:rPr>
          <w:rFonts w:hint="eastAsia" w:ascii="宋体" w:hAnsi="宋体" w:cs="宋体"/>
          <w:color w:val="000000"/>
          <w:kern w:val="0"/>
          <w:sz w:val="21"/>
          <w:szCs w:val="21"/>
          <w:lang w:eastAsia="zh-CN"/>
        </w:rPr>
        <w:t>；</w:t>
      </w:r>
    </w:p>
    <w:p w14:paraId="411473F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乙方对化验数据若有异议，应于供煤批次10日内书面提出复查申请，双方共同提取存查样至贵州省燃煤产品质量监督检验院进行仲裁化验，逾期则以甲方数据为准。仲裁结果若超出国标允许误差，则以仲裁结果为结算依据，仲裁化验费用由甲方承担；仲裁结果若未超出国标允许误差，则以甲方结果为结算依据，仲裁化验费用由乙方承担。</w:t>
      </w:r>
    </w:p>
    <w:p w14:paraId="50E5080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在诉讼或仲裁期间，本合同不涉及争议部分的条款仍须履行。 </w:t>
      </w:r>
    </w:p>
    <w:p w14:paraId="0BBD0EC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十、</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合同生效及其他 </w:t>
      </w:r>
    </w:p>
    <w:p w14:paraId="5EAA568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本合同自双方法定代表人签字或加盖法人章（授权委托人签字）并加盖公章或合同章之日起生效</w:t>
      </w:r>
      <w:r>
        <w:rPr>
          <w:rFonts w:hint="eastAsia" w:ascii="宋体" w:hAnsi="宋体" w:eastAsia="宋体" w:cs="宋体"/>
          <w:kern w:val="0"/>
          <w:sz w:val="21"/>
          <w:szCs w:val="21"/>
        </w:rPr>
        <w:t xml:space="preserve">。 </w:t>
      </w:r>
    </w:p>
    <w:p w14:paraId="7751EF7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双方约定本合同其他相关事项为：</w:t>
      </w:r>
    </w:p>
    <w:p w14:paraId="1450E56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乙方须对当日来煤进行核对，若现场未提出异议的，则不得对任何修改；</w:t>
      </w:r>
    </w:p>
    <w:p w14:paraId="61621F7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有关本合同的任何修改均应以书面形式做出，并经本合同双方法定代表人或其授权代表签字或加盖法人章（授权委托人签字）并加盖公章或合同章</w:t>
      </w:r>
      <w:r>
        <w:rPr>
          <w:rFonts w:hint="eastAsia" w:ascii="宋体" w:hAnsi="宋体" w:cs="宋体"/>
          <w:color w:val="000000"/>
          <w:kern w:val="0"/>
          <w:sz w:val="21"/>
          <w:szCs w:val="21"/>
          <w:lang w:val="en-US" w:eastAsia="zh-CN"/>
        </w:rPr>
        <w:t>后</w:t>
      </w:r>
      <w:r>
        <w:rPr>
          <w:rFonts w:hint="eastAsia" w:ascii="宋体" w:hAnsi="宋体" w:eastAsia="宋体" w:cs="宋体"/>
          <w:color w:val="000000"/>
          <w:kern w:val="0"/>
          <w:sz w:val="21"/>
          <w:szCs w:val="21"/>
        </w:rPr>
        <w:t>生效；</w:t>
      </w:r>
    </w:p>
    <w:p w14:paraId="4D20E1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本合同任何条款的无效，除导致该条款及与该无效条款相关的条款无效外，不应影响本合同任何其它条款的效力；</w:t>
      </w:r>
    </w:p>
    <w:p w14:paraId="1E01C8A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本合同构成双方就本合同标的事宜达成的全部协议，并取代此前就该标的事宜所达成的所有书面或口头的协议，合同或其他形式的文件；</w:t>
      </w:r>
    </w:p>
    <w:p w14:paraId="34D7F6E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任何一方如需将其在本合同下的任何权利或义务转让给第三方均需征得对方的书面同意；</w:t>
      </w:r>
    </w:p>
    <w:p w14:paraId="0632842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本合同对双方的任何承继者和经允许的受让人亦具有约束力,该承继者或受让人应承担出让方在本合同下的所有责任和义务,如同其为本合同的原始签订者一样；</w:t>
      </w:r>
    </w:p>
    <w:p w14:paraId="7E1F835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eastAsia="宋体" w:cs="宋体"/>
          <w:color w:val="000000"/>
          <w:kern w:val="0"/>
          <w:sz w:val="21"/>
          <w:szCs w:val="21"/>
        </w:rPr>
        <w:t>双方之间有关本合同的任何通知应以电子邮件的方式进行确认。相关通知及函一旦成功发送至乙方指定邮箱,即视为其确认收到；</w:t>
      </w:r>
    </w:p>
    <w:p w14:paraId="1FD622E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乙方在供煤过程中必须全程覆盖抑尘网进厂；</w:t>
      </w:r>
    </w:p>
    <w:p w14:paraId="7AC094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司乘人员必须遵守交规，进入厂区后要遵守厂规厂纪，遵守XX有限责任公司汽车运输接卸制度，途中和在甲方区域内发生一切事故均由乙方自负，与甲方无关；</w:t>
      </w:r>
    </w:p>
    <w:p w14:paraId="42531B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rPr>
        <w:t>乙方不得采用前后轮距超过11.8米的拖挂车进行运输，不得采用平板车进行运输、不得组织民工进行卸煤，若私自使用平板车运输则甲方有权拒绝入厂卸车；</w:t>
      </w:r>
    </w:p>
    <w:p w14:paraId="2C7C5F2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11.</w:t>
      </w:r>
      <w:r>
        <w:rPr>
          <w:rFonts w:hint="eastAsia" w:ascii="宋体" w:hAnsi="宋体" w:eastAsia="宋体" w:cs="宋体"/>
          <w:color w:val="000000"/>
          <w:kern w:val="0"/>
          <w:sz w:val="21"/>
          <w:szCs w:val="21"/>
        </w:rPr>
        <w:t>本合同一式</w:t>
      </w:r>
      <w:r>
        <w:rPr>
          <w:rFonts w:hint="eastAsia" w:ascii="宋体" w:hAnsi="宋体" w:cs="宋体"/>
          <w:color w:val="000000"/>
          <w:kern w:val="0"/>
          <w:sz w:val="21"/>
          <w:szCs w:val="21"/>
          <w:lang w:val="en-US" w:eastAsia="zh-CN"/>
        </w:rPr>
        <w:t>七</w:t>
      </w:r>
      <w:r>
        <w:rPr>
          <w:rFonts w:hint="eastAsia" w:ascii="宋体" w:hAnsi="宋体" w:eastAsia="宋体" w:cs="宋体"/>
          <w:color w:val="000000"/>
          <w:kern w:val="0"/>
          <w:sz w:val="21"/>
          <w:szCs w:val="21"/>
        </w:rPr>
        <w:t>份，甲方执四份，乙方</w:t>
      </w:r>
      <w:r>
        <w:rPr>
          <w:rFonts w:hint="eastAsia" w:ascii="宋体" w:hAnsi="宋体" w:cs="宋体"/>
          <w:color w:val="000000"/>
          <w:kern w:val="0"/>
          <w:sz w:val="21"/>
          <w:szCs w:val="21"/>
          <w:lang w:val="en-US" w:eastAsia="zh-CN"/>
        </w:rPr>
        <w:t>三</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val="en-US" w:eastAsia="zh-CN"/>
        </w:rPr>
        <w:t>合同附件双方</w:t>
      </w:r>
      <w:r>
        <w:rPr>
          <w:rFonts w:hint="eastAsia" w:ascii="宋体" w:hAnsi="宋体" w:eastAsia="宋体" w:cs="宋体"/>
          <w:color w:val="000000"/>
          <w:kern w:val="0"/>
          <w:sz w:val="21"/>
          <w:szCs w:val="21"/>
        </w:rPr>
        <w:t>各</w:t>
      </w:r>
      <w:r>
        <w:rPr>
          <w:rFonts w:hint="eastAsia" w:ascii="宋体" w:hAnsi="宋体" w:eastAsia="宋体" w:cs="宋体"/>
          <w:color w:val="000000"/>
          <w:kern w:val="0"/>
          <w:sz w:val="21"/>
          <w:szCs w:val="21"/>
          <w:lang w:val="en-US" w:eastAsia="zh-CN"/>
        </w:rPr>
        <w:t>执</w:t>
      </w:r>
      <w:r>
        <w:rPr>
          <w:rFonts w:hint="eastAsia" w:ascii="宋体" w:hAnsi="宋体" w:cs="宋体"/>
          <w:color w:val="000000"/>
          <w:kern w:val="0"/>
          <w:sz w:val="21"/>
          <w:szCs w:val="21"/>
          <w:lang w:val="en-US" w:eastAsia="zh-CN"/>
        </w:rPr>
        <w:t>一</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均具有同等法律效力。</w:t>
      </w:r>
    </w:p>
    <w:p w14:paraId="42E6C5D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以上条款请双方认真阅读，一经签字确认视为同意本合同条款。 </w:t>
      </w:r>
    </w:p>
    <w:p w14:paraId="70B94C4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 本合同中的未尽事宜可由双方签订补充协议另行补充约定。</w:t>
      </w:r>
    </w:p>
    <w:p w14:paraId="764A57B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（五）</w:t>
      </w:r>
      <w:r>
        <w:rPr>
          <w:rFonts w:hint="eastAsia" w:ascii="宋体" w:hAnsi="宋体" w:eastAsia="宋体" w:cs="宋体"/>
          <w:color w:val="000000"/>
          <w:kern w:val="0"/>
          <w:sz w:val="21"/>
          <w:szCs w:val="21"/>
          <w:lang w:val="en-US" w:eastAsia="zh-CN"/>
        </w:rPr>
        <w:t>附件</w:t>
      </w:r>
    </w:p>
    <w:p w14:paraId="7366C0B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附件1：</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安全生产管理协议书</w:t>
      </w:r>
      <w:r>
        <w:rPr>
          <w:rFonts w:hint="eastAsia" w:ascii="宋体" w:hAnsi="宋体" w:eastAsia="宋体" w:cs="宋体"/>
          <w:color w:val="000000"/>
          <w:kern w:val="0"/>
          <w:sz w:val="21"/>
          <w:szCs w:val="21"/>
          <w:lang w:eastAsia="zh-CN"/>
        </w:rPr>
        <w:t>》</w:t>
      </w:r>
    </w:p>
    <w:p w14:paraId="69709F0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附件2：</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廉洁协议》</w:t>
      </w:r>
    </w:p>
    <w:p w14:paraId="72F1CDDA">
      <w:pPr>
        <w:pStyle w:val="8"/>
        <w:keepNext w:val="0"/>
        <w:keepLines w:val="0"/>
        <w:pageBreakBefore w:val="0"/>
        <w:kinsoku/>
        <w:wordWrap/>
        <w:overflowPunct/>
        <w:topLinePunct w:val="0"/>
        <w:autoSpaceDE/>
        <w:autoSpaceDN/>
        <w:bidi w:val="0"/>
        <w:adjustRightInd/>
        <w:spacing w:line="360" w:lineRule="auto"/>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附件3：</w:t>
      </w:r>
      <w:r>
        <w:rPr>
          <w:rFonts w:hint="eastAsia" w:ascii="宋体" w:hAnsi="宋体" w:eastAsia="宋体" w:cs="宋体"/>
          <w:color w:val="000000"/>
          <w:kern w:val="0"/>
          <w:sz w:val="21"/>
          <w:szCs w:val="21"/>
          <w:lang w:val="zh-CN"/>
        </w:rPr>
        <w:t>贵州钟山野马寨热电有限责任公司《入厂煤煤质异常及纠纷处理</w:t>
      </w:r>
      <w:r>
        <w:rPr>
          <w:rFonts w:hint="eastAsia" w:ascii="宋体" w:hAnsi="宋体" w:eastAsia="宋体" w:cs="宋体"/>
          <w:color w:val="000000"/>
          <w:kern w:val="0"/>
          <w:sz w:val="21"/>
          <w:szCs w:val="21"/>
          <w:lang w:val="en-US" w:eastAsia="zh-CN"/>
        </w:rPr>
        <w:t>办法》</w:t>
      </w:r>
    </w:p>
    <w:p w14:paraId="2515218B">
      <w:pPr>
        <w:pStyle w:val="8"/>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（以下无正文，下接签署页）</w:t>
      </w:r>
    </w:p>
    <w:p w14:paraId="59B25D7B">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p>
    <w:p w14:paraId="44B91E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签署页：</w:t>
      </w:r>
    </w:p>
    <w:p w14:paraId="095858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7EADFA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6660D6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EFDAB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甲方：XX有限公司（公章）                               </w:t>
      </w:r>
    </w:p>
    <w:p w14:paraId="3E660F2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lang w:val="en-US" w:eastAsia="zh-CN"/>
        </w:rPr>
        <w:t>或盖法人章</w:t>
      </w:r>
      <w:r>
        <w:rPr>
          <w:rFonts w:hint="eastAsia" w:ascii="宋体" w:hAnsi="宋体" w:eastAsia="宋体" w:cs="宋体"/>
          <w:color w:val="000000"/>
          <w:kern w:val="0"/>
          <w:sz w:val="21"/>
          <w:szCs w:val="21"/>
        </w:rPr>
        <w:t>）：</w:t>
      </w:r>
      <w:r>
        <w:rPr>
          <w:rFonts w:hint="eastAsia" w:ascii="宋体" w:hAnsi="宋体" w:cs="宋体"/>
          <w:color w:val="000000"/>
          <w:kern w:val="0"/>
          <w:sz w:val="21"/>
          <w:szCs w:val="21"/>
          <w:u w:val="single"/>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p>
    <w:p w14:paraId="0BD5916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税号：</w:t>
      </w:r>
    </w:p>
    <w:p w14:paraId="7CEA789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地址及电话：</w:t>
      </w:r>
    </w:p>
    <w:p w14:paraId="3E56238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开户行及账号：        </w:t>
      </w:r>
    </w:p>
    <w:p w14:paraId="203B8F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w:t>
      </w:r>
    </w:p>
    <w:p w14:paraId="0ADE97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09547CE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751A47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3EB383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BFE277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乙方：XX有限公司（公章）                        </w:t>
      </w:r>
    </w:p>
    <w:p w14:paraId="3F6A85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lang w:val="en-US" w:eastAsia="zh-CN"/>
        </w:rPr>
        <w:t>或盖法人章</w:t>
      </w:r>
      <w:r>
        <w:rPr>
          <w:rFonts w:hint="eastAsia" w:ascii="宋体" w:hAnsi="宋体" w:eastAsia="宋体" w:cs="宋体"/>
          <w:color w:val="000000"/>
          <w:kern w:val="0"/>
          <w:sz w:val="21"/>
          <w:szCs w:val="21"/>
        </w:rPr>
        <w:t>）：</w:t>
      </w:r>
      <w:r>
        <w:rPr>
          <w:rFonts w:hint="eastAsia" w:ascii="宋体" w:hAnsi="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 xml:space="preserve">                          </w:t>
      </w:r>
    </w:p>
    <w:p w14:paraId="0EDA6E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开户银行：</w:t>
      </w:r>
    </w:p>
    <w:p w14:paraId="07CAD6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开户账号：</w:t>
      </w:r>
    </w:p>
    <w:p w14:paraId="3C3C418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纳税识别号：</w:t>
      </w:r>
    </w:p>
    <w:p w14:paraId="2862C88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联系人： </w:t>
      </w:r>
    </w:p>
    <w:p w14:paraId="3A1AD3F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75E4074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085FFAC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20C1F4BF">
      <w:pPr>
        <w:spacing w:line="300" w:lineRule="auto"/>
        <w:jc w:val="left"/>
        <w:rPr>
          <w:rFonts w:hint="eastAsia" w:ascii="黑体" w:hAnsi="黑体" w:eastAsia="黑体" w:cs="黑体"/>
          <w:sz w:val="28"/>
          <w:szCs w:val="28"/>
          <w:lang w:val="en-US" w:eastAsia="zh-CN"/>
        </w:rPr>
      </w:pPr>
      <w:bookmarkStart w:id="27" w:name="_Toc11294"/>
      <w:r>
        <w:rPr>
          <w:rFonts w:hint="eastAsia" w:ascii="黑体" w:hAnsi="黑体" w:eastAsia="黑体" w:cs="黑体"/>
          <w:sz w:val="28"/>
          <w:szCs w:val="28"/>
          <w:lang w:val="en-US" w:eastAsia="zh-CN"/>
        </w:rPr>
        <w:t>附件1：</w:t>
      </w:r>
    </w:p>
    <w:p w14:paraId="6039F39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贵州钟山野马寨热电有限责任公司</w:t>
      </w:r>
    </w:p>
    <w:p w14:paraId="4338300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安全生产管理协议书</w:t>
      </w:r>
    </w:p>
    <w:p w14:paraId="55013DB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6C0E22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合同名称：贵州钟山野马寨热电有限责任公司燃煤采购项目合同</w:t>
      </w:r>
    </w:p>
    <w:p w14:paraId="0A81F07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合同编号：ZSRD-RL-2025-</w:t>
      </w:r>
      <w:r>
        <w:rPr>
          <w:rFonts w:hint="eastAsia" w:hAnsi="宋体" w:cs="宋体"/>
          <w:color w:val="auto"/>
          <w:sz w:val="21"/>
          <w:szCs w:val="21"/>
          <w:lang w:val="en-US" w:eastAsia="zh-CN"/>
        </w:rPr>
        <w:t>XXX</w:t>
      </w:r>
    </w:p>
    <w:p w14:paraId="278D7F5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    方：贵州钟山野马寨热电有限责任公司</w:t>
      </w:r>
    </w:p>
    <w:p w14:paraId="3EA85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w:t>
      </w:r>
      <w:r>
        <w:rPr>
          <w:rFonts w:hint="eastAsia" w:hAnsi="宋体" w:cs="宋体"/>
          <w:color w:val="auto"/>
          <w:sz w:val="21"/>
          <w:szCs w:val="21"/>
          <w:lang w:val="en-US" w:eastAsia="zh-CN"/>
        </w:rPr>
        <w:t>XXXXXXXX</w:t>
      </w:r>
      <w:r>
        <w:rPr>
          <w:rFonts w:hint="eastAsia" w:ascii="宋体" w:hAnsi="宋体" w:eastAsia="宋体" w:cs="宋体"/>
          <w:color w:val="auto"/>
          <w:sz w:val="21"/>
          <w:szCs w:val="21"/>
          <w:lang w:val="en-US" w:eastAsia="zh-CN"/>
        </w:rPr>
        <w:t>公司</w:t>
      </w:r>
    </w:p>
    <w:p w14:paraId="06964D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0D3024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鉴于甲乙双方签订燃煤购销合同，甲方是电力生产企业，需要采购燃煤作为发电的主要原料，乙方是燃煤供应商，有能力向甲方提供所需的燃煤。为了明确双方的权利和义务，确保燃煤供应的顺利进行。同时为贯彻“安全第一、预防为主、综合治理”的安全生产方针，明确甲、乙双方的安全责任，提高野马寨电厂现场安全文明管理水平，保障电厂及从业人员的安全，根据国家有关法律法规及双方行业有关安全文明管理的规程、规定，结合本项目的特点，经甲、乙双方协商，达成如下协议。</w:t>
      </w:r>
    </w:p>
    <w:p w14:paraId="7D89FD9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一、协议目的</w:t>
      </w:r>
    </w:p>
    <w:p w14:paraId="4389CA0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本协议旨在确保燃煤供应过程中的环保、安全等，预防并减少因燃煤供应不当而可能引发的各类安全事故，保障双方的生产及运输安全。</w:t>
      </w:r>
    </w:p>
    <w:p w14:paraId="7D362D6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二、甲方的责任</w:t>
      </w:r>
    </w:p>
    <w:p w14:paraId="20D654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（一）甲方需向乙方提供明确的燃煤需求和质量要求，确保乙方能够按照要求供应燃煤。</w:t>
      </w:r>
    </w:p>
    <w:p w14:paraId="15264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（二）甲方告知乙方运输车辆入厂管理规定；乙方人员应遵守入厂如下告知注意事项：</w:t>
      </w:r>
    </w:p>
    <w:p w14:paraId="204A9D6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1.乙方运煤司机要严格遵守甲方公司管理规定，服从现场工作人员的安排，不发生插队、阻塞通道、打架斗殴等违反甲方公司规章制度的行为。</w:t>
      </w:r>
    </w:p>
    <w:p w14:paraId="1F703F2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2.乙方司机对现场管理或值班人员进行辱骂、威胁等人身攻击行为，影响恶劣者将按照甲方公司制度严重处理，并将车辆拉入黑名单。</w:t>
      </w:r>
    </w:p>
    <w:p w14:paraId="2B108D4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3.乙方人员进入厂区必须正确佩戴安全帽，穿戴带反光标识的衣服，不得穿凉鞋、拖鞋、高跟鞋等。</w:t>
      </w:r>
    </w:p>
    <w:p w14:paraId="0790BE9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4.严禁乙方司机带无关人员进入厂区，生产现场禁止吸烟。</w:t>
      </w:r>
    </w:p>
    <w:p w14:paraId="2F8736B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5.严禁酒后驾驶车辆，不得在卸料时吸烟、饮食、打电话或有其他影响安全卸料的行为。</w:t>
      </w:r>
    </w:p>
    <w:p w14:paraId="6EA0758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6.身体过度疲劳或患病有碍行车安全时，不得驾驶车辆进厂。</w:t>
      </w:r>
    </w:p>
    <w:p w14:paraId="5E23AC1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7.乙方车辆出厂前，必须对车身、轮胎进行彻底冲洗才能出厂。8.乙方车辆从电厂后门岗至桥头路段限速20km/h，超速罚停2</w:t>
      </w:r>
    </w:p>
    <w:p w14:paraId="21A6E1C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个小时。乙方车辆进入厂区应提前减速，厂区最高行驶速度5km/h。</w:t>
      </w:r>
    </w:p>
    <w:p w14:paraId="044EBA7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9.乙方车辆应全程覆盖篷布，若未按要求覆盖篷布，则罚停2个小时。</w:t>
      </w:r>
    </w:p>
    <w:p w14:paraId="01B8E4A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10.乙方车辆上汽车衡前应关闭车辆各外排水，过磅时，车辆停稳后熄火、下车，人不得站在秤台上，称重完成后车辆再驶离秤台。</w:t>
      </w:r>
    </w:p>
    <w:p w14:paraId="06BFE31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11.司机必须配合计量、采样人员对车辆进行检查。</w:t>
      </w:r>
    </w:p>
    <w:p w14:paraId="7B19265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12.运煤司机、供应商代表不得干扰计量、采制工作。</w:t>
      </w:r>
    </w:p>
    <w:p w14:paraId="1381810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13.乙方运煤司机及供应商禁止在现场拍照；处理纠纷时，可以对处理的煤样、采样情况拍照，但不得针对采样人员、监督人员拍照。</w:t>
      </w:r>
    </w:p>
    <w:p w14:paraId="317140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14.乙方运煤车辆在货箱底部有余煤未卸干净时，不得以急倒车的方式卸余煤，以免发生人身及车辆事故，货箱底部余煤由司机开到指定地点用铲子卸尽。</w:t>
      </w:r>
    </w:p>
    <w:p w14:paraId="0629BA7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15.乙方运输车辆禁止以排水等方式减少车辆皮重的行为，若经发现，扣除5吨/次，按煤价（元/吨）从运输费用里扣除。</w:t>
      </w:r>
    </w:p>
    <w:p w14:paraId="3561228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16.司机不得在现场扎堆、影响现场生产工作；不准离开规定区域，进入其他生产现场。</w:t>
      </w:r>
    </w:p>
    <w:p w14:paraId="34B65D8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17.煤场卸煤时，司机在卸煤过程中要与工程机械设备保持一定的安全距离。</w:t>
      </w:r>
    </w:p>
    <w:p w14:paraId="13EF62A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18.司机在生产现场撞毁、损坏现场设施、设备及建筑物等，按原价进行赔偿。</w:t>
      </w:r>
    </w:p>
    <w:p w14:paraId="3B9C810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19.运输通行卡（IC卡）由燃料部现场统一制卡，每张IC卡对应一辆车和车牌号。车辆进厂后进行制卡（要求司机必须持有来煤户头：公司全称），制完卡后，司机进行刷卡过磅、卸煤除皮后司机返还IC卡。</w:t>
      </w:r>
    </w:p>
    <w:p w14:paraId="2547335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20.运输通行卡（IC卡）发放后，因个人原因遗失或损坏，司机按原价赔偿50元/张。</w:t>
      </w:r>
    </w:p>
    <w:p w14:paraId="4354E0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甲方为了确保煤场现场安全、规范管理和汽车卸煤工作的顺利进行，防止人身伤害和车辆损坏事故的发生，根据公司规章制度的相关规定和煤场实际情况要求，制定煤车进、出煤场的汽车卸煤安全防范措施及管理规定，乙方人员应遵守甲方安全防范措施及管理规定：</w:t>
      </w:r>
    </w:p>
    <w:p w14:paraId="75B44DC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相关人员及司机必须严格遵守《电力安全工作规程》及甲方公司各项规章制度的要求，进入煤场违规者，煤场管理人员有权予以清退出场。煤场外等待卸煤的车辆应排列整齐，司机应在车内、煤场外或者到指定的位置休息待命，煤场内、外严禁随地乱扔垃圾。</w:t>
      </w:r>
    </w:p>
    <w:p w14:paraId="74A0DA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进入煤场的车辆和司机必须服从煤场管理人员指挥，按照煤场管理人员指定位置安全停放车辆，进入煤场的车辆上无关人员应待在车内，确保汽车安全正常顺利卸煤和作业车辆安全作业;特殊情况，运煤车辆司机可通过供煤单位管理人员或者车队负责人与煤场管理人员商定执行。</w:t>
      </w:r>
    </w:p>
    <w:p w14:paraId="0009A01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为确保汽车卸煤工作安全正常顺利进行，煤场管理人员必须严格控制进出煤场的车辆和人员，对在煤场内出现问题的车辆应积极配合解决，正在卸煤车辆周围严禁站人;出现问题的车辆，司机应尽快通知供煤单位管理人员或者车队负责人与煤场管理人员协商解决，避免堵塞通道。</w:t>
      </w:r>
    </w:p>
    <w:p w14:paraId="768BBC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乙方进出煤场的车辆必须按照规定的路线行驶，严禁损坏厂区内公用设施及绿化作物等，运煤车辆必须服从入厂调度（包括行车路线、过磅地点及卸煤地点），运煤车辆须服从煤场验收人员的调度，违者扣煤2吨/次。</w:t>
      </w:r>
    </w:p>
    <w:p w14:paraId="7244720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5.卸煤过程中，必须在人员指挥下才允许卸车，自卸车卸车时不得一次将车厢升到顶，应分两次以上进行。</w:t>
      </w:r>
    </w:p>
    <w:p w14:paraId="521B04F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6.为防止自卸车卸车过程中车辆意外翻车造成人员及设备伤害，自卸车并列卸车时两车必须留有足够的安全距离(大于八米)，卸车过程中人员不得靠近车辆(安全距离大于八米)。</w:t>
      </w:r>
    </w:p>
    <w:p w14:paraId="21CAC23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7.乙方车辆进入煤场，行驶及过轻、重磅时，行驶速度必须小于5km/h。</w:t>
      </w:r>
    </w:p>
    <w:p w14:paraId="3596C6F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8.除运煤车辆外，其他车辆未经煤场管理人员许可，不得擅自进入收煤现场。</w:t>
      </w:r>
    </w:p>
    <w:p w14:paraId="30C442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过磅煤车进入收煤现场应服从煤场工作人员指挥，严禁候磅煤车插队，严禁倒车上磅。（特殊情况如车辆损坏至采样机处等影响正常收煤流程，需由现场人员监督指挥上磅）。对于不服从指挥、扰乱煤场交通秩序煤车，扣罚供方煤炭2吨/次。</w:t>
      </w:r>
    </w:p>
    <w:p w14:paraId="1FAF79F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10.过重车衡时，驾驶室内人员应全部下车过磅，如还有其他人员在内，扣罚供方煤炭2吨/人次。</w:t>
      </w:r>
    </w:p>
    <w:p w14:paraId="6ECE4AD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11.禁止货主（矿方）人员在收煤现场，需要现场监督的货主（矿方）只允许一名联系人并持有煤场准入证才能进入现场，违者扣罚煤炭2吨/人次。</w:t>
      </w:r>
    </w:p>
    <w:p w14:paraId="6AA4145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12.乙方运煤车辆空车回返时，不得升高斗厢，边开车边抖煤，也不得随意在公路上清除车厢内剩煤。违者扣罚煤炭2吨/次。</w:t>
      </w:r>
    </w:p>
    <w:p w14:paraId="3CB9E6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13.小车严禁驶入煤场，须停入指定停车场，否则将按厂区车辆停放管理制度罚款。</w:t>
      </w:r>
    </w:p>
    <w:p w14:paraId="4F4A465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以上卸煤司机违规者，煤场管理人员可延迟其卸煤、拒绝签收或上报处罚。</w:t>
      </w:r>
    </w:p>
    <w:p w14:paraId="4C2E3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（四）甲方需定期对燃煤存储和设备进行维护和检查，确保其正常运行，防止因设备故障而引发安全事故。</w:t>
      </w:r>
    </w:p>
    <w:p w14:paraId="4196DCE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三、乙方的责任</w:t>
      </w:r>
    </w:p>
    <w:p w14:paraId="64B2E37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（一）乙方需按照甲方的要求供应燃煤，确保燃煤的质量和数量满足甲方的需求。</w:t>
      </w:r>
    </w:p>
    <w:p w14:paraId="12EA4E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（二）乙方需对燃煤的采集、加工和运输过程进行严格的监督和管理，在燃煤供应过程中不出现任何环保、安全问题。若出现环保、安全等事件由乙方全权负责，与甲方无关。</w:t>
      </w:r>
    </w:p>
    <w:p w14:paraId="66E8ED8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需配合甲方的燃煤装卸和运输工作，确保燃煤能够安全、顺利地送达甲方指定的地点。同时乙方入厂人员需遵守甲方现场的管理规定和入厂告知注意事项及安全防范措施；若乙方在甲方煤场区域内未遵守甲方现场相关管理规定出现的一切安全事件，由乙方全权负责，与甲方无关。</w:t>
      </w:r>
    </w:p>
    <w:p w14:paraId="4958CB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四、违约责任</w:t>
      </w:r>
    </w:p>
    <w:p w14:paraId="171374C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若因乙方供应的燃煤存在质量问题或供应不当而引发安全事故，乙方需承担相应的违约责任，并赔偿甲方由此产生的一切损失。</w:t>
      </w:r>
    </w:p>
    <w:p w14:paraId="54EC5EF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五、争议解决</w:t>
      </w:r>
    </w:p>
    <w:p w14:paraId="696B2EA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对于因执行本协议而引发的争议，双方应首先友好协商解决。若协商无果，任何一方均可向甲方所在地的人民法院提起诉讼。</w:t>
      </w:r>
    </w:p>
    <w:p w14:paraId="0C2F46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w:t>
      </w:r>
    </w:p>
    <w:p w14:paraId="50491CD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（一）本协议自合同双方法定代表人签字或加盖法人章（授权委托人签字）并加盖公章或合同章后生效。</w:t>
      </w:r>
    </w:p>
    <w:p w14:paraId="605164F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（二）本协议一式贰份，甲乙双方各执壹份，具有同等法律效力。</w:t>
      </w:r>
    </w:p>
    <w:p w14:paraId="64F15DA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（以下无正文，下接签署页）</w:t>
      </w:r>
    </w:p>
    <w:p w14:paraId="56DAA73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65471B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199EDD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2297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14AF29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签署页</w:t>
      </w:r>
    </w:p>
    <w:p w14:paraId="61DD21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88E72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甲    方：贵州钟山野马寨热电有限责任公司（章）                 </w:t>
      </w:r>
    </w:p>
    <w:p w14:paraId="55E71F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0BE3F5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法定代表人（或授权委托人）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 xml:space="preserve">：          </w:t>
      </w:r>
    </w:p>
    <w:p w14:paraId="3462F9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5B35754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2E1792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904542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22E41E9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1B4EDC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 XXXXXXXXXX公司（章）</w:t>
      </w:r>
    </w:p>
    <w:p w14:paraId="7BEA222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04CD9F9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法定代表人（或授权委托人）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 xml:space="preserve">：            </w:t>
      </w:r>
    </w:p>
    <w:p w14:paraId="69C7D2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AE66E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0EC529F6">
      <w:pPr>
        <w:spacing w:line="300" w:lineRule="auto"/>
        <w:jc w:val="left"/>
        <w:rPr>
          <w:rFonts w:hint="eastAsia" w:ascii="方正小标宋简体" w:hAnsi="方正小标宋简体" w:eastAsia="方正小标宋简体" w:cs="方正小标宋简体"/>
          <w:sz w:val="32"/>
          <w:szCs w:val="32"/>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4AF3314B">
      <w:pPr>
        <w:spacing w:line="300" w:lineRule="auto"/>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0D4A04EB">
      <w:pPr>
        <w:pStyle w:val="27"/>
        <w:jc w:val="center"/>
        <w:rPr>
          <w:rFonts w:hint="default"/>
          <w:lang w:val="en-US"/>
        </w:rPr>
      </w:pPr>
      <w:r>
        <w:rPr>
          <w:rFonts w:hint="eastAsia" w:ascii="方正小标宋简体" w:hAnsi="方正小标宋简体" w:eastAsia="方正小标宋简体" w:cs="方正小标宋简体"/>
          <w:sz w:val="32"/>
          <w:szCs w:val="32"/>
          <w:lang w:val="en-US" w:eastAsia="zh-CN"/>
        </w:rPr>
        <w:t>贵州钟山野马寨热电有限责任公司</w:t>
      </w:r>
    </w:p>
    <w:p w14:paraId="211F09F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方正小标宋简体" w:hAnsi="方正小标宋简体" w:eastAsia="方正小标宋简体" w:cs="方正小标宋简体"/>
          <w:sz w:val="32"/>
          <w:szCs w:val="32"/>
          <w:lang w:val="zh-CN" w:eastAsia="zh-CN" w:bidi="ar-SA"/>
        </w:rPr>
      </w:pPr>
      <w:r>
        <w:rPr>
          <w:rFonts w:hint="eastAsia" w:ascii="方正小标宋简体" w:hAnsi="方正小标宋简体" w:eastAsia="方正小标宋简体" w:cs="方正小标宋简体"/>
          <w:sz w:val="32"/>
          <w:szCs w:val="32"/>
          <w:lang w:val="zh-CN" w:eastAsia="zh-CN" w:bidi="ar-SA"/>
        </w:rPr>
        <w:t>廉洁</w:t>
      </w:r>
      <w:bookmarkEnd w:id="27"/>
      <w:r>
        <w:rPr>
          <w:rFonts w:hint="eastAsia" w:ascii="方正小标宋简体" w:hAnsi="方正小标宋简体" w:eastAsia="方正小标宋简体" w:cs="方正小标宋简体"/>
          <w:sz w:val="32"/>
          <w:szCs w:val="32"/>
          <w:lang w:val="zh-CN" w:eastAsia="zh-CN" w:bidi="ar-SA"/>
        </w:rPr>
        <w:t>协议</w:t>
      </w:r>
    </w:p>
    <w:p w14:paraId="3AA08D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bookmarkStart w:id="28" w:name="_Toc31987"/>
    </w:p>
    <w:p w14:paraId="7A2AADA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29469EB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ZSRD-RL-2025-XXXX</w:t>
      </w:r>
    </w:p>
    <w:p w14:paraId="141B67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w:t>
      </w:r>
    </w:p>
    <w:p w14:paraId="2027EED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XXXXXXX公司</w:t>
      </w:r>
    </w:p>
    <w:p w14:paraId="7A10E3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36A153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为规范合同签订工作，防止违法违纪事件的发生，经甲乙双方协商同意，签订以下条款，请双方严格执行。</w:t>
      </w:r>
    </w:p>
    <w:p w14:paraId="644D614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val="zh-CN" w:eastAsia="zh-CN"/>
        </w:rPr>
        <w:t>甲方的权利和义务</w:t>
      </w:r>
    </w:p>
    <w:p w14:paraId="01FFD8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（一）甲方的工作人员有责任向乙方介绍本单位有关廉洁从业的制度、规定。甲方的纪检监察人员有权对双方在合同执行过程中的廉洁情况进行监督。</w:t>
      </w:r>
    </w:p>
    <w:p w14:paraId="694F0BE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甲方的工作人员在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和该项目分包等经济活动；不得要求乙方为其装修房子；不得要求乙方为亲属安排出境和国内旅游等；不得借婚丧嫁娶之机收受乙方的钱（含有价证券）、物。</w:t>
      </w:r>
    </w:p>
    <w:p w14:paraId="1A3F0A2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（三）对乙方主动给予的钱（含有价证券）、物，甲方的工作人员要坚决拒绝，无法拒绝的要在两周内上交甲方的纪检监察部门或上级纪检监察部门。</w:t>
      </w:r>
    </w:p>
    <w:p w14:paraId="44B1CB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（四）甲方的工作人员在合同</w:t>
      </w:r>
      <w:r>
        <w:rPr>
          <w:rFonts w:hint="eastAsia" w:ascii="宋体" w:hAnsi="宋体" w:eastAsia="宋体" w:cs="宋体"/>
          <w:color w:val="auto"/>
          <w:sz w:val="21"/>
          <w:szCs w:val="21"/>
          <w:lang w:val="en-US" w:eastAsia="zh-CN"/>
        </w:rPr>
        <w:t>执行</w:t>
      </w:r>
      <w:r>
        <w:rPr>
          <w:rFonts w:hint="eastAsia" w:ascii="宋体" w:hAnsi="宋体" w:eastAsia="宋体" w:cs="宋体"/>
          <w:color w:val="auto"/>
          <w:sz w:val="21"/>
          <w:szCs w:val="21"/>
          <w:lang w:val="zh-CN" w:eastAsia="zh-CN"/>
        </w:rPr>
        <w:t>过程中，必须遵守廉洁自律的其他有关规定。</w:t>
      </w:r>
    </w:p>
    <w:p w14:paraId="5D1A8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val="zh-CN" w:eastAsia="zh-CN"/>
        </w:rPr>
        <w:t>乙方的权利和义务</w:t>
      </w:r>
    </w:p>
    <w:p w14:paraId="5C6447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（一）乙方的纪检监察人员有权对双方在合同执行过程中的廉洁从业情况进行监督，并积极配合甲方纪检监察工作人员就有关违纪问题进行调查取证。</w:t>
      </w:r>
    </w:p>
    <w:p w14:paraId="5C589B8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（二）乙方有权了解甲方在廉洁从业方面的各项制度和规定，并主动配合甲方遵守执行。</w:t>
      </w:r>
    </w:p>
    <w:p w14:paraId="730A417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乙方的工作人员在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等；不得邀请甲方的工作人员参加对执行公务有影响的娱乐活动和宴请；不得接受甲方的工作人员介绍的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或该项目分包等经济活动；不得为甲方的工作人员装修房子；不得为甲方的工作人员的亲属安排出境和国内旅游等；不得借婚丧嫁娶之机向甲方的工作人员赠送钱（含有价证券）、物。</w:t>
      </w:r>
    </w:p>
    <w:p w14:paraId="46A3A8E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（四）乙方发现甲方的工作人员有不廉洁的行为，必须在48小时内署名报告甲方的纪检监察人员或有关领导。</w:t>
      </w:r>
    </w:p>
    <w:p w14:paraId="3B7B1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三、违约责任</w:t>
      </w:r>
    </w:p>
    <w:p w14:paraId="0A8AE75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（一）甲方的工作人员违反廉洁责任，经调查属实的，甲方将依据党、政纪对当事人进行严肃处理，对涉嫌犯罪人员移送司法机关。</w:t>
      </w:r>
    </w:p>
    <w:p w14:paraId="1D91E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（二）乙方工作人员违反廉洁责任，经调查属实，甲方有权一次性扣罚与其签订合同</w:t>
      </w:r>
      <w:r>
        <w:rPr>
          <w:rFonts w:hint="eastAsia" w:ascii="宋体" w:hAnsi="宋体" w:eastAsia="宋体" w:cs="宋体"/>
          <w:color w:val="auto"/>
          <w:sz w:val="21"/>
          <w:szCs w:val="21"/>
          <w:lang w:val="en-US" w:eastAsia="zh-CN"/>
        </w:rPr>
        <w:t>结算</w:t>
      </w:r>
      <w:r>
        <w:rPr>
          <w:rFonts w:hint="eastAsia" w:ascii="宋体" w:hAnsi="宋体" w:eastAsia="宋体" w:cs="宋体"/>
          <w:color w:val="auto"/>
          <w:sz w:val="21"/>
          <w:szCs w:val="21"/>
          <w:lang w:val="zh-CN" w:eastAsia="zh-CN"/>
        </w:rPr>
        <w:t>款的0.5%～10%，直至合同终止执行，由此造成的经济损失由乙方承担。在今后项目中，甲方不再考虑与乙方的合作。</w:t>
      </w:r>
    </w:p>
    <w:p w14:paraId="7D62DF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四、协议的生效</w:t>
      </w:r>
    </w:p>
    <w:p w14:paraId="704F8A4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（一）本协议自合同双方法定代表人签字或加盖法人章（授权委托人签字）并加盖公章或合同章后生效。</w:t>
      </w:r>
    </w:p>
    <w:p w14:paraId="60143BB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（二）本协议在合同授予、履行的全过程有效，并作为合同的附件。</w:t>
      </w:r>
    </w:p>
    <w:p w14:paraId="2929DC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val="zh-CN" w:eastAsia="zh-CN"/>
        </w:rPr>
        <w:t>）本协议一式贰份，甲乙双方各执壹份，具有同等法律效力。</w:t>
      </w:r>
    </w:p>
    <w:p w14:paraId="0EB77C2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CC5FCB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盖章</w:t>
      </w:r>
      <w:r>
        <w:rPr>
          <w:rFonts w:hint="eastAsia" w:ascii="宋体" w:hAnsi="宋体" w:eastAsia="宋体" w:cs="宋体"/>
          <w:color w:val="auto"/>
          <w:sz w:val="21"/>
          <w:szCs w:val="21"/>
          <w:lang w:val="zh-CN" w:eastAsia="zh-CN"/>
        </w:rPr>
        <w:t xml:space="preserve">）                </w:t>
      </w:r>
    </w:p>
    <w:p w14:paraId="3F19690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02A73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6D5DCD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4086C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5A2D3E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zh-CN" w:eastAsia="zh-CN"/>
        </w:rPr>
      </w:pPr>
    </w:p>
    <w:p w14:paraId="62608F0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XXXXXXXXXX公司（章）</w:t>
      </w:r>
    </w:p>
    <w:p w14:paraId="67AC44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F99E4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422D59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255CE8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2A53C98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28"/>
          <w:szCs w:val="28"/>
          <w:lang w:val="zh-CN" w:eastAsia="zh-CN"/>
        </w:rPr>
      </w:pPr>
      <w:r>
        <w:rPr>
          <w:rFonts w:hint="eastAsia" w:ascii="黑体" w:hAnsi="黑体" w:eastAsia="黑体" w:cs="黑体"/>
          <w:color w:val="000000"/>
          <w:kern w:val="0"/>
          <w:sz w:val="28"/>
          <w:szCs w:val="28"/>
          <w:lang w:val="en-US" w:eastAsia="zh-CN"/>
        </w:rPr>
        <w:t>附件3：</w:t>
      </w:r>
    </w:p>
    <w:p w14:paraId="3E98F45D">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贵州钟山野马寨热电有限责任公司入厂煤煤质</w:t>
      </w:r>
    </w:p>
    <w:p w14:paraId="6D25D967">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异常及纠纷处理</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办法</w:t>
      </w:r>
    </w:p>
    <w:p w14:paraId="4DB3B1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C4B7AB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6B68E45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w:t>
      </w:r>
    </w:p>
    <w:p w14:paraId="0BCCBC9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甲    方</w:t>
      </w:r>
      <w:r>
        <w:rPr>
          <w:rFonts w:hint="eastAsia" w:ascii="宋体" w:hAnsi="宋体" w:eastAsia="宋体" w:cs="宋体"/>
          <w:color w:val="auto"/>
          <w:sz w:val="21"/>
          <w:szCs w:val="21"/>
          <w:lang w:val="zh-CN" w:eastAsia="zh-CN"/>
        </w:rPr>
        <w:t>：贵州钟山野马寨热电有限责任公司</w:t>
      </w:r>
    </w:p>
    <w:p w14:paraId="566E103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乙    方</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XXXXXX公司</w:t>
      </w:r>
    </w:p>
    <w:p w14:paraId="66725CF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9D562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第一章  </w:t>
      </w:r>
      <w:r>
        <w:rPr>
          <w:rFonts w:hint="eastAsia" w:ascii="宋体" w:hAnsi="宋体" w:eastAsia="宋体" w:cs="宋体"/>
          <w:color w:val="auto"/>
          <w:sz w:val="21"/>
          <w:szCs w:val="21"/>
          <w:lang w:val="zh-CN" w:eastAsia="zh-CN"/>
        </w:rPr>
        <w:t>总 则</w:t>
      </w:r>
    </w:p>
    <w:p w14:paraId="7BB4EF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第一条 </w:t>
      </w:r>
      <w:r>
        <w:rPr>
          <w:rFonts w:hint="eastAsia" w:ascii="宋体" w:hAnsi="宋体" w:eastAsia="宋体" w:cs="宋体"/>
          <w:color w:val="auto"/>
          <w:sz w:val="21"/>
          <w:szCs w:val="21"/>
          <w:lang w:val="zh-CN" w:eastAsia="zh-CN"/>
        </w:rPr>
        <w:t>为</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lang w:val="zh-CN" w:eastAsia="zh-CN"/>
        </w:rPr>
        <w:t>入厂煤现场验收过程中煤质异常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处理流程，本着公平、公正、公开原则，杜绝入厂煤掺假使假、煤质不均等现象，有效维护公司利益。结合</w:t>
      </w:r>
      <w:r>
        <w:rPr>
          <w:rFonts w:hint="eastAsia" w:ascii="宋体" w:hAnsi="宋体" w:eastAsia="宋体" w:cs="宋体"/>
          <w:color w:val="auto"/>
          <w:sz w:val="21"/>
          <w:szCs w:val="21"/>
          <w:lang w:val="en-US" w:eastAsia="zh-CN"/>
        </w:rPr>
        <w:t>入厂煤质量验收</w:t>
      </w:r>
      <w:r>
        <w:rPr>
          <w:rFonts w:hint="eastAsia" w:ascii="宋体" w:hAnsi="宋体" w:eastAsia="宋体" w:cs="宋体"/>
          <w:color w:val="auto"/>
          <w:sz w:val="21"/>
          <w:szCs w:val="21"/>
          <w:lang w:val="zh-CN" w:eastAsia="zh-CN"/>
        </w:rPr>
        <w:t>实际情况，特制定本</w:t>
      </w:r>
      <w:r>
        <w:rPr>
          <w:rFonts w:hint="eastAsia" w:ascii="宋体" w:hAnsi="宋体" w:eastAsia="宋体" w:cs="宋体"/>
          <w:color w:val="auto"/>
          <w:sz w:val="21"/>
          <w:szCs w:val="21"/>
          <w:lang w:val="en-US" w:eastAsia="zh-CN"/>
        </w:rPr>
        <w:t>办法</w:t>
      </w:r>
      <w:r>
        <w:rPr>
          <w:rFonts w:hint="eastAsia" w:ascii="宋体" w:hAnsi="宋体" w:eastAsia="宋体" w:cs="宋体"/>
          <w:color w:val="auto"/>
          <w:sz w:val="21"/>
          <w:szCs w:val="21"/>
          <w:lang w:val="zh-CN" w:eastAsia="zh-CN"/>
        </w:rPr>
        <w:t>。</w:t>
      </w:r>
    </w:p>
    <w:p w14:paraId="22C13C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第二条 </w:t>
      </w:r>
      <w:r>
        <w:rPr>
          <w:rFonts w:hint="eastAsia" w:ascii="宋体" w:hAnsi="宋体" w:eastAsia="宋体" w:cs="宋体"/>
          <w:color w:val="auto"/>
          <w:sz w:val="21"/>
          <w:szCs w:val="21"/>
          <w:lang w:val="zh-CN" w:eastAsia="zh-CN"/>
        </w:rPr>
        <w:t>本办法适用于</w:t>
      </w:r>
      <w:r>
        <w:rPr>
          <w:rFonts w:hint="eastAsia" w:ascii="宋体" w:hAnsi="宋体" w:eastAsia="宋体" w:cs="宋体"/>
          <w:color w:val="auto"/>
          <w:sz w:val="21"/>
          <w:szCs w:val="21"/>
          <w:lang w:val="en-US" w:eastAsia="zh-CN"/>
        </w:rPr>
        <w:t>入厂煤</w:t>
      </w:r>
      <w:r>
        <w:rPr>
          <w:rFonts w:hint="eastAsia" w:ascii="宋体" w:hAnsi="宋体" w:eastAsia="宋体" w:cs="宋体"/>
          <w:color w:val="auto"/>
          <w:sz w:val="21"/>
          <w:szCs w:val="21"/>
          <w:lang w:val="zh-CN" w:eastAsia="zh-CN"/>
        </w:rPr>
        <w:t>现场质量验收，煤质异常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w:t>
      </w:r>
    </w:p>
    <w:p w14:paraId="69120B9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eastAsia="zh-CN"/>
        </w:rPr>
        <w:t>异常认定</w:t>
      </w:r>
    </w:p>
    <w:p w14:paraId="556BD0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第三条 入厂煤发生下列情形之一者可认定为异常</w:t>
      </w:r>
    </w:p>
    <w:p w14:paraId="7BEB6D8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（一）在卸车过程中，验收人员应认真观察煤质，如果出现分层、分段、上下混装、夹心、前后装不同煤种等情况（包括下层水分含量明显高于上层）,目测热值相差500大卡的视为异常。</w:t>
      </w:r>
    </w:p>
    <w:p w14:paraId="1078B88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（二）来煤中未均匀分布的石头、矸石（直径大于50mm），泥团、油土、石灰石、碎石、泥土、矿粉、炉渣、石膏、油泥以及其他杂物等。</w:t>
      </w:r>
    </w:p>
    <w:p w14:paraId="428534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（三）同批次不同车辆装不同煤种（包括同批次的大、小车；若发现小车装质量好的煤，而大车装质量差的煤），热值超过500kcal/kg的。</w:t>
      </w:r>
    </w:p>
    <w:p w14:paraId="1D4CBD4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（四）来煤为无烟煤和来煤中掺配无烟煤的（以公司化验收到基挥发分Var小于10.00%为基准）。</w:t>
      </w:r>
    </w:p>
    <w:p w14:paraId="661399E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（五）车辆过重磅后在煤场内放水的。</w:t>
      </w:r>
    </w:p>
    <w:p w14:paraId="10C552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（六）其他疑似异常或特殊情况时，由燃料部、监察审计部、供应商三方见证，达成一致意见后，认定为煤质异常。</w:t>
      </w:r>
    </w:p>
    <w:p w14:paraId="0EBDB42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第三章</w:t>
      </w:r>
      <w:r>
        <w:rPr>
          <w:rFonts w:hint="eastAsia" w:ascii="宋体" w:hAnsi="宋体" w:eastAsia="宋体" w:cs="宋体"/>
          <w:color w:val="auto"/>
          <w:sz w:val="21"/>
          <w:szCs w:val="21"/>
          <w:lang w:val="en-US" w:eastAsia="zh-CN"/>
        </w:rPr>
        <w:t xml:space="preserve"> 处理标准</w:t>
      </w:r>
    </w:p>
    <w:p w14:paraId="7C0C64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第四条 入厂煤出现第三条内所列的煤质异常时，现场验收人员</w:t>
      </w:r>
      <w:r>
        <w:rPr>
          <w:rFonts w:hint="eastAsia" w:ascii="宋体" w:hAnsi="宋体" w:eastAsia="宋体" w:cs="宋体"/>
          <w:color w:val="auto"/>
          <w:sz w:val="21"/>
          <w:szCs w:val="21"/>
          <w:lang w:val="zh-CN" w:eastAsia="zh-CN"/>
        </w:rPr>
        <w:t>应通知班组长到现场进行辨别。</w:t>
      </w:r>
      <w:r>
        <w:rPr>
          <w:rFonts w:hint="eastAsia" w:ascii="宋体" w:hAnsi="宋体" w:eastAsia="宋体" w:cs="宋体"/>
          <w:color w:val="auto"/>
          <w:sz w:val="21"/>
          <w:szCs w:val="21"/>
          <w:lang w:val="en-US" w:eastAsia="zh-CN"/>
        </w:rPr>
        <w:t>按照相关规定进行处理</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同时通知监察审计部人员、</w:t>
      </w:r>
      <w:r>
        <w:rPr>
          <w:rFonts w:hint="eastAsia" w:ascii="宋体" w:hAnsi="宋体" w:eastAsia="宋体" w:cs="宋体"/>
          <w:color w:val="auto"/>
          <w:sz w:val="21"/>
          <w:szCs w:val="21"/>
          <w:lang w:val="zh-CN" w:eastAsia="zh-CN"/>
        </w:rPr>
        <w:t>燃料部</w:t>
      </w:r>
      <w:r>
        <w:rPr>
          <w:rFonts w:hint="eastAsia" w:ascii="宋体" w:hAnsi="宋体" w:eastAsia="宋体" w:cs="宋体"/>
          <w:color w:val="auto"/>
          <w:sz w:val="21"/>
          <w:szCs w:val="21"/>
          <w:lang w:val="en-US" w:eastAsia="zh-CN"/>
        </w:rPr>
        <w:t>值班管理人员、供方人员到现场确认，并</w:t>
      </w:r>
      <w:r>
        <w:rPr>
          <w:rFonts w:hint="eastAsia" w:ascii="宋体" w:hAnsi="宋体" w:eastAsia="宋体" w:cs="宋体"/>
          <w:color w:val="auto"/>
          <w:sz w:val="21"/>
          <w:szCs w:val="21"/>
          <w:lang w:val="zh-CN" w:eastAsia="zh-CN"/>
        </w:rPr>
        <w:t>采取对比煤样，以免误判。</w:t>
      </w:r>
    </w:p>
    <w:p w14:paraId="0CF103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第五条 对于出现上述第三条第（一）项异常时:</w:t>
      </w:r>
    </w:p>
    <w:p w14:paraId="7ACCAF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（一）长协煤来煤按采差样处理；</w:t>
      </w:r>
    </w:p>
    <w:p w14:paraId="1A6776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长协代供煤（市场煤）按该车质量比重进行扣吨处理（若与合同异常处理条款冲突按最高标准执行）。目测该车差煤小于1吨的，选择性采差样处理；差煤大于1吨小于10吨，按3倍扣除，选择性采差样处理；差煤大于10吨的扣除整车重量，该车不采样。（如处理过程中存在争议的，该车来煤必须留存作质量备查，未接到通知不得推用）。</w:t>
      </w:r>
    </w:p>
    <w:p w14:paraId="6993210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第六条 对于出现上述第三条第（二）项异常时:</w:t>
      </w:r>
    </w:p>
    <w:p w14:paraId="334F32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协代供煤（市场煤）按该车质量比重进行扣吨处理（若与合同异常处理条款冲突按最高标准执行）。目测该车含矸（含杂）量小于10吨的，按5倍重量扣除，该车正常采样；超过10吨的扣除整车重量，该车不采样。</w:t>
      </w:r>
    </w:p>
    <w:p w14:paraId="673C6C8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第七条 对于出现上述第三条第（三）项异常时:现场人员应立即制止其行为，在采样时，按增（减）子样点采取子样。热值在500kcal/kg内按重量比例采取子样量；热值在500kcal/kg至800kcal/kg按增（减）1个子样点采取子样；热值大于800kcal/kg按增（减）2个子样点采取子样。</w:t>
      </w:r>
    </w:p>
    <w:p w14:paraId="59F467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第八条 对于出现上述第三条第（四）项异常时:公司不采购无烟煤，若来煤中掺配有无烟煤的，按照掺配比例进行扣吨处理，无烟煤占比整车煤10%以下，扣5吨/车，无烟煤占比10%-20%，扣10吨/车；无烟煤占比20%-30%，扣除该车煤净重的一半；无烟煤占比超过30%的，扣除整车重量。</w:t>
      </w:r>
    </w:p>
    <w:p w14:paraId="3F618F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第九条 对于出现上述第三条第（五）项异常时:煤车过完重磅后在煤场内放水的，视情况进行扣吨处罚，如车坏放水的按放水量进行扣除，如人为故意放水以减轻皮重的扣10吨/次。</w:t>
      </w:r>
    </w:p>
    <w:p w14:paraId="71D2539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第十条 对于出现上述第三条第（六）项异常时:由燃料部、监察审计部、供应商三方见证，达成一致意见后，按协商意见进行处理。</w:t>
      </w:r>
    </w:p>
    <w:p w14:paraId="26FC1A1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第十一条 </w:t>
      </w:r>
      <w:r>
        <w:rPr>
          <w:rFonts w:hint="eastAsia" w:ascii="宋体" w:hAnsi="宋体" w:eastAsia="宋体" w:cs="宋体"/>
          <w:color w:val="auto"/>
          <w:sz w:val="21"/>
          <w:szCs w:val="21"/>
          <w:lang w:val="zh-CN" w:eastAsia="zh-CN"/>
        </w:rPr>
        <w:t>验收人员在煤质检查中发现煤质异常时，要本着实事求是的原则按</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lang w:val="zh-CN" w:eastAsia="zh-CN"/>
        </w:rPr>
        <w:t>办法进行处理，严禁私自处理。与供应商发生煤质纠纷时，双方应在监察审计部</w:t>
      </w:r>
      <w:r>
        <w:rPr>
          <w:rFonts w:hint="eastAsia" w:ascii="宋体" w:hAnsi="宋体" w:eastAsia="宋体" w:cs="宋体"/>
          <w:color w:val="auto"/>
          <w:sz w:val="21"/>
          <w:szCs w:val="21"/>
          <w:lang w:val="en-US" w:eastAsia="zh-CN"/>
        </w:rPr>
        <w:t>人员</w:t>
      </w:r>
      <w:r>
        <w:rPr>
          <w:rFonts w:hint="eastAsia" w:ascii="宋体" w:hAnsi="宋体" w:eastAsia="宋体" w:cs="宋体"/>
          <w:color w:val="auto"/>
          <w:sz w:val="21"/>
          <w:szCs w:val="21"/>
          <w:lang w:val="zh-CN" w:eastAsia="zh-CN"/>
        </w:rPr>
        <w:t>的监督下</w:t>
      </w:r>
      <w:r>
        <w:rPr>
          <w:rFonts w:hint="eastAsia" w:ascii="宋体" w:hAnsi="宋体" w:eastAsia="宋体" w:cs="宋体"/>
          <w:color w:val="auto"/>
          <w:sz w:val="21"/>
          <w:szCs w:val="21"/>
          <w:lang w:val="en-US" w:eastAsia="zh-CN"/>
        </w:rPr>
        <w:t>按标准</w:t>
      </w:r>
      <w:r>
        <w:rPr>
          <w:rFonts w:hint="eastAsia" w:ascii="宋体" w:hAnsi="宋体" w:eastAsia="宋体" w:cs="宋体"/>
          <w:color w:val="auto"/>
          <w:sz w:val="21"/>
          <w:szCs w:val="21"/>
          <w:lang w:val="zh-CN" w:eastAsia="zh-CN"/>
        </w:rPr>
        <w:t>处理，如供需双方意见</w:t>
      </w:r>
      <w:r>
        <w:rPr>
          <w:rFonts w:hint="eastAsia" w:ascii="宋体" w:hAnsi="宋体" w:eastAsia="宋体" w:cs="宋体"/>
          <w:color w:val="auto"/>
          <w:sz w:val="21"/>
          <w:szCs w:val="21"/>
          <w:lang w:val="en-US" w:eastAsia="zh-CN"/>
        </w:rPr>
        <w:t>不一致</w:t>
      </w:r>
      <w:r>
        <w:rPr>
          <w:rFonts w:hint="eastAsia" w:ascii="宋体" w:hAnsi="宋体" w:eastAsia="宋体" w:cs="宋体"/>
          <w:color w:val="auto"/>
          <w:sz w:val="21"/>
          <w:szCs w:val="21"/>
          <w:lang w:val="zh-CN" w:eastAsia="zh-CN"/>
        </w:rPr>
        <w:t>，双方应在监察审计部人员的监督下按照</w:t>
      </w:r>
      <w:r>
        <w:rPr>
          <w:rFonts w:hint="eastAsia" w:ascii="宋体" w:hAnsi="宋体" w:eastAsia="宋体" w:cs="宋体"/>
          <w:color w:val="auto"/>
          <w:sz w:val="21"/>
          <w:szCs w:val="21"/>
          <w:lang w:val="en-US" w:eastAsia="zh-CN"/>
        </w:rPr>
        <w:t>本办法和</w:t>
      </w:r>
      <w:r>
        <w:rPr>
          <w:rFonts w:hint="eastAsia" w:ascii="宋体" w:hAnsi="宋体" w:eastAsia="宋体" w:cs="宋体"/>
          <w:color w:val="auto"/>
          <w:sz w:val="21"/>
          <w:szCs w:val="21"/>
          <w:lang w:val="zh-CN" w:eastAsia="zh-CN"/>
        </w:rPr>
        <w:t>签订合同的相关规定</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lang w:val="zh-CN" w:eastAsia="zh-CN"/>
        </w:rPr>
        <w:t>处理。</w:t>
      </w:r>
    </w:p>
    <w:p w14:paraId="4DAAFE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第十二条 验收人员在现场发现煤质问题需要扣矸（扣吨）时，</w:t>
      </w:r>
      <w:r>
        <w:rPr>
          <w:rFonts w:hint="eastAsia" w:ascii="宋体" w:hAnsi="宋体" w:eastAsia="宋体" w:cs="宋体"/>
          <w:color w:val="auto"/>
          <w:sz w:val="21"/>
          <w:szCs w:val="21"/>
          <w:lang w:val="zh-CN" w:eastAsia="zh-CN"/>
        </w:rPr>
        <w:t>汇报班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长通知采购组人员，</w:t>
      </w:r>
      <w:r>
        <w:rPr>
          <w:rFonts w:hint="eastAsia" w:ascii="宋体" w:hAnsi="宋体" w:eastAsia="宋体" w:cs="宋体"/>
          <w:color w:val="auto"/>
          <w:sz w:val="21"/>
          <w:szCs w:val="21"/>
          <w:lang w:val="en-US" w:eastAsia="zh-CN"/>
        </w:rPr>
        <w:t>采购组人员通知供应商到场</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监督下，</w:t>
      </w:r>
      <w:r>
        <w:rPr>
          <w:rFonts w:hint="eastAsia" w:ascii="宋体" w:hAnsi="宋体" w:eastAsia="宋体" w:cs="宋体"/>
          <w:color w:val="auto"/>
          <w:sz w:val="21"/>
          <w:szCs w:val="21"/>
          <w:lang w:val="zh-CN" w:eastAsia="zh-CN"/>
        </w:rPr>
        <w:t>共同处理并</w:t>
      </w:r>
      <w:r>
        <w:rPr>
          <w:rFonts w:hint="eastAsia" w:ascii="宋体" w:hAnsi="宋体" w:eastAsia="宋体" w:cs="宋体"/>
          <w:color w:val="auto"/>
          <w:sz w:val="21"/>
          <w:szCs w:val="21"/>
          <w:lang w:val="en-US" w:eastAsia="zh-CN"/>
        </w:rPr>
        <w:t>三方</w:t>
      </w:r>
      <w:r>
        <w:rPr>
          <w:rFonts w:hint="eastAsia" w:ascii="宋体" w:hAnsi="宋体" w:eastAsia="宋体" w:cs="宋体"/>
          <w:color w:val="auto"/>
          <w:sz w:val="21"/>
          <w:szCs w:val="21"/>
          <w:lang w:val="zh-CN" w:eastAsia="zh-CN"/>
        </w:rPr>
        <w:t>签字确认，同时汇报部门值班管理人员；扣吨超过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吨的,部门值班管理人员必须到现场确认。</w:t>
      </w:r>
    </w:p>
    <w:p w14:paraId="67F99E3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第十三条 供应商对现场验收人员的处理意见不同意的应立即提出，并向燃料部值班人员、</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或现场验收人员提出申诉，验收人员遇到供应商不同意处理的，应采取措施维持煤堆摆放至现场处理结束，但超过2小时内未到现场处理视为供应商自动弃权。</w:t>
      </w:r>
    </w:p>
    <w:p w14:paraId="3BB427A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第十四条 供应商对验收人员的处理意见无争议者，应在验收回转票上签字确认。</w:t>
      </w:r>
    </w:p>
    <w:p w14:paraId="19C8628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第十五条 现场争议较大需要进行仲裁检验时，必须经公司分管领导批准，由燃料部值班管理人员及监察审计部人员的监督下进行现场采样或分样。三方共同将煤样封存送至具有资质的煤炭质量监督检验机构进行检验。</w:t>
      </w:r>
    </w:p>
    <w:p w14:paraId="41E9717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第十六条 新户头来煤，根据情况在煤场留存一定的煤量备查（不少于3车，来煤量少于3车的，全部留存）。发现老供应商的煤质近段期间差异较大时，应留存不少于2车的煤量作质量备查，并逐级汇报。</w:t>
      </w:r>
    </w:p>
    <w:p w14:paraId="745EE2C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第十七条 </w:t>
      </w:r>
      <w:r>
        <w:rPr>
          <w:rFonts w:hint="eastAsia" w:ascii="宋体" w:hAnsi="宋体" w:eastAsia="宋体" w:cs="宋体"/>
          <w:color w:val="auto"/>
          <w:sz w:val="21"/>
          <w:szCs w:val="21"/>
          <w:lang w:val="zh-CN" w:eastAsia="zh-CN"/>
        </w:rPr>
        <w:t>人工采样时,正常情况下应在煤车采样点处挖深400—500mm处进行采样；采样后长协煤每5车推开检查一次，市场</w:t>
      </w:r>
      <w:r>
        <w:rPr>
          <w:rFonts w:hint="eastAsia" w:ascii="宋体" w:hAnsi="宋体" w:eastAsia="宋体" w:cs="宋体"/>
          <w:color w:val="auto"/>
          <w:sz w:val="21"/>
          <w:szCs w:val="21"/>
          <w:lang w:val="en-US" w:eastAsia="zh-CN"/>
        </w:rPr>
        <w:t>煤</w:t>
      </w:r>
      <w:r>
        <w:rPr>
          <w:rFonts w:hint="eastAsia" w:ascii="宋体" w:hAnsi="宋体" w:eastAsia="宋体" w:cs="宋体"/>
          <w:color w:val="auto"/>
          <w:sz w:val="21"/>
          <w:szCs w:val="21"/>
          <w:lang w:val="zh-CN" w:eastAsia="zh-CN"/>
        </w:rPr>
        <w:t>每车</w:t>
      </w:r>
      <w:r>
        <w:rPr>
          <w:rFonts w:hint="eastAsia" w:ascii="宋体" w:hAnsi="宋体" w:eastAsia="宋体" w:cs="宋体"/>
          <w:color w:val="auto"/>
          <w:sz w:val="21"/>
          <w:szCs w:val="21"/>
          <w:lang w:val="en-US" w:eastAsia="zh-CN"/>
        </w:rPr>
        <w:t>必须</w:t>
      </w:r>
      <w:r>
        <w:rPr>
          <w:rFonts w:hint="eastAsia" w:ascii="宋体" w:hAnsi="宋体" w:eastAsia="宋体" w:cs="宋体"/>
          <w:color w:val="auto"/>
          <w:sz w:val="21"/>
          <w:szCs w:val="21"/>
          <w:lang w:val="zh-CN" w:eastAsia="zh-CN"/>
        </w:rPr>
        <w:t>推开检查。特殊情况下(如卸煤时发现</w:t>
      </w:r>
      <w:r>
        <w:rPr>
          <w:rFonts w:hint="eastAsia" w:ascii="宋体" w:hAnsi="宋体" w:eastAsia="宋体" w:cs="宋体"/>
          <w:color w:val="auto"/>
          <w:sz w:val="21"/>
          <w:szCs w:val="21"/>
          <w:lang w:val="en-US" w:eastAsia="zh-CN"/>
        </w:rPr>
        <w:t>分层、分段、上下混装、夹心、前后装不同种煤</w:t>
      </w:r>
      <w:r>
        <w:rPr>
          <w:rFonts w:hint="eastAsia" w:ascii="宋体" w:hAnsi="宋体" w:eastAsia="宋体" w:cs="宋体"/>
          <w:color w:val="auto"/>
          <w:sz w:val="21"/>
          <w:szCs w:val="21"/>
          <w:lang w:val="zh-CN" w:eastAsia="zh-CN"/>
        </w:rPr>
        <w:t>等</w:t>
      </w:r>
      <w:r>
        <w:rPr>
          <w:rFonts w:hint="eastAsia" w:ascii="宋体" w:hAnsi="宋体" w:eastAsia="宋体" w:cs="宋体"/>
          <w:color w:val="auto"/>
          <w:sz w:val="21"/>
          <w:szCs w:val="21"/>
          <w:lang w:val="en-US" w:eastAsia="zh-CN"/>
        </w:rPr>
        <w:t>情况</w:t>
      </w:r>
      <w:r>
        <w:rPr>
          <w:rFonts w:hint="eastAsia" w:ascii="宋体" w:hAnsi="宋体" w:eastAsia="宋体" w:cs="宋体"/>
          <w:color w:val="auto"/>
          <w:sz w:val="21"/>
          <w:szCs w:val="21"/>
          <w:lang w:val="zh-CN" w:eastAsia="zh-CN"/>
        </w:rPr>
        <w:t>)，可根据掺假部位的深度来挖采样点或用推土机推开来进行采样。</w:t>
      </w:r>
    </w:p>
    <w:p w14:paraId="3D219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第十八条 对以上异常处理或扣吨时，监察审计部人员应对现场煤质异常情况进行拍照、录像，并对影像资料进行归档、备案，资料存放时间不得少于3年。收煤班班长要在工作日志上做好相应记录。</w:t>
      </w:r>
    </w:p>
    <w:p w14:paraId="30CBD86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第十九 条</w:t>
      </w:r>
      <w:r>
        <w:rPr>
          <w:rFonts w:hint="eastAsia" w:ascii="宋体" w:hAnsi="宋体" w:eastAsia="宋体" w:cs="宋体"/>
          <w:color w:val="auto"/>
          <w:sz w:val="21"/>
          <w:szCs w:val="21"/>
          <w:lang w:val="zh-CN" w:eastAsia="zh-CN"/>
        </w:rPr>
        <w:t>协议的生效</w:t>
      </w:r>
    </w:p>
    <w:p w14:paraId="184B59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（一）本协议自合同双方法定代表人签字或加盖法人章（授权委托人签字）并加盖公章或合同章后生效。</w:t>
      </w:r>
    </w:p>
    <w:p w14:paraId="3CB8C3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w:t>
      </w:r>
      <w:r>
        <w:rPr>
          <w:rFonts w:hint="eastAsia" w:ascii="宋体" w:hAnsi="宋体" w:eastAsia="宋体" w:cs="宋体"/>
          <w:color w:val="auto"/>
          <w:sz w:val="21"/>
          <w:szCs w:val="21"/>
          <w:lang w:val="en-US" w:eastAsia="zh-CN"/>
        </w:rPr>
        <w:t>本协议一式贰份，甲乙双方各执壹份，</w:t>
      </w:r>
      <w:r>
        <w:rPr>
          <w:rFonts w:hint="eastAsia" w:ascii="宋体" w:hAnsi="宋体" w:eastAsia="宋体" w:cs="宋体"/>
          <w:color w:val="auto"/>
          <w:sz w:val="21"/>
          <w:szCs w:val="21"/>
          <w:lang w:val="zh-CN" w:eastAsia="zh-CN"/>
        </w:rPr>
        <w:t>在合同授予、履行的全过程有效，并作为合同的附件。</w:t>
      </w:r>
    </w:p>
    <w:p w14:paraId="0A3C2E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30D2F6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B72F12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5C8D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9DFFE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E5567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315074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2103506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6C12914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8F2964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2025年XX月XXX日</w:t>
      </w:r>
    </w:p>
    <w:p w14:paraId="15A293E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F48E10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4ED03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w:t>
      </w:r>
      <w:r>
        <w:rPr>
          <w:rFonts w:hint="eastAsia" w:ascii="宋体" w:hAnsi="宋体" w:eastAsia="宋体" w:cs="宋体"/>
          <w:color w:val="auto"/>
          <w:sz w:val="21"/>
          <w:szCs w:val="21"/>
          <w:lang w:val="zh-CN" w:eastAsia="zh-CN"/>
        </w:rPr>
        <w:t>公司（</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4824BF7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2A0A4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6FB85DF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767C4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053C43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E726C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p>
    <w:p w14:paraId="315792DB">
      <w:pPr>
        <w:pStyle w:val="2"/>
        <w:bidi w:val="0"/>
        <w:jc w:val="center"/>
        <w:rPr>
          <w:rFonts w:hint="eastAsia" w:ascii="宋体" w:hAnsi="宋体" w:eastAsia="宋体" w:cs="宋体"/>
        </w:rPr>
      </w:pP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bookmarkEnd w:id="28"/>
    </w:p>
    <w:p w14:paraId="53A3C5D4">
      <w:pPr>
        <w:spacing w:line="360" w:lineRule="auto"/>
        <w:rPr>
          <w:rFonts w:hint="eastAsia" w:ascii="宋体" w:hAnsi="宋体" w:eastAsia="宋体" w:cs="宋体"/>
          <w:color w:val="auto"/>
          <w:szCs w:val="21"/>
        </w:rPr>
      </w:pPr>
      <w:r>
        <w:rPr>
          <w:rFonts w:hint="eastAsia" w:ascii="宋体" w:hAnsi="宋体" w:eastAsia="宋体" w:cs="宋体"/>
          <w:color w:val="auto"/>
          <w:szCs w:val="21"/>
        </w:rPr>
        <w:t>一、</w:t>
      </w:r>
      <w:r>
        <w:rPr>
          <w:rFonts w:hint="eastAsia" w:ascii="宋体" w:hAnsi="宋体" w:cs="宋体"/>
          <w:color w:val="auto"/>
          <w:szCs w:val="21"/>
          <w:lang w:eastAsia="zh-CN"/>
        </w:rPr>
        <w:t>谈判</w:t>
      </w:r>
      <w:r>
        <w:rPr>
          <w:rFonts w:hint="eastAsia" w:ascii="宋体" w:hAnsi="宋体" w:eastAsia="宋体" w:cs="宋体"/>
          <w:color w:val="auto"/>
          <w:szCs w:val="21"/>
          <w:lang w:val="en-US" w:eastAsia="zh-CN"/>
        </w:rPr>
        <w:t>定标</w:t>
      </w:r>
      <w:r>
        <w:rPr>
          <w:rFonts w:hint="eastAsia" w:ascii="宋体" w:hAnsi="宋体" w:eastAsia="宋体" w:cs="宋体"/>
          <w:color w:val="auto"/>
          <w:szCs w:val="21"/>
        </w:rPr>
        <w:t>原则</w:t>
      </w:r>
    </w:p>
    <w:p w14:paraId="64881434">
      <w:pPr>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本项目</w:t>
      </w:r>
      <w:r>
        <w:rPr>
          <w:rFonts w:hint="eastAsia" w:ascii="宋体" w:hAnsi="宋体" w:cs="宋体"/>
          <w:color w:val="auto"/>
          <w:szCs w:val="21"/>
          <w:lang w:val="en-US" w:eastAsia="zh-CN"/>
        </w:rPr>
        <w:t>原则上</w:t>
      </w:r>
      <w:r>
        <w:rPr>
          <w:rFonts w:hint="eastAsia" w:ascii="宋体" w:hAnsi="宋体" w:eastAsia="宋体" w:cs="宋体"/>
          <w:color w:val="auto"/>
          <w:szCs w:val="21"/>
          <w:lang w:eastAsia="zh-CN"/>
        </w:rPr>
        <w:t>为两次报价，第一次报价为书面报价（即响应文件报价）；第二次报价为最后报价（即供应商</w:t>
      </w:r>
      <w:r>
        <w:rPr>
          <w:rFonts w:hint="eastAsia" w:ascii="宋体" w:hAnsi="宋体" w:eastAsia="宋体" w:cs="宋体"/>
          <w:color w:val="auto"/>
          <w:szCs w:val="21"/>
          <w:lang w:val="en-US" w:eastAsia="zh-CN"/>
        </w:rPr>
        <w:t>法定代表人或授权代理人填写的最后报价单</w:t>
      </w:r>
      <w:r>
        <w:rPr>
          <w:rFonts w:hint="eastAsia" w:ascii="宋体" w:hAnsi="宋体" w:eastAsia="宋体" w:cs="宋体"/>
          <w:color w:val="auto"/>
          <w:szCs w:val="21"/>
          <w:lang w:eastAsia="zh-CN"/>
        </w:rPr>
        <w:t>）</w:t>
      </w:r>
      <w:r>
        <w:rPr>
          <w:rFonts w:hint="eastAsia" w:ascii="宋体" w:hAnsi="宋体" w:cs="宋体"/>
          <w:color w:val="auto"/>
          <w:szCs w:val="21"/>
          <w:lang w:eastAsia="zh-CN"/>
        </w:rPr>
        <w:t>。</w:t>
      </w:r>
      <w:r>
        <w:rPr>
          <w:rFonts w:hint="eastAsia" w:ascii="宋体" w:hAnsi="宋体" w:cs="宋体"/>
          <w:color w:val="auto"/>
          <w:szCs w:val="21"/>
          <w:lang w:val="en-US" w:eastAsia="zh-CN"/>
        </w:rPr>
        <w:t>特殊情况如有需要，</w:t>
      </w:r>
      <w:r>
        <w:rPr>
          <w:rFonts w:hint="eastAsia" w:ascii="宋体" w:hAnsi="宋体" w:eastAsia="宋体" w:cs="宋体"/>
          <w:color w:val="auto"/>
          <w:szCs w:val="21"/>
          <w:lang w:eastAsia="zh-CN"/>
        </w:rPr>
        <w:t>谈判小组</w:t>
      </w:r>
      <w:r>
        <w:rPr>
          <w:rFonts w:hint="eastAsia" w:ascii="宋体" w:hAnsi="宋体" w:cs="宋体"/>
          <w:color w:val="auto"/>
          <w:szCs w:val="21"/>
          <w:lang w:val="en-US" w:eastAsia="zh-CN"/>
        </w:rPr>
        <w:t>共同研判同意后可进行第三次报价。</w:t>
      </w:r>
    </w:p>
    <w:p w14:paraId="6C1444A9">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经谈判确定最终采购需求和提交最后报价的供应商后，由谈判小组采用最低评标价法对提交最后报价的供应商的响应文件和最后报价进行排名。最低评标价法，是指响应⽂件满⾜谈判⽂件全部实质性要求且最后报价最低的供应商成交。</w:t>
      </w:r>
    </w:p>
    <w:p w14:paraId="6A2F401D">
      <w:pPr>
        <w:spacing w:line="360" w:lineRule="auto"/>
        <w:rPr>
          <w:rFonts w:hint="eastAsia" w:ascii="宋体" w:hAnsi="宋体" w:eastAsia="宋体" w:cs="宋体"/>
          <w:color w:val="auto"/>
          <w:szCs w:val="21"/>
        </w:rPr>
      </w:pPr>
      <w:r>
        <w:rPr>
          <w:rFonts w:hint="eastAsia" w:ascii="宋体" w:hAnsi="宋体" w:eastAsia="宋体" w:cs="宋体"/>
          <w:color w:val="auto"/>
          <w:szCs w:val="21"/>
        </w:rPr>
        <w:t>二、</w:t>
      </w:r>
      <w:r>
        <w:rPr>
          <w:rFonts w:hint="eastAsia" w:ascii="宋体" w:hAnsi="宋体" w:cs="宋体"/>
          <w:color w:val="auto"/>
          <w:szCs w:val="21"/>
          <w:lang w:eastAsia="zh-CN"/>
        </w:rPr>
        <w:t>谈判</w:t>
      </w:r>
      <w:r>
        <w:rPr>
          <w:rFonts w:hint="eastAsia" w:ascii="宋体" w:hAnsi="宋体" w:eastAsia="宋体" w:cs="宋体"/>
          <w:color w:val="auto"/>
          <w:szCs w:val="21"/>
        </w:rPr>
        <w:t>程序：</w:t>
      </w:r>
    </w:p>
    <w:p w14:paraId="6D5665D9">
      <w:pPr>
        <w:spacing w:line="360" w:lineRule="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eastAsia="zh-CN"/>
        </w:rPr>
        <w:t>.谈判</w:t>
      </w:r>
      <w:r>
        <w:rPr>
          <w:rFonts w:hint="eastAsia" w:ascii="宋体" w:hAnsi="宋体" w:eastAsia="宋体" w:cs="宋体"/>
          <w:color w:val="auto"/>
          <w:szCs w:val="21"/>
        </w:rPr>
        <w:t>主持人宣布</w:t>
      </w:r>
      <w:r>
        <w:rPr>
          <w:rFonts w:hint="eastAsia" w:ascii="宋体" w:hAnsi="宋体" w:cs="宋体"/>
          <w:color w:val="auto"/>
          <w:szCs w:val="21"/>
          <w:lang w:eastAsia="zh-CN"/>
        </w:rPr>
        <w:t>谈判</w:t>
      </w:r>
      <w:r>
        <w:rPr>
          <w:rFonts w:hint="eastAsia" w:ascii="宋体" w:hAnsi="宋体" w:eastAsia="宋体" w:cs="宋体"/>
          <w:color w:val="auto"/>
          <w:szCs w:val="21"/>
        </w:rPr>
        <w:t>会议开始，介绍出席</w:t>
      </w:r>
      <w:r>
        <w:rPr>
          <w:rFonts w:hint="eastAsia" w:ascii="宋体" w:hAnsi="宋体" w:cs="宋体"/>
          <w:color w:val="auto"/>
          <w:szCs w:val="21"/>
          <w:lang w:eastAsia="zh-CN"/>
        </w:rPr>
        <w:t>谈判</w:t>
      </w:r>
      <w:r>
        <w:rPr>
          <w:rFonts w:hint="eastAsia" w:ascii="宋体" w:hAnsi="宋体" w:eastAsia="宋体" w:cs="宋体"/>
          <w:color w:val="auto"/>
          <w:szCs w:val="21"/>
        </w:rPr>
        <w:t>会议的有关人员；</w:t>
      </w:r>
    </w:p>
    <w:p w14:paraId="251E2D01">
      <w:pPr>
        <w:spacing w:line="360" w:lineRule="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宣布响应文件递交截止时间止，实际参加</w:t>
      </w:r>
      <w:r>
        <w:rPr>
          <w:rFonts w:hint="eastAsia" w:ascii="宋体" w:hAnsi="宋体" w:cs="宋体"/>
          <w:color w:val="auto"/>
          <w:szCs w:val="21"/>
          <w:lang w:eastAsia="zh-CN"/>
        </w:rPr>
        <w:t>谈判</w:t>
      </w:r>
      <w:r>
        <w:rPr>
          <w:rFonts w:hint="eastAsia" w:ascii="宋体" w:hAnsi="宋体" w:eastAsia="宋体" w:cs="宋体"/>
          <w:color w:val="auto"/>
          <w:szCs w:val="21"/>
        </w:rPr>
        <w:t>的供应商数量；</w:t>
      </w:r>
    </w:p>
    <w:p w14:paraId="13334F6C">
      <w:pPr>
        <w:spacing w:line="360" w:lineRule="auto"/>
        <w:rPr>
          <w:rFonts w:hint="eastAsia" w:ascii="宋体" w:hAnsi="宋体" w:eastAsia="宋体" w:cs="宋体"/>
          <w:color w:val="auto"/>
        </w:rPr>
      </w:pPr>
      <w:r>
        <w:rPr>
          <w:rFonts w:hint="eastAsia" w:ascii="宋体" w:hAnsi="宋体" w:eastAsia="宋体" w:cs="宋体"/>
          <w:color w:val="auto"/>
          <w:szCs w:val="21"/>
        </w:rPr>
        <w:t>3</w:t>
      </w:r>
      <w:r>
        <w:rPr>
          <w:rFonts w:hint="eastAsia" w:ascii="宋体" w:hAnsi="宋体" w:cs="宋体"/>
          <w:color w:val="auto"/>
          <w:szCs w:val="21"/>
          <w:lang w:eastAsia="zh-CN"/>
        </w:rPr>
        <w:t>.</w:t>
      </w:r>
      <w:r>
        <w:rPr>
          <w:rFonts w:hint="eastAsia" w:ascii="宋体" w:hAnsi="宋体" w:eastAsia="宋体" w:cs="宋体"/>
          <w:color w:val="auto"/>
          <w:szCs w:val="21"/>
        </w:rPr>
        <w:t>供应商推荐代表检查响应文件的密封情况，并签字确认；</w:t>
      </w:r>
    </w:p>
    <w:p w14:paraId="23B075ED">
      <w:pPr>
        <w:spacing w:line="360" w:lineRule="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eastAsia="zh-CN"/>
        </w:rPr>
        <w:t>.谈判</w:t>
      </w:r>
      <w:r>
        <w:rPr>
          <w:rFonts w:hint="eastAsia" w:ascii="宋体" w:hAnsi="宋体" w:eastAsia="宋体" w:cs="宋体"/>
          <w:color w:val="auto"/>
          <w:szCs w:val="21"/>
        </w:rPr>
        <w:t>主持人公布检查响应文件密封检查结果，密封检查不合格响应文件供应商的不进入资格审查，响应文件原封退回给密封检查不合格供应商；</w:t>
      </w:r>
    </w:p>
    <w:p w14:paraId="0046A25E">
      <w:pPr>
        <w:spacing w:line="360" w:lineRule="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eastAsia="zh-CN"/>
        </w:rPr>
        <w:t>.</w:t>
      </w:r>
      <w:r>
        <w:rPr>
          <w:rFonts w:hint="eastAsia" w:ascii="宋体" w:hAnsi="宋体" w:eastAsia="宋体" w:cs="宋体"/>
          <w:color w:val="auto"/>
          <w:szCs w:val="21"/>
        </w:rPr>
        <w:t>将符合的响应文件递交</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cs="宋体"/>
          <w:color w:val="auto"/>
          <w:szCs w:val="21"/>
          <w:lang w:eastAsia="zh-CN"/>
        </w:rPr>
        <w:t>谈判</w:t>
      </w:r>
      <w:r>
        <w:rPr>
          <w:rFonts w:hint="eastAsia" w:ascii="宋体" w:hAnsi="宋体" w:eastAsia="宋体" w:cs="宋体"/>
          <w:color w:val="auto"/>
          <w:szCs w:val="21"/>
        </w:rPr>
        <w:t>小组全体成员集体审查各供应商资格。</w:t>
      </w:r>
    </w:p>
    <w:p w14:paraId="623076E5">
      <w:pPr>
        <w:spacing w:line="360" w:lineRule="auto"/>
        <w:rPr>
          <w:rFonts w:hint="eastAsia" w:ascii="宋体" w:hAnsi="宋体" w:eastAsia="宋体" w:cs="宋体"/>
          <w:b/>
          <w:bCs/>
          <w:color w:val="auto"/>
          <w:szCs w:val="21"/>
          <w:lang w:val="en-US"/>
        </w:rPr>
      </w:pPr>
      <w:r>
        <w:rPr>
          <w:rFonts w:hint="eastAsia" w:ascii="宋体" w:hAnsi="宋体" w:eastAsia="宋体" w:cs="宋体"/>
          <w:b/>
          <w:bCs/>
          <w:color w:val="auto"/>
          <w:szCs w:val="21"/>
        </w:rPr>
        <w:t>6</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小组审查各供应商资格，资格审查内容</w:t>
      </w:r>
      <w:r>
        <w:rPr>
          <w:rFonts w:hint="eastAsia" w:ascii="宋体" w:hAnsi="宋体" w:eastAsia="宋体" w:cs="宋体"/>
          <w:b/>
          <w:bCs/>
          <w:color w:val="auto"/>
          <w:szCs w:val="21"/>
          <w:lang w:val="en-US" w:eastAsia="zh-CN"/>
        </w:rPr>
        <w:t>详见采购文件第三章。</w:t>
      </w:r>
    </w:p>
    <w:p w14:paraId="0A43FD19">
      <w:pPr>
        <w:pStyle w:val="12"/>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注：（1）复印件或扫描件不清楚或有疑问，</w:t>
      </w:r>
      <w:r>
        <w:rPr>
          <w:rFonts w:hint="eastAsia" w:ascii="宋体" w:hAnsi="宋体" w:cs="宋体"/>
          <w:color w:val="auto"/>
          <w:szCs w:val="21"/>
          <w:lang w:val="zh-CN"/>
        </w:rPr>
        <w:t>竞争性谈判</w:t>
      </w:r>
      <w:r>
        <w:rPr>
          <w:rFonts w:hint="eastAsia" w:ascii="宋体" w:hAnsi="宋体" w:eastAsia="宋体" w:cs="宋体"/>
          <w:color w:val="auto"/>
          <w:szCs w:val="21"/>
          <w:lang w:val="zh-CN"/>
        </w:rPr>
        <w:t>小组有权要求供应商提供清楚复印件或扫描件备查，如供应商不能提供的，视为不合格。</w:t>
      </w:r>
    </w:p>
    <w:p w14:paraId="34FCF413">
      <w:pPr>
        <w:pStyle w:val="12"/>
        <w:spacing w:line="360" w:lineRule="auto"/>
        <w:rPr>
          <w:rFonts w:hint="eastAsia" w:ascii="宋体" w:hAnsi="宋体" w:eastAsia="宋体" w:cs="宋体"/>
          <w:color w:val="auto"/>
          <w:szCs w:val="21"/>
        </w:rPr>
      </w:pPr>
      <w:r>
        <w:rPr>
          <w:rFonts w:hint="eastAsia" w:ascii="宋体" w:hAnsi="宋体" w:eastAsia="宋体" w:cs="宋体"/>
          <w:color w:val="auto"/>
          <w:szCs w:val="21"/>
        </w:rPr>
        <w:t>（2）有一项因素不符合审查标准的，不通过资格审查。未通过资格审查供应商响应文件按无效响应文件处理。</w:t>
      </w:r>
    </w:p>
    <w:p w14:paraId="61BCA1B6">
      <w:pPr>
        <w:spacing w:line="360" w:lineRule="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.谈判</w:t>
      </w:r>
      <w:r>
        <w:rPr>
          <w:rFonts w:hint="eastAsia" w:ascii="宋体" w:hAnsi="宋体" w:eastAsia="宋体" w:cs="宋体"/>
          <w:color w:val="auto"/>
          <w:szCs w:val="21"/>
        </w:rPr>
        <w:t>小组对资格审查合格的供应商的响应文件的</w:t>
      </w:r>
      <w:r>
        <w:rPr>
          <w:rFonts w:hint="eastAsia" w:ascii="宋体" w:hAnsi="宋体" w:eastAsia="宋体" w:cs="宋体"/>
          <w:color w:val="auto"/>
          <w:szCs w:val="21"/>
          <w:lang w:val="en-US" w:eastAsia="zh-CN"/>
        </w:rPr>
        <w:t>符合性</w:t>
      </w:r>
      <w:r>
        <w:rPr>
          <w:rFonts w:hint="eastAsia" w:ascii="宋体" w:hAnsi="宋体" w:eastAsia="宋体" w:cs="宋体"/>
          <w:color w:val="auto"/>
          <w:szCs w:val="21"/>
        </w:rPr>
        <w:t>程度进行审查，以确定是否对</w:t>
      </w:r>
      <w:r>
        <w:rPr>
          <w:rFonts w:hint="eastAsia" w:ascii="宋体" w:hAnsi="宋体" w:cs="宋体"/>
          <w:color w:val="auto"/>
          <w:szCs w:val="21"/>
          <w:lang w:eastAsia="zh-CN"/>
        </w:rPr>
        <w:t>竞争性谈判</w:t>
      </w:r>
      <w:r>
        <w:rPr>
          <w:rFonts w:hint="eastAsia" w:ascii="宋体" w:hAnsi="宋体" w:eastAsia="宋体" w:cs="宋体"/>
          <w:color w:val="auto"/>
          <w:szCs w:val="21"/>
        </w:rPr>
        <w:t>文件的实质性要求作出响应。未实质性响应</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文件的响应文件按无效响应文件处理，对响应文件无效，无资格进入</w:t>
      </w:r>
      <w:r>
        <w:rPr>
          <w:rFonts w:hint="eastAsia" w:ascii="宋体" w:hAnsi="宋体" w:cs="宋体"/>
          <w:color w:val="auto"/>
          <w:szCs w:val="21"/>
          <w:lang w:eastAsia="zh-CN"/>
        </w:rPr>
        <w:t>谈判</w:t>
      </w:r>
      <w:r>
        <w:rPr>
          <w:rFonts w:hint="eastAsia" w:ascii="宋体" w:hAnsi="宋体" w:eastAsia="宋体" w:cs="宋体"/>
          <w:color w:val="auto"/>
          <w:szCs w:val="21"/>
        </w:rPr>
        <w:t>阶段的供应商以书面形式出具无效原因说明；符合性程度进行审查内容见下表：</w:t>
      </w:r>
    </w:p>
    <w:p w14:paraId="3DCC73DF">
      <w:pPr>
        <w:rPr>
          <w:rFonts w:hint="eastAsia"/>
          <w:b/>
          <w:bCs/>
          <w:sz w:val="21"/>
          <w:szCs w:val="21"/>
          <w:lang w:val="en-US" w:eastAsia="zh-CN"/>
        </w:rPr>
      </w:pPr>
      <w:r>
        <w:rPr>
          <w:rFonts w:hint="eastAsia"/>
          <w:b/>
          <w:bCs/>
          <w:sz w:val="21"/>
          <w:szCs w:val="21"/>
          <w:lang w:val="en-US" w:eastAsia="zh-CN"/>
        </w:rPr>
        <w:br w:type="page"/>
      </w:r>
    </w:p>
    <w:p w14:paraId="2CE0F0DE">
      <w:pPr>
        <w:pStyle w:val="9"/>
        <w:jc w:val="center"/>
        <w:rPr>
          <w:rFonts w:hint="default" w:eastAsia="宋体"/>
          <w:b/>
          <w:bCs/>
          <w:sz w:val="21"/>
          <w:szCs w:val="21"/>
          <w:lang w:val="en-US" w:eastAsia="zh-CN"/>
        </w:rPr>
      </w:pPr>
      <w:r>
        <w:rPr>
          <w:rFonts w:hint="eastAsia"/>
          <w:b/>
          <w:bCs/>
          <w:sz w:val="21"/>
          <w:szCs w:val="21"/>
          <w:lang w:val="en-US" w:eastAsia="zh-CN"/>
        </w:rPr>
        <w:t>符合性审查评审标准</w:t>
      </w:r>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795"/>
        <w:gridCol w:w="780"/>
        <w:gridCol w:w="170"/>
        <w:gridCol w:w="825"/>
        <w:gridCol w:w="540"/>
        <w:gridCol w:w="1221"/>
        <w:gridCol w:w="1463"/>
        <w:gridCol w:w="481"/>
        <w:gridCol w:w="1134"/>
        <w:gridCol w:w="879"/>
      </w:tblGrid>
      <w:tr w14:paraId="6C5F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586" w:type="dxa"/>
            <w:tcBorders>
              <w:top w:val="single" w:color="auto" w:sz="4" w:space="0"/>
              <w:left w:val="single" w:color="auto" w:sz="4" w:space="0"/>
              <w:bottom w:val="single" w:color="auto" w:sz="4" w:space="0"/>
              <w:right w:val="single" w:color="auto" w:sz="4" w:space="0"/>
            </w:tcBorders>
            <w:vAlign w:val="center"/>
          </w:tcPr>
          <w:p w14:paraId="39ACC3A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rPr>
              <w:br w:type="page"/>
            </w:r>
            <w:r>
              <w:rPr>
                <w:rFonts w:hint="eastAsia" w:ascii="宋体" w:hAnsi="宋体" w:eastAsia="宋体" w:cs="宋体"/>
                <w:color w:val="000000" w:themeColor="text1"/>
                <w:sz w:val="18"/>
                <w:szCs w:val="18"/>
                <w14:textFill>
                  <w14:solidFill>
                    <w14:schemeClr w14:val="tx1"/>
                  </w14:solidFill>
                </w14:textFill>
              </w:rPr>
              <w:t>序号</w:t>
            </w:r>
          </w:p>
        </w:tc>
        <w:tc>
          <w:tcPr>
            <w:tcW w:w="1795" w:type="dxa"/>
            <w:tcBorders>
              <w:top w:val="single" w:color="auto" w:sz="4" w:space="0"/>
              <w:left w:val="single" w:color="auto" w:sz="4" w:space="0"/>
              <w:bottom w:val="single" w:color="auto" w:sz="4" w:space="0"/>
              <w:right w:val="single" w:color="auto" w:sz="4" w:space="0"/>
            </w:tcBorders>
            <w:vAlign w:val="center"/>
          </w:tcPr>
          <w:p w14:paraId="3B00C5CF">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评审因素</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A72AB02">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评审标准</w:t>
            </w:r>
          </w:p>
        </w:tc>
      </w:tr>
      <w:tr w14:paraId="23D6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86" w:type="dxa"/>
            <w:vMerge w:val="restart"/>
            <w:tcBorders>
              <w:top w:val="single" w:color="auto" w:sz="4" w:space="0"/>
              <w:left w:val="single" w:color="auto" w:sz="4" w:space="0"/>
              <w:right w:val="single" w:color="auto" w:sz="4" w:space="0"/>
            </w:tcBorders>
            <w:vAlign w:val="center"/>
          </w:tcPr>
          <w:p w14:paraId="18F70417">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795" w:type="dxa"/>
            <w:vMerge w:val="restart"/>
            <w:tcBorders>
              <w:top w:val="single" w:color="auto" w:sz="4" w:space="0"/>
              <w:left w:val="single" w:color="auto" w:sz="4" w:space="0"/>
              <w:right w:val="single" w:color="auto" w:sz="4" w:space="0"/>
            </w:tcBorders>
            <w:vAlign w:val="center"/>
          </w:tcPr>
          <w:p w14:paraId="167DEFB4">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供应商的响应</w:t>
            </w:r>
            <w:r>
              <w:rPr>
                <w:rFonts w:hint="eastAsia" w:ascii="宋体" w:hAnsi="宋体" w:eastAsia="宋体" w:cs="宋体"/>
                <w:color w:val="000000" w:themeColor="text1"/>
                <w:sz w:val="18"/>
                <w:szCs w:val="18"/>
                <w14:textFill>
                  <w14:solidFill>
                    <w14:schemeClr w14:val="tx1"/>
                  </w14:solidFill>
                </w14:textFill>
              </w:rPr>
              <w:t>报价</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EA87CE7">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供应商响应文件中报价≤</w:t>
            </w:r>
            <w:r>
              <w:rPr>
                <w:rFonts w:hint="eastAsia" w:ascii="宋体" w:hAnsi="宋体" w:eastAsia="宋体" w:cs="宋体"/>
                <w:color w:val="000000" w:themeColor="text1"/>
                <w:sz w:val="18"/>
                <w:szCs w:val="18"/>
                <w:lang w:val="en-US" w:eastAsia="zh-CN"/>
                <w14:textFill>
                  <w14:solidFill>
                    <w14:schemeClr w14:val="tx1"/>
                  </w14:solidFill>
                </w14:textFill>
              </w:rPr>
              <w:t>以下</w:t>
            </w:r>
            <w:r>
              <w:rPr>
                <w:rFonts w:hint="eastAsia" w:ascii="宋体" w:hAnsi="宋体" w:eastAsia="宋体" w:cs="宋体"/>
                <w:color w:val="000000" w:themeColor="text1"/>
                <w:sz w:val="18"/>
                <w:szCs w:val="18"/>
                <w14:textFill>
                  <w14:solidFill>
                    <w14:schemeClr w14:val="tx1"/>
                  </w14:solidFill>
                </w14:textFill>
              </w:rPr>
              <w:t>最高限价</w:t>
            </w:r>
            <w:r>
              <w:rPr>
                <w:rFonts w:hint="eastAsia" w:ascii="宋体" w:hAnsi="宋体" w:eastAsia="宋体" w:cs="宋体"/>
                <w:color w:val="000000" w:themeColor="text1"/>
                <w:sz w:val="18"/>
                <w:szCs w:val="18"/>
                <w:lang w:eastAsia="zh-CN"/>
                <w14:textFill>
                  <w14:solidFill>
                    <w14:schemeClr w14:val="tx1"/>
                  </w14:solidFill>
                </w14:textFill>
              </w:rPr>
              <w:t>：</w:t>
            </w:r>
          </w:p>
        </w:tc>
      </w:tr>
      <w:tr w14:paraId="4D12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586" w:type="dxa"/>
            <w:vMerge w:val="continue"/>
            <w:tcBorders>
              <w:left w:val="single" w:color="auto" w:sz="4" w:space="0"/>
              <w:right w:val="single" w:color="auto" w:sz="4" w:space="0"/>
            </w:tcBorders>
            <w:vAlign w:val="center"/>
          </w:tcPr>
          <w:p w14:paraId="31D46505">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48EA1A62">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950" w:type="dxa"/>
            <w:gridSpan w:val="2"/>
            <w:tcBorders>
              <w:top w:val="single" w:color="auto" w:sz="4" w:space="0"/>
              <w:left w:val="single" w:color="auto" w:sz="4" w:space="0"/>
              <w:bottom w:val="single" w:color="auto" w:sz="4" w:space="0"/>
              <w:right w:val="single" w:color="auto" w:sz="4" w:space="0"/>
            </w:tcBorders>
            <w:vAlign w:val="center"/>
          </w:tcPr>
          <w:p w14:paraId="79BC3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标段</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3B2FFD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数量（吨）</w:t>
            </w:r>
          </w:p>
        </w:tc>
        <w:tc>
          <w:tcPr>
            <w:tcW w:w="1221" w:type="dxa"/>
            <w:tcBorders>
              <w:top w:val="single" w:color="auto" w:sz="4" w:space="0"/>
              <w:left w:val="single" w:color="auto" w:sz="4" w:space="0"/>
              <w:bottom w:val="single" w:color="auto" w:sz="4" w:space="0"/>
              <w:right w:val="single" w:color="auto" w:sz="4" w:space="0"/>
            </w:tcBorders>
            <w:vAlign w:val="center"/>
          </w:tcPr>
          <w:p w14:paraId="6E9B7D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货物总价</w:t>
            </w:r>
          </w:p>
          <w:p w14:paraId="1494EAFF">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万</w:t>
            </w:r>
            <w:r>
              <w:rPr>
                <w:rFonts w:hint="eastAsia" w:ascii="宋体" w:hAnsi="宋体" w:eastAsia="宋体" w:cs="宋体"/>
                <w:kern w:val="0"/>
                <w:sz w:val="18"/>
                <w:szCs w:val="18"/>
                <w:lang w:val="en-US" w:eastAsia="zh-CN" w:bidi="ar-SA"/>
              </w:rPr>
              <w:t>元）</w:t>
            </w:r>
          </w:p>
        </w:tc>
        <w:tc>
          <w:tcPr>
            <w:tcW w:w="1944" w:type="dxa"/>
            <w:gridSpan w:val="2"/>
            <w:tcBorders>
              <w:top w:val="single" w:color="auto" w:sz="4" w:space="0"/>
              <w:left w:val="single" w:color="auto" w:sz="4" w:space="0"/>
              <w:bottom w:val="single" w:color="auto" w:sz="4" w:space="0"/>
              <w:right w:val="single" w:color="auto" w:sz="4" w:space="0"/>
            </w:tcBorders>
            <w:vAlign w:val="center"/>
          </w:tcPr>
          <w:p w14:paraId="52EE07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kern w:val="0"/>
                <w:sz w:val="18"/>
                <w:szCs w:val="18"/>
              </w:rPr>
              <w:t>货物单价（元</w:t>
            </w:r>
            <w:r>
              <w:rPr>
                <w:rFonts w:hint="eastAsia" w:ascii="宋体" w:hAnsi="宋体" w:eastAsia="宋体" w:cs="宋体"/>
                <w:kern w:val="0"/>
                <w:sz w:val="18"/>
                <w:szCs w:val="18"/>
                <w:lang w:val="en-US" w:eastAsia="zh-CN"/>
              </w:rPr>
              <w:t>/吨</w:t>
            </w:r>
            <w:r>
              <w:rPr>
                <w:rFonts w:hint="eastAsia" w:ascii="宋体" w:hAnsi="宋体" w:eastAsia="宋体" w:cs="宋体"/>
                <w:kern w:val="0"/>
                <w:sz w:val="18"/>
                <w:szCs w:val="18"/>
              </w:rPr>
              <w:t>）</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5FA91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kern w:val="0"/>
                <w:sz w:val="18"/>
                <w:szCs w:val="18"/>
                <w:lang w:val="en-US" w:eastAsia="zh-CN"/>
              </w:rPr>
              <w:t>热值基准单价</w:t>
            </w:r>
            <w:r>
              <w:rPr>
                <w:rFonts w:hint="eastAsia" w:ascii="宋体" w:hAnsi="宋体" w:eastAsia="宋体" w:cs="宋体"/>
                <w:i w:val="0"/>
                <w:iCs w:val="0"/>
                <w:color w:val="auto"/>
                <w:kern w:val="0"/>
                <w:sz w:val="18"/>
                <w:szCs w:val="18"/>
                <w:highlight w:val="none"/>
                <w:u w:val="none"/>
                <w:lang w:val="en-US" w:eastAsia="zh-CN" w:bidi="ar"/>
              </w:rPr>
              <w:t>（元 /[(kcal/kg)</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吨]</w:t>
            </w:r>
            <w:r>
              <w:rPr>
                <w:rFonts w:hint="eastAsia" w:ascii="宋体" w:hAnsi="宋体" w:eastAsia="宋体" w:cs="宋体"/>
                <w:color w:val="auto"/>
                <w:kern w:val="0"/>
                <w:sz w:val="18"/>
                <w:szCs w:val="18"/>
                <w:highlight w:val="none"/>
              </w:rPr>
              <w:t>）</w:t>
            </w:r>
          </w:p>
        </w:tc>
      </w:tr>
      <w:tr w14:paraId="2DD5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586" w:type="dxa"/>
            <w:vMerge w:val="continue"/>
            <w:tcBorders>
              <w:left w:val="single" w:color="auto" w:sz="4" w:space="0"/>
              <w:right w:val="single" w:color="auto" w:sz="4" w:space="0"/>
            </w:tcBorders>
            <w:vAlign w:val="center"/>
          </w:tcPr>
          <w:p w14:paraId="696D5C5E">
            <w:pPr>
              <w:spacing w:line="360" w:lineRule="auto"/>
              <w:jc w:val="center"/>
              <w:rPr>
                <w:rFonts w:hint="eastAsia" w:ascii="宋体" w:hAnsi="宋体" w:eastAsia="宋体" w:cs="宋体"/>
                <w:color w:val="FF0000"/>
                <w:sz w:val="18"/>
                <w:szCs w:val="18"/>
              </w:rPr>
            </w:pPr>
          </w:p>
        </w:tc>
        <w:tc>
          <w:tcPr>
            <w:tcW w:w="1795" w:type="dxa"/>
            <w:vMerge w:val="continue"/>
            <w:tcBorders>
              <w:left w:val="single" w:color="auto" w:sz="4" w:space="0"/>
              <w:right w:val="single" w:color="auto" w:sz="4" w:space="0"/>
            </w:tcBorders>
            <w:vAlign w:val="center"/>
          </w:tcPr>
          <w:p w14:paraId="700D4C8E">
            <w:pPr>
              <w:spacing w:line="360" w:lineRule="auto"/>
              <w:jc w:val="center"/>
              <w:rPr>
                <w:rFonts w:hint="eastAsia" w:ascii="宋体" w:hAnsi="宋体" w:eastAsia="宋体" w:cs="宋体"/>
                <w:color w:val="FF0000"/>
                <w:sz w:val="18"/>
                <w:szCs w:val="18"/>
                <w:lang w:val="en-US" w:eastAsia="zh-CN"/>
              </w:rPr>
            </w:pPr>
          </w:p>
        </w:tc>
        <w:tc>
          <w:tcPr>
            <w:tcW w:w="9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33D9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一标段</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37BE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≥20000</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14:paraId="4D32C2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1024.8</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DFF1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512.4</w:t>
            </w:r>
          </w:p>
        </w:tc>
        <w:tc>
          <w:tcPr>
            <w:tcW w:w="2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3EAA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0.122</w:t>
            </w:r>
          </w:p>
        </w:tc>
      </w:tr>
      <w:tr w14:paraId="6FF0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586" w:type="dxa"/>
            <w:vMerge w:val="continue"/>
            <w:tcBorders>
              <w:left w:val="single" w:color="auto" w:sz="4" w:space="0"/>
              <w:right w:val="single" w:color="auto" w:sz="4" w:space="0"/>
            </w:tcBorders>
            <w:vAlign w:val="center"/>
          </w:tcPr>
          <w:p w14:paraId="769471CF">
            <w:pPr>
              <w:spacing w:line="360" w:lineRule="auto"/>
              <w:jc w:val="center"/>
              <w:rPr>
                <w:rFonts w:hint="eastAsia" w:ascii="宋体" w:hAnsi="宋体" w:eastAsia="宋体" w:cs="宋体"/>
                <w:color w:val="FF0000"/>
                <w:sz w:val="18"/>
                <w:szCs w:val="18"/>
              </w:rPr>
            </w:pPr>
          </w:p>
        </w:tc>
        <w:tc>
          <w:tcPr>
            <w:tcW w:w="1795" w:type="dxa"/>
            <w:vMerge w:val="continue"/>
            <w:tcBorders>
              <w:left w:val="single" w:color="auto" w:sz="4" w:space="0"/>
              <w:right w:val="single" w:color="auto" w:sz="4" w:space="0"/>
            </w:tcBorders>
            <w:vAlign w:val="center"/>
          </w:tcPr>
          <w:p w14:paraId="751BEE35">
            <w:pPr>
              <w:spacing w:line="360" w:lineRule="auto"/>
              <w:jc w:val="center"/>
              <w:rPr>
                <w:rFonts w:hint="eastAsia" w:ascii="宋体" w:hAnsi="宋体" w:eastAsia="宋体" w:cs="宋体"/>
                <w:color w:val="FF0000"/>
                <w:sz w:val="18"/>
                <w:szCs w:val="18"/>
                <w:lang w:val="en-US" w:eastAsia="zh-CN"/>
              </w:rPr>
            </w:pPr>
          </w:p>
        </w:tc>
        <w:tc>
          <w:tcPr>
            <w:tcW w:w="9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080E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二标段</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C9B9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≥10000</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14:paraId="7630B1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650</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0D29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650</w:t>
            </w:r>
          </w:p>
        </w:tc>
        <w:tc>
          <w:tcPr>
            <w:tcW w:w="2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C3C9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0.130</w:t>
            </w:r>
          </w:p>
        </w:tc>
      </w:tr>
      <w:tr w14:paraId="09D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586" w:type="dxa"/>
            <w:vMerge w:val="restart"/>
            <w:tcBorders>
              <w:left w:val="single" w:color="auto" w:sz="4" w:space="0"/>
              <w:right w:val="single" w:color="auto" w:sz="4" w:space="0"/>
            </w:tcBorders>
            <w:vAlign w:val="center"/>
          </w:tcPr>
          <w:p w14:paraId="22B214CF">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795" w:type="dxa"/>
            <w:vMerge w:val="restart"/>
            <w:tcBorders>
              <w:left w:val="single" w:color="auto" w:sz="4" w:space="0"/>
              <w:right w:val="single" w:color="auto" w:sz="4" w:space="0"/>
            </w:tcBorders>
            <w:vAlign w:val="center"/>
          </w:tcPr>
          <w:p w14:paraId="3406BE56">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响应文件技术</w:t>
            </w:r>
            <w:r>
              <w:rPr>
                <w:rFonts w:hint="eastAsia" w:ascii="宋体" w:hAnsi="宋体" w:eastAsia="宋体" w:cs="宋体"/>
                <w:color w:val="000000" w:themeColor="text1"/>
                <w:sz w:val="18"/>
                <w:szCs w:val="18"/>
                <w14:textFill>
                  <w14:solidFill>
                    <w14:schemeClr w14:val="tx1"/>
                  </w14:solidFill>
                </w14:textFill>
              </w:rPr>
              <w:t>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05E8CF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供应商响应文件技术偏离表完全响应以下技术条款，即不得有负偏离</w:t>
            </w:r>
          </w:p>
        </w:tc>
      </w:tr>
      <w:tr w14:paraId="0B5F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107960CD">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0856B68">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D4387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cs="宋体"/>
                <w:color w:val="000000" w:themeColor="text1"/>
                <w:kern w:val="2"/>
                <w:sz w:val="18"/>
                <w:szCs w:val="18"/>
                <w:lang w:val="en-US" w:eastAsia="zh-CN" w:bidi="ar-SA"/>
                <w14:textFill>
                  <w14:solidFill>
                    <w14:schemeClr w14:val="tx1"/>
                  </w14:solidFill>
                </w14:textFill>
              </w:rPr>
              <w:t>标段</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7C23FB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kern w:val="0"/>
                <w:sz w:val="18"/>
                <w:szCs w:val="18"/>
              </w:rPr>
              <w:t>煤</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种</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4D173B2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Qnet,ar(kcal/kg)</w:t>
            </w:r>
          </w:p>
        </w:tc>
        <w:tc>
          <w:tcPr>
            <w:tcW w:w="1463" w:type="dxa"/>
            <w:tcBorders>
              <w:top w:val="single" w:color="auto" w:sz="4" w:space="0"/>
              <w:left w:val="single" w:color="auto" w:sz="4" w:space="0"/>
              <w:bottom w:val="single" w:color="auto" w:sz="4" w:space="0"/>
              <w:right w:val="single" w:color="auto" w:sz="4" w:space="0"/>
            </w:tcBorders>
            <w:vAlign w:val="center"/>
          </w:tcPr>
          <w:p w14:paraId="4C1284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Mt(%)</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92B46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Var(%)</w:t>
            </w:r>
          </w:p>
        </w:tc>
        <w:tc>
          <w:tcPr>
            <w:tcW w:w="879" w:type="dxa"/>
            <w:tcBorders>
              <w:top w:val="single" w:color="auto" w:sz="4" w:space="0"/>
              <w:left w:val="single" w:color="auto" w:sz="4" w:space="0"/>
              <w:bottom w:val="single" w:color="auto" w:sz="4" w:space="0"/>
              <w:right w:val="single" w:color="auto" w:sz="4" w:space="0"/>
            </w:tcBorders>
            <w:vAlign w:val="center"/>
          </w:tcPr>
          <w:p w14:paraId="0EC86B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lang w:val="en-US" w:eastAsia="zh-CN"/>
              </w:rPr>
            </w:pPr>
            <w:r>
              <w:rPr>
                <w:rFonts w:hint="eastAsia" w:ascii="宋体" w:hAnsi="宋体" w:eastAsia="宋体" w:cs="宋体"/>
                <w:sz w:val="18"/>
                <w:szCs w:val="18"/>
                <w:lang w:val="en-US" w:eastAsia="zh-CN"/>
              </w:rPr>
              <w:t>St,d(%)</w:t>
            </w:r>
          </w:p>
        </w:tc>
      </w:tr>
      <w:tr w14:paraId="0C35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4BAF5645">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18157C5D">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64F1D6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一标段</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0AB3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烟煤</w:t>
            </w: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8EFF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≥4200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950C0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w:t>
            </w: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9A315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13.00≤Var(%)≤25.00</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15D04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≤3.00</w:t>
            </w:r>
          </w:p>
        </w:tc>
      </w:tr>
      <w:tr w14:paraId="6B04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70B597D4">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56B7F351">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19CF2F3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二标段</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77E2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烟煤</w:t>
            </w: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3E221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≥5000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FA1BE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w:t>
            </w: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1BD6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13.00≤Var(%)≤25.00</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41E41F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≤3.00</w:t>
            </w:r>
          </w:p>
        </w:tc>
      </w:tr>
      <w:tr w14:paraId="5953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restart"/>
            <w:tcBorders>
              <w:left w:val="single" w:color="auto" w:sz="4" w:space="0"/>
              <w:right w:val="single" w:color="auto" w:sz="4" w:space="0"/>
            </w:tcBorders>
            <w:vAlign w:val="center"/>
          </w:tcPr>
          <w:p w14:paraId="4661788C">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c>
          <w:tcPr>
            <w:tcW w:w="1795" w:type="dxa"/>
            <w:vMerge w:val="restart"/>
            <w:tcBorders>
              <w:left w:val="single" w:color="auto" w:sz="4" w:space="0"/>
              <w:right w:val="single" w:color="auto" w:sz="4" w:space="0"/>
            </w:tcBorders>
            <w:vAlign w:val="center"/>
          </w:tcPr>
          <w:p w14:paraId="15AE0EFD">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w:t>
            </w:r>
            <w:r>
              <w:rPr>
                <w:rFonts w:hint="eastAsia" w:ascii="宋体" w:hAnsi="宋体" w:eastAsia="宋体" w:cs="宋体"/>
                <w:color w:val="000000" w:themeColor="text1"/>
                <w:sz w:val="18"/>
                <w:szCs w:val="18"/>
                <w14:textFill>
                  <w14:solidFill>
                    <w14:schemeClr w14:val="tx1"/>
                  </w14:solidFill>
                </w14:textFill>
              </w:rPr>
              <w:t>商务条款响应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BEBD7BC">
            <w:pPr>
              <w:jc w:val="center"/>
              <w:rPr>
                <w:rFonts w:hint="default" w:ascii="宋体" w:hAnsi="宋体" w:eastAsia="宋体" w:cs="宋体"/>
                <w:sz w:val="18"/>
                <w:szCs w:val="18"/>
                <w:vertAlign w:val="baseline"/>
                <w:lang w:val="en-US"/>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供应商响应文件完全响应以下商务条款，即不得有负偏离</w:t>
            </w:r>
            <w:r>
              <w:rPr>
                <w:rFonts w:hint="eastAsia" w:ascii="宋体" w:hAnsi="宋体" w:cs="宋体"/>
                <w:color w:val="000000" w:themeColor="text1"/>
                <w:sz w:val="18"/>
                <w:szCs w:val="18"/>
                <w:lang w:val="en-US" w:eastAsia="zh-CN"/>
                <w14:textFill>
                  <w14:solidFill>
                    <w14:schemeClr w14:val="tx1"/>
                  </w14:solidFill>
                </w14:textFill>
              </w:rPr>
              <w:t>。</w:t>
            </w:r>
          </w:p>
        </w:tc>
      </w:tr>
      <w:tr w14:paraId="257A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586" w:type="dxa"/>
            <w:vMerge w:val="continue"/>
            <w:tcBorders>
              <w:left w:val="single" w:color="auto" w:sz="4" w:space="0"/>
              <w:right w:val="single" w:color="auto" w:sz="4" w:space="0"/>
            </w:tcBorders>
            <w:vAlign w:val="center"/>
          </w:tcPr>
          <w:p w14:paraId="56AA60D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A8D7F7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408377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交货要求：一标段合同期为45个日历天，二标段合同期为30个日历天；一标段中标供应商在合同期45个日历天内供应燃煤为≥20000吨，二标段中标供应商在合同期30个日历天内供应燃煤为≥10000吨，各标段供应上限由采购人根据实际情况决定。供应商在收到采购人发出的《中标通知书》7个工作日内在采购人指定地点签订合同。</w:t>
            </w:r>
          </w:p>
          <w:p w14:paraId="56CA5E8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cs="宋体"/>
                <w:color w:val="auto"/>
                <w:sz w:val="18"/>
                <w:szCs w:val="18"/>
                <w:lang w:val="en-US" w:eastAsia="zh-CN"/>
              </w:rPr>
            </w:pPr>
          </w:p>
          <w:p w14:paraId="2BE6B97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cs="宋体"/>
                <w:color w:val="auto"/>
                <w:sz w:val="18"/>
                <w:szCs w:val="18"/>
                <w:lang w:val="en-US" w:eastAsia="zh-CN"/>
              </w:rPr>
            </w:pPr>
          </w:p>
        </w:tc>
      </w:tr>
      <w:tr w14:paraId="6BD1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continue"/>
            <w:tcBorders>
              <w:left w:val="single" w:color="auto" w:sz="4" w:space="0"/>
              <w:right w:val="single" w:color="auto" w:sz="4" w:space="0"/>
            </w:tcBorders>
            <w:vAlign w:val="center"/>
          </w:tcPr>
          <w:p w14:paraId="4DA09889">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7ECC266D">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0544BC3">
            <w:pPr>
              <w:jc w:val="both"/>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2.采购区域：省内（来煤若掺配新疆煤、无烟煤采购人有权拒付）。</w:t>
            </w:r>
          </w:p>
          <w:p w14:paraId="13179901">
            <w:pPr>
              <w:ind w:firstLine="180" w:firstLineChars="100"/>
              <w:jc w:val="both"/>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交货地点：贵州钟山野马寨热电有限责任公司煤场。</w:t>
            </w:r>
          </w:p>
        </w:tc>
      </w:tr>
      <w:tr w14:paraId="0B4D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trPr>
        <w:tc>
          <w:tcPr>
            <w:tcW w:w="586" w:type="dxa"/>
            <w:vMerge w:val="continue"/>
            <w:tcBorders>
              <w:left w:val="single" w:color="auto" w:sz="4" w:space="0"/>
              <w:right w:val="single" w:color="auto" w:sz="4" w:space="0"/>
            </w:tcBorders>
            <w:vAlign w:val="center"/>
          </w:tcPr>
          <w:p w14:paraId="04FE234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74C45FF">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53DF3FC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3.合同价格及结算</w:t>
            </w:r>
          </w:p>
          <w:p w14:paraId="735990DD">
            <w:pPr>
              <w:jc w:val="both"/>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3.1各标段合同为单价合同，成交价为合同热值基准价格（一标段基准热值为Qnet,ar≥4200kcal/kg；</w:t>
            </w:r>
            <w:r>
              <w:rPr>
                <w:rFonts w:hint="eastAsia" w:ascii="宋体" w:hAnsi="宋体" w:cs="宋体"/>
                <w:color w:val="000000" w:themeColor="text1"/>
                <w:sz w:val="18"/>
                <w:szCs w:val="18"/>
                <w:lang w:val="en-US" w:eastAsia="zh-CN"/>
                <w14:textFill>
                  <w14:solidFill>
                    <w14:schemeClr w14:val="tx1"/>
                  </w14:solidFill>
                </w14:textFill>
              </w:rPr>
              <w:t>二</w:t>
            </w:r>
            <w:r>
              <w:rPr>
                <w:rFonts w:hint="eastAsia" w:ascii="宋体" w:hAnsi="宋体" w:eastAsia="宋体" w:cs="宋体"/>
                <w:color w:val="000000" w:themeColor="text1"/>
                <w:sz w:val="18"/>
                <w:szCs w:val="18"/>
                <w:lang w:val="en-US" w:eastAsia="zh-CN"/>
                <w14:textFill>
                  <w14:solidFill>
                    <w14:schemeClr w14:val="tx1"/>
                  </w14:solidFill>
                </w14:textFill>
              </w:rPr>
              <w:t>标段基准热值为Qnet,ar≥5000kcal/kg）</w:t>
            </w:r>
            <w:r>
              <w:rPr>
                <w:rFonts w:hint="eastAsia" w:ascii="宋体" w:hAnsi="宋体" w:cs="宋体"/>
                <w:color w:val="000000" w:themeColor="text1"/>
                <w:sz w:val="18"/>
                <w:szCs w:val="18"/>
                <w:lang w:val="en-US" w:eastAsia="zh-CN"/>
                <w14:textFill>
                  <w14:solidFill>
                    <w14:schemeClr w14:val="tx1"/>
                  </w14:solidFill>
                </w14:textFill>
              </w:rPr>
              <w:t>。</w:t>
            </w:r>
          </w:p>
          <w:p w14:paraId="15D4BC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燃煤结算单价=发热量计价+质量调整价+数量调整价+ 其他因素调整价。</w:t>
            </w:r>
          </w:p>
          <w:p w14:paraId="057BE7E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燃煤结算价=燃煤结算单价×合格数量+单批次结算单价×单批次合格数量。</w:t>
            </w:r>
          </w:p>
          <w:p w14:paraId="5FEB016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3.2成交人为供货时而发生的所有费用均应包含在货物价款中，采购人不再另行支付其它任何费用。</w:t>
            </w:r>
          </w:p>
          <w:p w14:paraId="1AD453F0">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3.3 最终结算单价按签订的合同相应条款内容进行调整后结算。</w:t>
            </w:r>
          </w:p>
        </w:tc>
      </w:tr>
      <w:tr w14:paraId="1AE3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exact"/>
        </w:trPr>
        <w:tc>
          <w:tcPr>
            <w:tcW w:w="586" w:type="dxa"/>
            <w:vMerge w:val="continue"/>
            <w:tcBorders>
              <w:left w:val="single" w:color="auto" w:sz="4" w:space="0"/>
              <w:right w:val="single" w:color="auto" w:sz="4" w:space="0"/>
            </w:tcBorders>
            <w:vAlign w:val="center"/>
          </w:tcPr>
          <w:p w14:paraId="60541603">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90E28F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18EA02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4.履约保证金</w:t>
            </w:r>
          </w:p>
          <w:p w14:paraId="1CFA650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4.1本批次一标段收取合同履约保证金</w:t>
            </w:r>
            <w:r>
              <w:rPr>
                <w:rFonts w:hint="eastAsia" w:ascii="宋体" w:hAnsi="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lang w:val="en-US" w:eastAsia="zh-CN"/>
                <w14:textFill>
                  <w14:solidFill>
                    <w14:schemeClr w14:val="tx1"/>
                  </w14:solidFill>
                </w14:textFill>
              </w:rPr>
              <w:t>00,000.00元（大写：人民币</w:t>
            </w:r>
            <w:r>
              <w:rPr>
                <w:rFonts w:hint="eastAsia" w:ascii="宋体" w:hAnsi="宋体" w:cs="宋体"/>
                <w:color w:val="000000" w:themeColor="text1"/>
                <w:sz w:val="18"/>
                <w:szCs w:val="18"/>
                <w:lang w:val="en-US" w:eastAsia="zh-CN"/>
                <w14:textFill>
                  <w14:solidFill>
                    <w14:schemeClr w14:val="tx1"/>
                  </w14:solidFill>
                </w14:textFill>
              </w:rPr>
              <w:t>叁</w:t>
            </w:r>
            <w:r>
              <w:rPr>
                <w:rFonts w:hint="eastAsia" w:ascii="宋体" w:hAnsi="宋体" w:eastAsia="宋体" w:cs="宋体"/>
                <w:color w:val="000000" w:themeColor="text1"/>
                <w:sz w:val="18"/>
                <w:szCs w:val="18"/>
                <w:lang w:val="en-US" w:eastAsia="zh-CN"/>
                <w14:textFill>
                  <w14:solidFill>
                    <w14:schemeClr w14:val="tx1"/>
                  </w14:solidFill>
                </w14:textFill>
              </w:rPr>
              <w:t>拾万元整）</w:t>
            </w:r>
            <w:r>
              <w:rPr>
                <w:rFonts w:hint="eastAsia" w:ascii="宋体" w:hAnsi="宋体" w:cs="宋体"/>
                <w:color w:val="000000" w:themeColor="text1"/>
                <w:sz w:val="18"/>
                <w:szCs w:val="18"/>
                <w:lang w:val="en-US" w:eastAsia="zh-CN"/>
                <w14:textFill>
                  <w14:solidFill>
                    <w14:schemeClr w14:val="tx1"/>
                  </w14:solidFill>
                </w14:textFill>
              </w:rPr>
              <w:t>，二</w:t>
            </w:r>
            <w:r>
              <w:rPr>
                <w:rFonts w:hint="eastAsia" w:ascii="宋体" w:hAnsi="宋体" w:eastAsia="宋体" w:cs="宋体"/>
                <w:color w:val="000000" w:themeColor="text1"/>
                <w:sz w:val="18"/>
                <w:szCs w:val="18"/>
                <w:lang w:val="en-US" w:eastAsia="zh-CN"/>
                <w14:textFill>
                  <w14:solidFill>
                    <w14:schemeClr w14:val="tx1"/>
                  </w14:solidFill>
                </w14:textFill>
              </w:rPr>
              <w:t>标段收取合同履约保证金200,000.00元（大写：人民币贰拾万元整），由成交人在合同签订前通过银行电汇形式将履约保证金缴纳至甲方指定账户，采购人在接到成交人缴纳履约保证金相关凭证后，方可签订合同。合同期内成交人履行完合同后，成交人提出申请，采购人于10个工作日内无息返还履约保证金</w:t>
            </w:r>
            <w:r>
              <w:rPr>
                <w:rFonts w:hint="eastAsia" w:ascii="宋体" w:hAnsi="宋体" w:cs="宋体"/>
                <w:color w:val="000000" w:themeColor="text1"/>
                <w:sz w:val="18"/>
                <w:szCs w:val="18"/>
                <w:lang w:val="en-US" w:eastAsia="zh-CN"/>
                <w14:textFill>
                  <w14:solidFill>
                    <w14:schemeClr w14:val="tx1"/>
                  </w14:solidFill>
                </w14:textFill>
              </w:rPr>
              <w:t>。</w:t>
            </w:r>
          </w:p>
          <w:p w14:paraId="1266345D">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4.2因采购人调运原因、环保原因、降价原因、极端天气或者发生不可抗力事故造成合同无法履行的，履约保证金全部无息退还。</w:t>
            </w:r>
          </w:p>
          <w:p w14:paraId="79D7E5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4.3成交人供应燃煤与合同煤质严重不符的，采购人有权停止采购乙方燃煤，并扣除全部履约保证金。本次保证金只接受现汇，不接受银行保函、现金等其他形式保证金。</w:t>
            </w:r>
          </w:p>
          <w:p w14:paraId="697AB809">
            <w:pPr>
              <w:jc w:val="both"/>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4.4成交人也可按合同格式文本要求向采购人供应和保证金同等价值的</w:t>
            </w: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w:t>
            </w:r>
          </w:p>
        </w:tc>
      </w:tr>
      <w:tr w14:paraId="6BF3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exact"/>
        </w:trPr>
        <w:tc>
          <w:tcPr>
            <w:tcW w:w="586" w:type="dxa"/>
            <w:vMerge w:val="continue"/>
            <w:tcBorders>
              <w:left w:val="single" w:color="auto" w:sz="4" w:space="0"/>
              <w:right w:val="single" w:color="auto" w:sz="4" w:space="0"/>
            </w:tcBorders>
            <w:vAlign w:val="center"/>
          </w:tcPr>
          <w:p w14:paraId="2AC43EE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06B646E7">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567F78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5.结算及付款方式</w:t>
            </w:r>
          </w:p>
          <w:p w14:paraId="28E9A39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5.1 结算方式：</w:t>
            </w:r>
          </w:p>
          <w:p w14:paraId="6573FBC2">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合同期内以采购人提供的到厂计量数量、化验结果为结算依据，合同期内所供电煤一标段按3700kcal/kg以上热值加权（或单批次）</w:t>
            </w:r>
            <w:r>
              <w:rPr>
                <w:rFonts w:hint="eastAsia" w:ascii="宋体" w:hAnsi="宋体" w:cs="宋体"/>
                <w:color w:val="000000" w:themeColor="text1"/>
                <w:sz w:val="18"/>
                <w:szCs w:val="18"/>
                <w:lang w:val="en-US" w:eastAsia="zh-CN"/>
                <w14:textFill>
                  <w14:solidFill>
                    <w14:schemeClr w14:val="tx1"/>
                  </w14:solidFill>
                </w14:textFill>
              </w:rPr>
              <w:t>、二</w:t>
            </w:r>
            <w:r>
              <w:rPr>
                <w:rFonts w:hint="eastAsia" w:ascii="宋体" w:hAnsi="宋体" w:eastAsia="宋体" w:cs="宋体"/>
                <w:color w:val="000000" w:themeColor="text1"/>
                <w:sz w:val="18"/>
                <w:szCs w:val="18"/>
                <w:lang w:val="en-US" w:eastAsia="zh-CN"/>
                <w14:textFill>
                  <w14:solidFill>
                    <w14:schemeClr w14:val="tx1"/>
                  </w14:solidFill>
                </w14:textFill>
              </w:rPr>
              <w:t>标段按4500kcal/kg以上热值加权（或单批次）的方式计算后合计一票到厂结算（若成交人选择供应同等价值及以上燃煤作为合同履约保证金，则自《中标通知书》发出之日起至合同签订之日前，所供应同等价值及以上燃煤煤量纳入全合同量一并结算）</w:t>
            </w:r>
          </w:p>
          <w:p w14:paraId="6CDEAFE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所有指标用扣吨后的煤量进行加权计算单价，并用扣吨后的煤量计算应结算煤款；</w:t>
            </w:r>
          </w:p>
          <w:p w14:paraId="133B30C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lang w:val="en-US" w:eastAsia="zh-CN"/>
                <w14:textFill>
                  <w14:solidFill>
                    <w14:schemeClr w14:val="tx1"/>
                  </w14:solidFill>
                </w14:textFill>
              </w:rPr>
              <w:t>合同约定的供煤量完成后双方办理结算（若乙方超期天数超过30天仍未供应完合同约定煤量，则甲方通知乙方办理结算）；乙方根据双方共同签字确认的结算单，开具相应增值税专用发票（税率13%）交到甲方；</w:t>
            </w:r>
          </w:p>
          <w:p w14:paraId="3DF857E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lang w:val="en-US" w:eastAsia="zh-CN"/>
                <w14:textFill>
                  <w14:solidFill>
                    <w14:schemeClr w14:val="tx1"/>
                  </w14:solidFill>
                </w14:textFill>
              </w:rPr>
              <w:t>乙方完成合同约定供煤量，甲方于次月底前向乙方支付50%煤款，第三月月底前向乙方付清剩余煤款。乙方未提供发票的，甲方有权延期付款。</w:t>
            </w:r>
          </w:p>
          <w:p w14:paraId="6ECB29B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5.2付款方式：现汇</w:t>
            </w:r>
            <w:r>
              <w:rPr>
                <w:rFonts w:hint="eastAsia" w:ascii="宋体" w:hAnsi="宋体" w:cs="宋体"/>
                <w:color w:val="000000" w:themeColor="text1"/>
                <w:sz w:val="18"/>
                <w:szCs w:val="18"/>
                <w:lang w:val="en-US" w:eastAsia="zh-CN"/>
                <w14:textFill>
                  <w14:solidFill>
                    <w14:schemeClr w14:val="tx1"/>
                  </w14:solidFill>
                </w14:textFill>
              </w:rPr>
              <w:t>、银行承兑汇票</w:t>
            </w:r>
            <w:r>
              <w:rPr>
                <w:rFonts w:hint="eastAsia" w:ascii="宋体" w:hAnsi="宋体" w:eastAsia="宋体" w:cs="宋体"/>
                <w:color w:val="000000" w:themeColor="text1"/>
                <w:sz w:val="18"/>
                <w:szCs w:val="18"/>
                <w:lang w:val="en-US" w:eastAsia="zh-CN"/>
                <w14:textFill>
                  <w14:solidFill>
                    <w14:schemeClr w14:val="tx1"/>
                  </w14:solidFill>
                </w14:textFill>
              </w:rPr>
              <w:t>或其他。</w:t>
            </w:r>
          </w:p>
        </w:tc>
      </w:tr>
      <w:tr w14:paraId="7EBB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exact"/>
        </w:trPr>
        <w:tc>
          <w:tcPr>
            <w:tcW w:w="586" w:type="dxa"/>
            <w:vMerge w:val="continue"/>
            <w:tcBorders>
              <w:left w:val="single" w:color="auto" w:sz="4" w:space="0"/>
              <w:right w:val="single" w:color="auto" w:sz="4" w:space="0"/>
            </w:tcBorders>
            <w:vAlign w:val="center"/>
          </w:tcPr>
          <w:p w14:paraId="27AF7A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1995A2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215DF4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6.包装、运输与装卸</w:t>
            </w:r>
          </w:p>
          <w:p w14:paraId="0EEDCFB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6.1除供货合同另有规定外，成交人供应的货物，均应按国家、行业标准保护措施进行包装。这类包装应适应于远距离运输、防损、多次搬运装卸，以确货物完好无损运抵指定现场。由于成交人包装、运输不善所造成的任何损失，由成交人负责；</w:t>
            </w:r>
          </w:p>
          <w:p w14:paraId="35957A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成交人应选择合适的运输方式，并负责货物的安全合法发运、保险、装卸工作及费用和安全，成交人运输人员必须具有相关从业资格证书,成交人未按国家相关法律法规和本合同的约定在货物运输所造成的一切安全事故和损失，由成交人负责。</w:t>
            </w:r>
          </w:p>
        </w:tc>
      </w:tr>
      <w:tr w14:paraId="3C69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exact"/>
        </w:trPr>
        <w:tc>
          <w:tcPr>
            <w:tcW w:w="586" w:type="dxa"/>
            <w:vMerge w:val="continue"/>
            <w:tcBorders>
              <w:left w:val="single" w:color="auto" w:sz="4" w:space="0"/>
              <w:right w:val="single" w:color="auto" w:sz="4" w:space="0"/>
            </w:tcBorders>
            <w:vAlign w:val="center"/>
          </w:tcPr>
          <w:p w14:paraId="169800D2">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5DED994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37D9388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7.数量、质量验收</w:t>
            </w:r>
          </w:p>
          <w:p w14:paraId="07E2B08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一标段供煤数量</w:t>
            </w:r>
            <w:r>
              <w:rPr>
                <w:rFonts w:hint="eastAsia" w:ascii="宋体" w:hAnsi="宋体" w:cs="宋体"/>
                <w:color w:val="000000" w:themeColor="text1"/>
                <w:sz w:val="18"/>
                <w:szCs w:val="18"/>
                <w:lang w:val="en-US" w:eastAsia="zh-CN"/>
                <w14:textFill>
                  <w14:solidFill>
                    <w14:schemeClr w14:val="tx1"/>
                  </w14:solidFill>
                </w14:textFill>
              </w:rPr>
              <w:t>20</w:t>
            </w:r>
            <w:r>
              <w:rPr>
                <w:rFonts w:hint="eastAsia" w:ascii="宋体" w:hAnsi="宋体" w:eastAsia="宋体" w:cs="宋体"/>
                <w:color w:val="000000" w:themeColor="text1"/>
                <w:sz w:val="18"/>
                <w:szCs w:val="18"/>
                <w:lang w:val="en-US" w:eastAsia="zh-CN"/>
                <w14:textFill>
                  <w14:solidFill>
                    <w14:schemeClr w14:val="tx1"/>
                  </w14:solidFill>
                </w14:textFill>
              </w:rPr>
              <w:t>000吨及以上，</w:t>
            </w:r>
            <w:r>
              <w:rPr>
                <w:rFonts w:hint="eastAsia" w:ascii="宋体" w:hAnsi="宋体" w:cs="宋体"/>
                <w:color w:val="000000" w:themeColor="text1"/>
                <w:sz w:val="18"/>
                <w:szCs w:val="18"/>
                <w:lang w:val="en-US" w:eastAsia="zh-CN"/>
                <w14:textFill>
                  <w14:solidFill>
                    <w14:schemeClr w14:val="tx1"/>
                  </w14:solidFill>
                </w14:textFill>
              </w:rPr>
              <w:t>二</w:t>
            </w:r>
            <w:r>
              <w:rPr>
                <w:rFonts w:hint="eastAsia" w:ascii="宋体" w:hAnsi="宋体" w:eastAsia="宋体" w:cs="宋体"/>
                <w:color w:val="000000" w:themeColor="text1"/>
                <w:sz w:val="18"/>
                <w:szCs w:val="18"/>
                <w:lang w:val="en-US" w:eastAsia="zh-CN"/>
                <w14:textFill>
                  <w14:solidFill>
                    <w14:schemeClr w14:val="tx1"/>
                  </w14:solidFill>
                </w14:textFill>
              </w:rPr>
              <w:t>标段供煤数量10000吨及以上。</w:t>
            </w:r>
          </w:p>
          <w:p w14:paraId="50C4644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7.2质量验收：产品计量方法为过衡计量，计量单位为吨为计量单位，保留两位小数。采购人对成交人所供燃煤采取车车采样，按批次（每天一个批次）进行化验，取样时按国家采制样标准执行，成交人有权监督采购人取样、制样、缩分等操作过程，并对封存样进行签字确认，若成交人不到场签字确认则视为认可采购人的取、制、分样过程，以采购人化验结果作为结算付款的依据（采购人对入厂燃煤的采制样、质量检验严格执行国家相关标准）；从入厂之日起，乙方应在交货后5个工作日内到采购人索取化验结果，若5个工作日内未取，采购人视为乙方对化验结果知晓。成交人在知晓检验结果后3天内未书面提出异议的，即视为同意采购人的检验报告，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345EFA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7.3供应燃煤达到下列条件之一,甲方按照《贵州钟山野马寨热电有限责任公司入厂煤煤质异常及纠纷处理办法》处理：</w:t>
            </w:r>
          </w:p>
          <w:p w14:paraId="59F6CCA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（1）在卸车过程中，验收人员应认真观察煤质，如果出现分 层、分段、上下混装、夹心、前后装不同煤种等情况(包括下层 水分含量明显高于上层),目测热值相差500大卡的视为异常。</w:t>
            </w:r>
          </w:p>
          <w:p w14:paraId="75ACD04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（2）来煤中未均匀分布的石头、矸石(直径大于50mm),</w:t>
            </w:r>
          </w:p>
          <w:p w14:paraId="7F80B35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（3）泥团、油土、石灰石、碎石、泥土、矿粉、炉渣、石膏、油泥以 及其他杂物等。</w:t>
            </w:r>
          </w:p>
          <w:p w14:paraId="3BEDFBB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（4）同批次不同车辆装不同煤种(包括同批次的大、小车； 若发现小车装质量好的煤，而大车装质量差的煤),热值超过500kcal/kg 的。</w:t>
            </w:r>
          </w:p>
          <w:p w14:paraId="26037E8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（5）来煤为无烟煤和来煤中掺配无烟煤的(以公司化验收到基挥发分Var小于1</w:t>
            </w:r>
            <w:r>
              <w:rPr>
                <w:rFonts w:hint="eastAsia" w:ascii="宋体" w:hAnsi="宋体" w:cs="宋体"/>
                <w:color w:val="000000" w:themeColor="text1"/>
                <w:sz w:val="18"/>
                <w:szCs w:val="18"/>
                <w:lang w:val="en-US" w:eastAsia="zh-CN"/>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.00%为基准)。</w:t>
            </w:r>
          </w:p>
          <w:p w14:paraId="40B7112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（6）乙方入厂煤如掺配有新疆煤、无烟煤的。</w:t>
            </w:r>
          </w:p>
          <w:p w14:paraId="221E44C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（7）车辆过重磅后在煤场内放水的。</w:t>
            </w:r>
          </w:p>
          <w:p w14:paraId="05C477D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（8）其它疑似异常或特殊情况时，由燃料部、监察审计部、 供应商三方见证，达成一致意见后，认定为煤质异常。</w:t>
            </w:r>
          </w:p>
          <w:p w14:paraId="68DAD4C6">
            <w:pPr>
              <w:jc w:val="both"/>
              <w:rPr>
                <w:rFonts w:hint="default" w:ascii="宋体" w:hAnsi="宋体" w:eastAsia="宋体" w:cs="宋体"/>
                <w:color w:val="000000" w:themeColor="text1"/>
                <w:sz w:val="18"/>
                <w:szCs w:val="18"/>
                <w:lang w:val="en-US" w:eastAsia="zh-CN"/>
                <w14:textFill>
                  <w14:solidFill>
                    <w14:schemeClr w14:val="tx1"/>
                  </w14:solidFill>
                </w14:textFill>
              </w:rPr>
            </w:pPr>
          </w:p>
          <w:p w14:paraId="6AFE185F">
            <w:pPr>
              <w:jc w:val="both"/>
              <w:rPr>
                <w:rFonts w:hint="eastAsia" w:ascii="宋体" w:hAnsi="宋体" w:eastAsia="宋体" w:cs="宋体"/>
                <w:color w:val="000000" w:themeColor="text1"/>
                <w:sz w:val="18"/>
                <w:szCs w:val="18"/>
                <w:lang w:val="en-US" w:eastAsia="zh-CN"/>
                <w14:textFill>
                  <w14:solidFill>
                    <w14:schemeClr w14:val="tx1"/>
                  </w14:solidFill>
                </w14:textFill>
              </w:rPr>
            </w:pPr>
          </w:p>
        </w:tc>
      </w:tr>
    </w:tbl>
    <w:p w14:paraId="6D4A930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br w:type="page"/>
      </w:r>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26"/>
        <w:gridCol w:w="7493"/>
      </w:tblGrid>
      <w:tr w14:paraId="743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1" w:hRule="atLeast"/>
        </w:trPr>
        <w:tc>
          <w:tcPr>
            <w:tcW w:w="655" w:type="dxa"/>
            <w:vMerge w:val="restart"/>
            <w:tcBorders>
              <w:left w:val="single" w:color="auto" w:sz="4" w:space="0"/>
              <w:right w:val="single" w:color="auto" w:sz="4" w:space="0"/>
            </w:tcBorders>
            <w:vAlign w:val="center"/>
          </w:tcPr>
          <w:p w14:paraId="3E4EA167">
            <w:pPr>
              <w:pStyle w:val="9"/>
              <w:keepNext w:val="0"/>
              <w:keepLines w:val="0"/>
              <w:pageBreakBefore w:val="0"/>
              <w:kinsoku/>
              <w:wordWrap/>
              <w:overflowPunct/>
              <w:topLinePunct w:val="0"/>
              <w:autoSpaceDE/>
              <w:autoSpaceDN/>
              <w:bidi w:val="0"/>
              <w:adjustRightInd/>
              <w:snapToGrid/>
              <w:textAlignment w:val="auto"/>
              <w:rPr>
                <w:rFonts w:hint="eastAsia"/>
                <w:lang w:val="en-US" w:eastAsia="zh-CN"/>
              </w:rPr>
            </w:pPr>
          </w:p>
        </w:tc>
        <w:tc>
          <w:tcPr>
            <w:tcW w:w="1726" w:type="dxa"/>
            <w:vMerge w:val="restart"/>
            <w:tcBorders>
              <w:left w:val="single" w:color="auto" w:sz="4" w:space="0"/>
              <w:right w:val="single" w:color="auto" w:sz="4" w:space="0"/>
            </w:tcBorders>
            <w:vAlign w:val="center"/>
          </w:tcPr>
          <w:p w14:paraId="6B89A2D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36E86B9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8.1成交人必须按要求进行均衡发运，发运过程中，除因采购人接卸和其他不可抗力原因外，</w:t>
            </w:r>
            <w:r>
              <w:rPr>
                <w:rFonts w:hint="eastAsia" w:ascii="宋体" w:hAnsi="宋体" w:cs="宋体"/>
                <w:color w:val="auto"/>
                <w:sz w:val="18"/>
                <w:szCs w:val="18"/>
                <w:lang w:val="en-US" w:eastAsia="zh-CN"/>
              </w:rPr>
              <w:t>一标段中标</w:t>
            </w:r>
            <w:r>
              <w:rPr>
                <w:rFonts w:hint="eastAsia" w:ascii="宋体" w:hAnsi="宋体" w:eastAsia="宋体" w:cs="宋体"/>
                <w:color w:val="auto"/>
                <w:sz w:val="18"/>
                <w:szCs w:val="18"/>
                <w:lang w:val="en-US" w:eastAsia="zh-CN"/>
              </w:rPr>
              <w:t>供应商在合同期</w:t>
            </w:r>
            <w:r>
              <w:rPr>
                <w:rFonts w:hint="eastAsia" w:ascii="宋体" w:hAnsi="宋体" w:cs="宋体"/>
                <w:color w:val="auto"/>
                <w:sz w:val="18"/>
                <w:szCs w:val="18"/>
                <w:lang w:val="en-US" w:eastAsia="zh-CN"/>
              </w:rPr>
              <w:t>45个日历天</w:t>
            </w:r>
            <w:r>
              <w:rPr>
                <w:rFonts w:hint="eastAsia" w:ascii="宋体" w:hAnsi="宋体" w:eastAsia="宋体" w:cs="宋体"/>
                <w:color w:val="auto"/>
                <w:sz w:val="18"/>
                <w:szCs w:val="18"/>
                <w:lang w:val="en-US" w:eastAsia="zh-CN"/>
              </w:rPr>
              <w:t>内供应燃煤</w:t>
            </w:r>
            <w:r>
              <w:rPr>
                <w:rFonts w:hint="eastAsia" w:ascii="宋体" w:hAnsi="宋体" w:cs="宋体"/>
                <w:color w:val="auto"/>
                <w:sz w:val="18"/>
                <w:szCs w:val="18"/>
                <w:lang w:val="en-US" w:eastAsia="zh-CN"/>
              </w:rPr>
              <w:t>为</w:t>
            </w:r>
            <w:r>
              <w:rPr>
                <w:rFonts w:hint="eastAsia" w:ascii="宋体" w:hAnsi="宋体" w:cs="宋体"/>
                <w:color w:val="000000" w:themeColor="text1"/>
                <w:sz w:val="18"/>
                <w:szCs w:val="18"/>
                <w:lang w:val="en-US" w:eastAsia="zh-CN"/>
                <w14:textFill>
                  <w14:solidFill>
                    <w14:schemeClr w14:val="tx1"/>
                  </w14:solidFill>
                </w14:textFill>
              </w:rPr>
              <w:t>≥20000</w:t>
            </w:r>
            <w:r>
              <w:rPr>
                <w:rFonts w:hint="eastAsia" w:ascii="宋体" w:hAnsi="宋体" w:eastAsia="宋体" w:cs="宋体"/>
                <w:color w:val="auto"/>
                <w:sz w:val="18"/>
                <w:szCs w:val="18"/>
                <w:lang w:val="en-US" w:eastAsia="zh-CN"/>
              </w:rPr>
              <w:t>吨</w:t>
            </w:r>
            <w:r>
              <w:rPr>
                <w:rFonts w:hint="eastAsia" w:ascii="宋体" w:hAnsi="宋体" w:cs="宋体"/>
                <w:color w:val="auto"/>
                <w:sz w:val="18"/>
                <w:szCs w:val="18"/>
                <w:lang w:val="en-US" w:eastAsia="zh-CN"/>
              </w:rPr>
              <w:t>、二标段中标</w:t>
            </w:r>
            <w:r>
              <w:rPr>
                <w:rFonts w:hint="eastAsia" w:ascii="宋体" w:hAnsi="宋体" w:eastAsia="宋体" w:cs="宋体"/>
                <w:color w:val="auto"/>
                <w:sz w:val="18"/>
                <w:szCs w:val="18"/>
                <w:lang w:val="en-US" w:eastAsia="zh-CN"/>
              </w:rPr>
              <w:t>供应商在合同期</w:t>
            </w:r>
            <w:r>
              <w:rPr>
                <w:rFonts w:hint="eastAsia" w:ascii="宋体" w:hAnsi="宋体" w:cs="宋体"/>
                <w:color w:val="auto"/>
                <w:sz w:val="18"/>
                <w:szCs w:val="18"/>
                <w:lang w:val="en-US" w:eastAsia="zh-CN"/>
              </w:rPr>
              <w:t>30个日历天</w:t>
            </w:r>
            <w:r>
              <w:rPr>
                <w:rFonts w:hint="eastAsia" w:ascii="宋体" w:hAnsi="宋体" w:eastAsia="宋体" w:cs="宋体"/>
                <w:color w:val="auto"/>
                <w:sz w:val="18"/>
                <w:szCs w:val="18"/>
                <w:lang w:val="en-US" w:eastAsia="zh-CN"/>
              </w:rPr>
              <w:t>内供应燃煤</w:t>
            </w:r>
            <w:r>
              <w:rPr>
                <w:rFonts w:hint="eastAsia" w:ascii="宋体" w:hAnsi="宋体" w:cs="宋体"/>
                <w:color w:val="auto"/>
                <w:sz w:val="18"/>
                <w:szCs w:val="18"/>
                <w:lang w:val="en-US" w:eastAsia="zh-CN"/>
              </w:rPr>
              <w:t>为</w:t>
            </w:r>
            <w:r>
              <w:rPr>
                <w:rFonts w:hint="eastAsia" w:ascii="宋体" w:hAnsi="宋体" w:cs="宋体"/>
                <w:color w:val="000000" w:themeColor="text1"/>
                <w:sz w:val="18"/>
                <w:szCs w:val="18"/>
                <w:lang w:val="en-US" w:eastAsia="zh-CN"/>
                <w14:textFill>
                  <w14:solidFill>
                    <w14:schemeClr w14:val="tx1"/>
                  </w14:solidFill>
                </w14:textFill>
              </w:rPr>
              <w:t>≥10000</w:t>
            </w:r>
            <w:r>
              <w:rPr>
                <w:rFonts w:hint="eastAsia" w:ascii="宋体" w:hAnsi="宋体" w:eastAsia="宋体" w:cs="宋体"/>
                <w:color w:val="auto"/>
                <w:sz w:val="18"/>
                <w:szCs w:val="18"/>
                <w:lang w:val="en-US" w:eastAsia="zh-CN"/>
              </w:rPr>
              <w:t>吨。供应商在收到采购人发出的《中标通知书》7个工作日内在采购人指定地点签订合同。</w:t>
            </w:r>
          </w:p>
          <w:p w14:paraId="2700E82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8.2成交人来煤为本地煤。若发现成交人窜矿拉煤、以近充远、途中换煤、掺杂使假、掺配新疆煤、无烟煤，采购人书面通知后终止合同。合同期结束时，若一标段标段未供应完燃煤</w:t>
            </w:r>
            <w:r>
              <w:rPr>
                <w:rFonts w:hint="eastAsia" w:ascii="宋体" w:hAnsi="宋体" w:cs="宋体"/>
                <w:color w:val="000000" w:themeColor="text1"/>
                <w:sz w:val="18"/>
                <w:szCs w:val="18"/>
                <w:lang w:val="en-US" w:eastAsia="zh-CN"/>
                <w14:textFill>
                  <w14:solidFill>
                    <w14:schemeClr w14:val="tx1"/>
                  </w14:solidFill>
                </w14:textFill>
              </w:rPr>
              <w:t>≥20000</w:t>
            </w:r>
            <w:r>
              <w:rPr>
                <w:rFonts w:hint="eastAsia" w:ascii="宋体" w:hAnsi="宋体" w:cs="宋体"/>
                <w:color w:val="auto"/>
                <w:sz w:val="18"/>
                <w:szCs w:val="18"/>
                <w:lang w:val="en-US" w:eastAsia="zh-CN"/>
              </w:rPr>
              <w:t>吨，即实际到厂煤量小于20000吨，二标段未供应完燃煤</w:t>
            </w:r>
            <w:r>
              <w:rPr>
                <w:rFonts w:hint="eastAsia" w:ascii="宋体" w:hAnsi="宋体" w:cs="宋体"/>
                <w:color w:val="000000" w:themeColor="text1"/>
                <w:sz w:val="18"/>
                <w:szCs w:val="18"/>
                <w:lang w:val="en-US" w:eastAsia="zh-CN"/>
                <w14:textFill>
                  <w14:solidFill>
                    <w14:schemeClr w14:val="tx1"/>
                  </w14:solidFill>
                </w14:textFill>
              </w:rPr>
              <w:t>≥10000</w:t>
            </w:r>
            <w:r>
              <w:rPr>
                <w:rFonts w:hint="eastAsia" w:ascii="宋体" w:hAnsi="宋体" w:cs="宋体"/>
                <w:color w:val="auto"/>
                <w:sz w:val="18"/>
                <w:szCs w:val="18"/>
                <w:lang w:val="en-US" w:eastAsia="zh-CN"/>
              </w:rPr>
              <w:t>吨，即实际到厂煤量小于10000吨，则基准单价降低0.01元/[(kcal/kg)×吨]同时不予退还合同履约保证金；</w:t>
            </w:r>
            <w:r>
              <w:rPr>
                <w:rFonts w:hint="eastAsia" w:ascii="宋体" w:hAnsi="宋体" w:eastAsia="宋体" w:cs="宋体"/>
                <w:color w:val="auto"/>
                <w:kern w:val="2"/>
                <w:sz w:val="18"/>
                <w:szCs w:val="18"/>
                <w:lang w:val="en-US" w:eastAsia="zh-CN"/>
              </w:rPr>
              <w:t>供应上限由采购人根据实际情况决定</w:t>
            </w:r>
            <w:r>
              <w:rPr>
                <w:rFonts w:hint="eastAsia" w:ascii="宋体" w:hAnsi="宋体" w:cs="宋体"/>
                <w:color w:val="auto"/>
                <w:sz w:val="18"/>
                <w:szCs w:val="18"/>
                <w:lang w:val="en-US" w:eastAsia="zh-CN"/>
              </w:rPr>
              <w:t>。未在规定的时间节点完成发运量，甲方有权终止该乙方的发运。</w:t>
            </w:r>
          </w:p>
          <w:p w14:paraId="4E9A43A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auto"/>
                <w:sz w:val="18"/>
                <w:szCs w:val="18"/>
                <w:lang w:val="en-US" w:eastAsia="zh-CN"/>
              </w:rPr>
              <w:t>8.3 因成交人提供的燃煤不符合合同质量要求导致采购缺煤停机或造成设备异常损坏的，成交人应采取更换、补发符合合同约定的燃煤，并承担由此产生的费用，给采购人造成的经济损失应予以全额赔偿，采购人有权解除合同。</w:t>
            </w:r>
          </w:p>
          <w:p w14:paraId="21440A9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B1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left w:val="single" w:color="auto" w:sz="4" w:space="0"/>
              <w:right w:val="single" w:color="auto" w:sz="4" w:space="0"/>
            </w:tcBorders>
            <w:vAlign w:val="center"/>
          </w:tcPr>
          <w:p w14:paraId="2478A772">
            <w:pPr>
              <w:keepNext w:val="0"/>
              <w:keepLines w:val="0"/>
              <w:pageBreakBefore w:val="0"/>
              <w:kinsoku/>
              <w:wordWrap/>
              <w:overflowPunct/>
              <w:topLinePunct w:val="0"/>
              <w:autoSpaceDE/>
              <w:autoSpaceDN/>
              <w:bidi w:val="0"/>
              <w:adjustRightInd/>
              <w:snapToGrid/>
              <w:textAlignment w:val="auto"/>
            </w:pPr>
          </w:p>
        </w:tc>
        <w:tc>
          <w:tcPr>
            <w:tcW w:w="1726" w:type="dxa"/>
            <w:vMerge w:val="continue"/>
            <w:tcBorders>
              <w:left w:val="single" w:color="auto" w:sz="4" w:space="0"/>
              <w:right w:val="single" w:color="auto" w:sz="4" w:space="0"/>
            </w:tcBorders>
            <w:vAlign w:val="center"/>
          </w:tcPr>
          <w:p w14:paraId="0CD13758">
            <w:pPr>
              <w:keepNext w:val="0"/>
              <w:keepLines w:val="0"/>
              <w:pageBreakBefore w:val="0"/>
              <w:kinsoku/>
              <w:wordWrap/>
              <w:overflowPunct/>
              <w:topLinePunct w:val="0"/>
              <w:autoSpaceDE/>
              <w:autoSpaceDN/>
              <w:bidi w:val="0"/>
              <w:adjustRightInd/>
              <w:snapToGrid/>
              <w:textAlignment w:val="auto"/>
            </w:pPr>
          </w:p>
        </w:tc>
        <w:tc>
          <w:tcPr>
            <w:tcW w:w="7493" w:type="dxa"/>
            <w:tcBorders>
              <w:top w:val="single" w:color="auto" w:sz="4" w:space="0"/>
              <w:left w:val="single" w:color="auto" w:sz="4" w:space="0"/>
              <w:bottom w:val="single" w:color="auto" w:sz="4" w:space="0"/>
              <w:right w:val="single" w:color="auto" w:sz="4" w:space="0"/>
            </w:tcBorders>
            <w:vAlign w:val="center"/>
          </w:tcPr>
          <w:p w14:paraId="5AF263B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9.其他</w:t>
            </w:r>
          </w:p>
          <w:p w14:paraId="0961B5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9.1采购人和成交人双方在燃煤供应全过程中，均不得有行贿受贿或有意刁难对方的行为，违者按有关法律、法规及制度严惩；</w:t>
            </w:r>
          </w:p>
          <w:p w14:paraId="0F9FB7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9.2成交人车辆及司机进入采购人厂区后，应服从管理，听从指挥，一车一人，限速行驶（5km/h）,严禁超速；</w:t>
            </w:r>
          </w:p>
          <w:p w14:paraId="6216A53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9.3禁止成交人司机及其他人员在公司物料卸货区域及其它地方随意逗留、穿行，由此发的安全风险及责任由成交人自行承担；</w:t>
            </w:r>
          </w:p>
          <w:p w14:paraId="35C62E2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9.4成交人车辆及司机证照齐全有效，严格遵守道路交通法规和野马寨电厂相关管理规章制度。严禁违章作业；</w:t>
            </w:r>
          </w:p>
          <w:p w14:paraId="47E63C25">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9.5成交人车辆外观整洁，车况完好，不得带病行驶，运输燃煤必须加盖篷布，防止道路遗洒和扬尘。不得采用前后轮距超过11.8米的拖挂车进行运输，不得采用平板车进行运输、不得组织民工进行卸煤。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374CF5D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9.6成交人运输煤的车辆必须确保在每天8：30时至18：30时范围内到厂，其他时间内到厂的车辆须等到次日上班后才能过磅（特殊情况除外）；</w:t>
            </w:r>
          </w:p>
          <w:p w14:paraId="57DCDD1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0FF5827C">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1CC450C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6135F6B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41138C8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9.11成交人与采购人的业务涉及税务调查，成交人必须履行通知义务；采购人与成交人的业务涉及税务调查，成交人有义务配合。</w:t>
            </w:r>
          </w:p>
        </w:tc>
      </w:tr>
      <w:tr w14:paraId="6A4D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655" w:type="dxa"/>
            <w:vMerge w:val="continue"/>
            <w:tcBorders>
              <w:left w:val="single" w:color="auto" w:sz="4" w:space="0"/>
              <w:right w:val="single" w:color="auto" w:sz="4" w:space="0"/>
            </w:tcBorders>
            <w:vAlign w:val="center"/>
          </w:tcPr>
          <w:p w14:paraId="2DF2D84C">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1726" w:type="dxa"/>
            <w:vMerge w:val="continue"/>
            <w:tcBorders>
              <w:left w:val="single" w:color="auto" w:sz="4" w:space="0"/>
              <w:right w:val="single" w:color="auto" w:sz="4" w:space="0"/>
            </w:tcBorders>
            <w:vAlign w:val="center"/>
          </w:tcPr>
          <w:p w14:paraId="0BB53F64">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1D3ED9A0">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r>
              <w:rPr>
                <w:rFonts w:hint="eastAsia" w:ascii="宋体" w:hAnsi="宋体" w:cs="宋体"/>
                <w:color w:val="000000" w:themeColor="text1"/>
                <w:sz w:val="18"/>
                <w:szCs w:val="18"/>
                <w:lang w:val="en-US" w:eastAsia="zh-CN"/>
                <w14:textFill>
                  <w14:solidFill>
                    <w14:schemeClr w14:val="tx1"/>
                  </w14:solidFill>
                </w14:textFill>
              </w:rPr>
              <w:t>供应商</w:t>
            </w:r>
            <w:r>
              <w:rPr>
                <w:rFonts w:hint="eastAsia" w:ascii="宋体" w:hAnsi="宋体" w:eastAsia="宋体" w:cs="宋体"/>
                <w:color w:val="000000" w:themeColor="text1"/>
                <w:sz w:val="18"/>
                <w:szCs w:val="18"/>
                <w:lang w:val="en-US" w:eastAsia="zh-CN"/>
                <w14:textFill>
                  <w14:solidFill>
                    <w14:schemeClr w14:val="tx1"/>
                  </w14:solidFill>
                </w14:textFill>
              </w:rPr>
              <w:t>应完全响应或优于采购文件商务条款，否则响应文件无效。</w:t>
            </w:r>
          </w:p>
        </w:tc>
      </w:tr>
    </w:tbl>
    <w:p w14:paraId="3954EF1E">
      <w:pPr>
        <w:rPr>
          <w:rFonts w:hint="eastAsia" w:ascii="宋体" w:hAnsi="宋体" w:eastAsia="宋体" w:cs="宋体"/>
          <w:color w:val="000000" w:themeColor="text1"/>
          <w:sz w:val="18"/>
          <w:szCs w:val="18"/>
          <w:lang w:val="en-US" w:eastAsia="zh-CN"/>
          <w14:textFill>
            <w14:solidFill>
              <w14:schemeClr w14:val="tx1"/>
            </w14:solidFill>
          </w14:textFill>
        </w:rPr>
      </w:pPr>
    </w:p>
    <w:p w14:paraId="5CC2CC68">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eastAsia="zh-CN"/>
        </w:rPr>
        <w:t>.</w:t>
      </w:r>
      <w:r>
        <w:rPr>
          <w:rFonts w:hint="eastAsia" w:ascii="宋体" w:hAnsi="宋体" w:eastAsia="宋体" w:cs="宋体"/>
          <w:color w:val="auto"/>
          <w:szCs w:val="21"/>
        </w:rPr>
        <w:t>响应文件的澄清、说明或者更正：</w:t>
      </w:r>
      <w:r>
        <w:rPr>
          <w:rFonts w:hint="eastAsia" w:ascii="宋体" w:hAnsi="宋体" w:cs="宋体"/>
          <w:color w:val="auto"/>
          <w:szCs w:val="21"/>
          <w:lang w:eastAsia="zh-CN"/>
        </w:rPr>
        <w:t>竞争性谈判</w:t>
      </w:r>
      <w:r>
        <w:rPr>
          <w:rFonts w:hint="eastAsia" w:ascii="宋体" w:hAnsi="宋体" w:eastAsia="宋体" w:cs="宋体"/>
          <w:color w:val="auto"/>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供应商的澄清、说明或者更正内容作为响应文件的一部分。</w:t>
      </w:r>
      <w:r>
        <w:rPr>
          <w:rFonts w:hint="eastAsia" w:ascii="宋体" w:hAnsi="宋体" w:cs="宋体"/>
          <w:color w:val="auto"/>
          <w:szCs w:val="21"/>
          <w:lang w:eastAsia="zh-CN"/>
        </w:rPr>
        <w:t>竞争性谈判</w:t>
      </w:r>
      <w:r>
        <w:rPr>
          <w:rFonts w:hint="eastAsia" w:ascii="宋体" w:hAnsi="宋体" w:eastAsia="宋体" w:cs="宋体"/>
          <w:color w:val="auto"/>
          <w:szCs w:val="21"/>
        </w:rPr>
        <w:t>小组要求供应商澄清、说明或者更正响应文件以书面形式作出。供应商的澄清、说明或者更正采用书面形式，由其法定代表人或其授权代表签字或者加盖供应商单位公章。</w:t>
      </w:r>
    </w:p>
    <w:p w14:paraId="3A6011D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zCs w:val="21"/>
        </w:rPr>
        <w:t>9</w:t>
      </w:r>
      <w:r>
        <w:rPr>
          <w:rFonts w:hint="eastAsia" w:ascii="宋体" w:hAnsi="宋体" w:cs="宋体"/>
          <w:color w:val="auto"/>
          <w:szCs w:val="21"/>
          <w:lang w:eastAsia="zh-CN"/>
        </w:rPr>
        <w:t>.</w:t>
      </w:r>
      <w:r>
        <w:rPr>
          <w:rFonts w:hint="eastAsia" w:ascii="宋体" w:hAnsi="宋体" w:eastAsia="宋体" w:cs="宋体"/>
          <w:color w:val="auto"/>
          <w:spacing w:val="-6"/>
          <w:szCs w:val="21"/>
        </w:rPr>
        <w:t>进入技术和商务</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程序的供应商，采用抽签的方式确定供应商顺序，</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小组根据</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文件要求及供应商提供的有关说明，分别与进入</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的供应商就服务人员配备、售后服务、应急预案等进行</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供应商</w:t>
      </w:r>
      <w:r>
        <w:rPr>
          <w:rFonts w:hint="eastAsia" w:ascii="宋体" w:hAnsi="宋体" w:eastAsia="宋体" w:cs="宋体"/>
          <w:color w:val="auto"/>
          <w:spacing w:val="-6"/>
          <w:szCs w:val="21"/>
        </w:rPr>
        <w:t>对技术和商务条件与</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文件要求有重大差异、无资格进入最后报价的供应商出具书面无效原因说明；</w:t>
      </w:r>
    </w:p>
    <w:p w14:paraId="10F5622C">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小组要求所有实质性响应的供应商在规定时间内（10分钟）提交</w:t>
      </w:r>
      <w:r>
        <w:rPr>
          <w:rFonts w:hint="eastAsia" w:ascii="宋体" w:hAnsi="宋体" w:eastAsia="宋体" w:cs="宋体"/>
          <w:color w:val="auto"/>
          <w:szCs w:val="21"/>
          <w:lang w:val="en-US" w:eastAsia="zh-CN"/>
        </w:rPr>
        <w:t>书面</w:t>
      </w:r>
      <w:r>
        <w:rPr>
          <w:rFonts w:hint="eastAsia" w:ascii="宋体" w:hAnsi="宋体" w:eastAsia="宋体" w:cs="宋体"/>
          <w:color w:val="auto"/>
          <w:szCs w:val="21"/>
        </w:rPr>
        <w:t>最后报价（第</w:t>
      </w:r>
      <w:r>
        <w:rPr>
          <w:rFonts w:hint="eastAsia" w:ascii="宋体" w:hAnsi="宋体" w:cs="宋体"/>
          <w:color w:val="auto"/>
          <w:szCs w:val="21"/>
          <w:lang w:val="en-US" w:eastAsia="zh-CN"/>
        </w:rPr>
        <w:t>二</w:t>
      </w:r>
      <w:r>
        <w:rPr>
          <w:rFonts w:hint="eastAsia" w:ascii="宋体" w:hAnsi="宋体" w:eastAsia="宋体" w:cs="宋体"/>
          <w:color w:val="auto"/>
          <w:szCs w:val="21"/>
        </w:rPr>
        <w:t>次报价）。最后报价是供应商响应文件的有效组成部分。</w:t>
      </w:r>
    </w:p>
    <w:p w14:paraId="17EBBD0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cs="宋体"/>
          <w:color w:val="auto"/>
          <w:szCs w:val="21"/>
          <w:lang w:eastAsia="zh-CN"/>
        </w:rPr>
        <w:t>.</w:t>
      </w:r>
      <w:r>
        <w:rPr>
          <w:rFonts w:hint="eastAsia" w:ascii="宋体" w:hAnsi="宋体" w:eastAsia="宋体" w:cs="宋体"/>
          <w:color w:val="auto"/>
          <w:szCs w:val="21"/>
        </w:rPr>
        <w:t>已提交响应文件的供应商，在提交最后报价之前，可以根据</w:t>
      </w:r>
      <w:r>
        <w:rPr>
          <w:rFonts w:hint="eastAsia" w:ascii="宋体" w:hAnsi="宋体" w:cs="宋体"/>
          <w:color w:val="auto"/>
          <w:szCs w:val="21"/>
          <w:lang w:eastAsia="zh-CN"/>
        </w:rPr>
        <w:t>谈判</w:t>
      </w:r>
      <w:r>
        <w:rPr>
          <w:rFonts w:hint="eastAsia" w:ascii="宋体" w:hAnsi="宋体" w:eastAsia="宋体" w:cs="宋体"/>
          <w:color w:val="auto"/>
          <w:szCs w:val="21"/>
        </w:rPr>
        <w:t>情况退出</w:t>
      </w:r>
      <w:r>
        <w:rPr>
          <w:rFonts w:hint="eastAsia" w:ascii="宋体" w:hAnsi="宋体" w:cs="宋体"/>
          <w:color w:val="auto"/>
          <w:szCs w:val="21"/>
          <w:lang w:eastAsia="zh-CN"/>
        </w:rPr>
        <w:t>谈判</w:t>
      </w:r>
      <w:r>
        <w:rPr>
          <w:rFonts w:hint="eastAsia" w:ascii="宋体" w:hAnsi="宋体" w:eastAsia="宋体" w:cs="宋体"/>
          <w:color w:val="auto"/>
          <w:szCs w:val="21"/>
        </w:rPr>
        <w:t>。采购方应当退还退出</w:t>
      </w:r>
      <w:r>
        <w:rPr>
          <w:rFonts w:hint="eastAsia" w:ascii="宋体" w:hAnsi="宋体" w:cs="宋体"/>
          <w:color w:val="auto"/>
          <w:szCs w:val="21"/>
          <w:lang w:eastAsia="zh-CN"/>
        </w:rPr>
        <w:t>谈判</w:t>
      </w:r>
      <w:r>
        <w:rPr>
          <w:rFonts w:hint="eastAsia" w:ascii="宋体" w:hAnsi="宋体" w:eastAsia="宋体" w:cs="宋体"/>
          <w:color w:val="auto"/>
          <w:szCs w:val="21"/>
        </w:rPr>
        <w:t>的供应商的</w:t>
      </w:r>
      <w:r>
        <w:rPr>
          <w:rFonts w:hint="eastAsia" w:ascii="宋体" w:hAnsi="宋体" w:cs="宋体"/>
          <w:color w:val="auto"/>
          <w:szCs w:val="21"/>
          <w:lang w:eastAsia="zh-CN"/>
        </w:rPr>
        <w:t>谈判</w:t>
      </w:r>
      <w:r>
        <w:rPr>
          <w:rFonts w:hint="eastAsia" w:ascii="宋体" w:hAnsi="宋体" w:eastAsia="宋体" w:cs="宋体"/>
          <w:color w:val="auto"/>
          <w:szCs w:val="21"/>
        </w:rPr>
        <w:t>保证金</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如有</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14:paraId="259CC0DD">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小组审查各供应商的最后报价。</w:t>
      </w:r>
    </w:p>
    <w:p w14:paraId="5C80DCFA">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rPr>
        <w:t>13</w:t>
      </w:r>
      <w:r>
        <w:rPr>
          <w:rFonts w:hint="eastAsia" w:ascii="宋体" w:hAnsi="宋体" w:cs="宋体"/>
          <w:color w:val="auto"/>
          <w:spacing w:val="-6"/>
          <w:szCs w:val="21"/>
          <w:lang w:eastAsia="zh-CN"/>
        </w:rPr>
        <w:t>.</w:t>
      </w:r>
      <w:r>
        <w:rPr>
          <w:rFonts w:hint="eastAsia" w:ascii="宋体" w:hAnsi="宋体" w:eastAsia="宋体" w:cs="宋体"/>
          <w:color w:val="auto"/>
          <w:spacing w:val="-6"/>
          <w:szCs w:val="21"/>
        </w:rPr>
        <w:t>谈判小组应当根据有效供应商的最后报价，按照最后报价由低到高顺序推荐3名以上成交候选供应商，并编写评审报告。谈判小组应当从质量和服务均能满足竞争性谈判文件实质性响应要求的供应商中，按照最后报价由低到高的顺序提出3 名以上成交候选供应商，当供应商评审价出现两个及以上（含两个）相同评审价时，按</w:t>
      </w:r>
      <w:r>
        <w:rPr>
          <w:rFonts w:hint="eastAsia" w:ascii="宋体" w:hAnsi="宋体" w:eastAsia="宋体" w:cs="宋体"/>
          <w:color w:val="auto"/>
          <w:spacing w:val="-6"/>
          <w:szCs w:val="21"/>
          <w:lang w:val="en-US" w:eastAsia="zh-CN"/>
        </w:rPr>
        <w:t>供应商响应文件</w:t>
      </w:r>
      <w:r>
        <w:rPr>
          <w:rFonts w:hint="eastAsia" w:ascii="宋体" w:hAnsi="宋体" w:eastAsia="宋体" w:cs="宋体"/>
          <w:color w:val="auto"/>
          <w:spacing w:val="-6"/>
          <w:szCs w:val="21"/>
        </w:rPr>
        <w:t>技术</w:t>
      </w:r>
      <w:r>
        <w:rPr>
          <w:rFonts w:hint="eastAsia" w:ascii="宋体" w:hAnsi="宋体" w:eastAsia="宋体" w:cs="宋体"/>
          <w:color w:val="auto"/>
          <w:spacing w:val="-6"/>
          <w:szCs w:val="21"/>
          <w:lang w:eastAsia="zh-CN"/>
        </w:rPr>
        <w:t>、</w:t>
      </w:r>
      <w:r>
        <w:rPr>
          <w:rFonts w:hint="eastAsia" w:ascii="宋体" w:hAnsi="宋体" w:eastAsia="宋体" w:cs="宋体"/>
          <w:color w:val="auto"/>
          <w:spacing w:val="-6"/>
          <w:szCs w:val="21"/>
          <w:lang w:val="en-US" w:eastAsia="zh-CN"/>
        </w:rPr>
        <w:t>商务要求</w:t>
      </w:r>
      <w:r>
        <w:rPr>
          <w:rFonts w:hint="eastAsia" w:ascii="宋体" w:hAnsi="宋体" w:eastAsia="宋体" w:cs="宋体"/>
          <w:color w:val="auto"/>
          <w:spacing w:val="-6"/>
          <w:szCs w:val="21"/>
        </w:rPr>
        <w:t>优劣排序。并编写评审报告。</w:t>
      </w:r>
    </w:p>
    <w:p w14:paraId="59710889">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lang w:val="en-US" w:eastAsia="zh-CN"/>
        </w:rPr>
        <w:t>14</w:t>
      </w:r>
      <w:r>
        <w:rPr>
          <w:rFonts w:hint="eastAsia" w:ascii="宋体" w:hAnsi="宋体" w:cs="宋体"/>
          <w:color w:val="auto"/>
          <w:spacing w:val="-6"/>
          <w:szCs w:val="21"/>
          <w:lang w:val="en-US" w:eastAsia="zh-CN"/>
        </w:rPr>
        <w:t>.</w:t>
      </w:r>
      <w:r>
        <w:rPr>
          <w:rFonts w:hint="eastAsia" w:ascii="宋体" w:hAnsi="宋体" w:eastAsia="宋体" w:cs="宋体"/>
          <w:color w:val="auto"/>
          <w:spacing w:val="-6"/>
          <w:szCs w:val="21"/>
        </w:rPr>
        <w:t>原则上采购人现场依据谈判小组评审报告提出的成交候选供应商中，根据质量和服务均能满足竞争性谈判文件实质性响应要求且评审价最低的原则确定成交供应商。</w:t>
      </w:r>
    </w:p>
    <w:p w14:paraId="2565A58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15.</w:t>
      </w:r>
      <w:r>
        <w:rPr>
          <w:rFonts w:hint="eastAsia" w:ascii="宋体" w:hAnsi="宋体" w:eastAsia="宋体" w:cs="宋体"/>
          <w:color w:val="auto"/>
          <w:szCs w:val="21"/>
        </w:rPr>
        <w:t>当在评审结束后2个工作日内将评审报告</w:t>
      </w:r>
      <w:r>
        <w:rPr>
          <w:rFonts w:hint="eastAsia" w:ascii="宋体" w:hAnsi="宋体" w:cs="宋体"/>
          <w:color w:val="auto"/>
          <w:szCs w:val="21"/>
          <w:lang w:val="en-US" w:eastAsia="zh-CN"/>
        </w:rPr>
        <w:t>由</w:t>
      </w:r>
      <w:r>
        <w:rPr>
          <w:rFonts w:hint="eastAsia" w:ascii="宋体" w:hAnsi="宋体" w:eastAsia="宋体" w:cs="宋体"/>
          <w:color w:val="auto"/>
          <w:szCs w:val="21"/>
        </w:rPr>
        <w:t>采购人确认。采购人应当从评审报告提出的成交候选供应商中，按照排序由高到低的原则确定成交供应商，也可以书面授权谈判小组直接确定成交供应商。</w:t>
      </w:r>
    </w:p>
    <w:p w14:paraId="6480C04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16、由</w:t>
      </w:r>
      <w:r>
        <w:rPr>
          <w:rFonts w:hint="eastAsia" w:ascii="宋体" w:hAnsi="宋体" w:cs="宋体"/>
          <w:color w:val="auto"/>
          <w:szCs w:val="21"/>
          <w:lang w:eastAsia="zh-CN"/>
        </w:rPr>
        <w:t>谈判</w:t>
      </w:r>
      <w:r>
        <w:rPr>
          <w:rFonts w:hint="eastAsia" w:ascii="宋体" w:hAnsi="宋体" w:eastAsia="宋体" w:cs="宋体"/>
          <w:color w:val="auto"/>
          <w:szCs w:val="21"/>
        </w:rPr>
        <w:t>小组根据计算各有效供应商的最终得分排名向采购人推荐前三名成交候选供应商。</w:t>
      </w:r>
    </w:p>
    <w:p w14:paraId="32B30D31">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17、</w:t>
      </w:r>
      <w:r>
        <w:rPr>
          <w:rFonts w:hint="eastAsia" w:ascii="宋体" w:hAnsi="宋体" w:cs="宋体"/>
          <w:color w:val="auto"/>
          <w:szCs w:val="21"/>
          <w:lang w:eastAsia="zh-CN"/>
        </w:rPr>
        <w:t>谈判</w:t>
      </w:r>
      <w:r>
        <w:rPr>
          <w:rFonts w:hint="eastAsia" w:ascii="宋体" w:hAnsi="宋体" w:eastAsia="宋体" w:cs="宋体"/>
          <w:color w:val="auto"/>
          <w:szCs w:val="21"/>
        </w:rPr>
        <w:t>中的注意事项：</w:t>
      </w:r>
    </w:p>
    <w:p w14:paraId="383F08BF">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eastAsia="zh-CN"/>
        </w:rPr>
        <w:t>谈判</w:t>
      </w:r>
      <w:r>
        <w:rPr>
          <w:rFonts w:hint="eastAsia" w:ascii="宋体" w:hAnsi="宋体" w:eastAsia="宋体" w:cs="宋体"/>
          <w:color w:val="auto"/>
          <w:szCs w:val="21"/>
        </w:rPr>
        <w:t>时由</w:t>
      </w:r>
      <w:r>
        <w:rPr>
          <w:rFonts w:hint="eastAsia" w:ascii="宋体" w:hAnsi="宋体" w:cs="宋体"/>
          <w:color w:val="auto"/>
          <w:szCs w:val="21"/>
          <w:lang w:eastAsia="zh-CN"/>
        </w:rPr>
        <w:t>谈判</w:t>
      </w:r>
      <w:r>
        <w:rPr>
          <w:rFonts w:hint="eastAsia" w:ascii="宋体" w:hAnsi="宋体" w:eastAsia="宋体" w:cs="宋体"/>
          <w:color w:val="auto"/>
          <w:szCs w:val="21"/>
        </w:rPr>
        <w:t>小组所有成员集中与单一供应商分别进行</w:t>
      </w:r>
      <w:r>
        <w:rPr>
          <w:rFonts w:hint="eastAsia" w:ascii="宋体" w:hAnsi="宋体" w:cs="宋体"/>
          <w:color w:val="auto"/>
          <w:szCs w:val="21"/>
          <w:lang w:eastAsia="zh-CN"/>
        </w:rPr>
        <w:t>谈判</w:t>
      </w:r>
      <w:r>
        <w:rPr>
          <w:rFonts w:hint="eastAsia" w:ascii="宋体" w:hAnsi="宋体" w:eastAsia="宋体" w:cs="宋体"/>
          <w:color w:val="auto"/>
          <w:szCs w:val="21"/>
        </w:rPr>
        <w:t>。</w:t>
      </w:r>
      <w:r>
        <w:rPr>
          <w:rFonts w:hint="eastAsia" w:ascii="宋体" w:hAnsi="宋体" w:cs="宋体"/>
          <w:color w:val="auto"/>
          <w:szCs w:val="21"/>
          <w:lang w:eastAsia="zh-CN"/>
        </w:rPr>
        <w:t>谈判</w:t>
      </w:r>
      <w:r>
        <w:rPr>
          <w:rFonts w:hint="eastAsia" w:ascii="宋体" w:hAnsi="宋体" w:eastAsia="宋体" w:cs="宋体"/>
          <w:color w:val="auto"/>
          <w:szCs w:val="21"/>
        </w:rPr>
        <w:t>中，</w:t>
      </w:r>
      <w:r>
        <w:rPr>
          <w:rFonts w:hint="eastAsia" w:ascii="宋体" w:hAnsi="宋体" w:cs="宋体"/>
          <w:color w:val="auto"/>
          <w:szCs w:val="21"/>
          <w:lang w:eastAsia="zh-CN"/>
        </w:rPr>
        <w:t>谈判</w:t>
      </w:r>
      <w:r>
        <w:rPr>
          <w:rFonts w:hint="eastAsia" w:ascii="宋体" w:hAnsi="宋体" w:eastAsia="宋体" w:cs="宋体"/>
          <w:color w:val="auto"/>
          <w:szCs w:val="21"/>
        </w:rPr>
        <w:t>的任何一方不得透露与</w:t>
      </w:r>
      <w:r>
        <w:rPr>
          <w:rFonts w:hint="eastAsia" w:ascii="宋体" w:hAnsi="宋体" w:cs="宋体"/>
          <w:color w:val="auto"/>
          <w:szCs w:val="21"/>
          <w:lang w:eastAsia="zh-CN"/>
        </w:rPr>
        <w:t>谈判</w:t>
      </w:r>
      <w:r>
        <w:rPr>
          <w:rFonts w:hint="eastAsia" w:ascii="宋体" w:hAnsi="宋体" w:eastAsia="宋体" w:cs="宋体"/>
          <w:color w:val="auto"/>
          <w:szCs w:val="21"/>
        </w:rPr>
        <w:t>有关的其他供应商的技术资料、价格和其他信息；</w:t>
      </w:r>
    </w:p>
    <w:p w14:paraId="535D19C4">
      <w:pPr>
        <w:keepNext w:val="0"/>
        <w:keepLines w:val="0"/>
        <w:pageBreakBefore w:val="0"/>
        <w:widowControl w:val="0"/>
        <w:kinsoku/>
        <w:wordWrap/>
        <w:overflowPunct/>
        <w:topLinePunct w:val="0"/>
        <w:autoSpaceDE/>
        <w:autoSpaceDN/>
        <w:bidi w:val="0"/>
        <w:adjustRightInd/>
        <w:snapToGrid w:val="0"/>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三</w:t>
      </w:r>
      <w:r>
        <w:rPr>
          <w:rFonts w:hint="eastAsia" w:ascii="宋体" w:hAnsi="宋体" w:eastAsia="宋体" w:cs="宋体"/>
          <w:color w:val="auto"/>
          <w:szCs w:val="21"/>
        </w:rPr>
        <w:t>、</w:t>
      </w:r>
      <w:r>
        <w:rPr>
          <w:rFonts w:hint="eastAsia" w:ascii="宋体" w:hAnsi="宋体" w:cs="宋体"/>
          <w:color w:val="auto"/>
          <w:szCs w:val="21"/>
          <w:lang w:eastAsia="zh-CN"/>
        </w:rPr>
        <w:t>竞争性</w:t>
      </w:r>
      <w:r>
        <w:rPr>
          <w:rFonts w:hint="eastAsia" w:ascii="宋体" w:hAnsi="宋体" w:eastAsia="宋体" w:cs="宋体"/>
          <w:color w:val="auto"/>
          <w:szCs w:val="21"/>
          <w:lang w:eastAsia="zh-CN"/>
        </w:rPr>
        <w:t>谈判</w:t>
      </w:r>
      <w:r>
        <w:rPr>
          <w:rFonts w:hint="eastAsia" w:ascii="宋体" w:hAnsi="宋体" w:eastAsia="宋体" w:cs="宋体"/>
          <w:color w:val="auto"/>
          <w:szCs w:val="21"/>
        </w:rPr>
        <w:t>纪律及</w:t>
      </w:r>
      <w:r>
        <w:rPr>
          <w:rFonts w:hint="eastAsia" w:ascii="宋体" w:hAnsi="宋体" w:eastAsia="宋体" w:cs="宋体"/>
          <w:color w:val="auto"/>
          <w:szCs w:val="21"/>
          <w:lang w:eastAsia="zh-CN"/>
        </w:rPr>
        <w:t>谈判</w:t>
      </w:r>
      <w:r>
        <w:rPr>
          <w:rFonts w:hint="eastAsia" w:ascii="宋体" w:hAnsi="宋体" w:eastAsia="宋体" w:cs="宋体"/>
          <w:color w:val="auto"/>
          <w:szCs w:val="21"/>
        </w:rPr>
        <w:t>职责</w:t>
      </w:r>
    </w:p>
    <w:p w14:paraId="204E587D">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1.评审工作</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及有关政策、法令，保护合法权益，做到公正 、公开、公平，遵循竞争、择优的原则。</w:t>
      </w:r>
    </w:p>
    <w:p w14:paraId="6BF061BF">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2.评审工作由</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组织的</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rPr>
        <w:t>小组（以下简称</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小组）进行。</w:t>
      </w:r>
    </w:p>
    <w:p w14:paraId="5B5FFC40">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谈判</w:t>
      </w:r>
      <w:r>
        <w:rPr>
          <w:rFonts w:hint="eastAsia" w:ascii="宋体" w:hAnsi="宋体" w:eastAsia="宋体" w:cs="宋体"/>
          <w:color w:val="auto"/>
          <w:szCs w:val="21"/>
        </w:rPr>
        <w:t>小组及有关人员应严格遵守国家有关法律、法令，公正廉洁，不徇私情，应当客观、公正地履行职务、遵守职业道德，不得有损害国家和企业利益的行为，如有发生，将追究法律责任。</w:t>
      </w:r>
    </w:p>
    <w:p w14:paraId="2F69960B">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4.任何单位和个人不得非法干预、影响评审过程和结果。</w:t>
      </w:r>
    </w:p>
    <w:p w14:paraId="5A7C8DA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5.评审工作接受监督单位的管理和监督。</w:t>
      </w:r>
    </w:p>
    <w:p w14:paraId="2F046E5C">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eastAsia="zh-CN"/>
        </w:rPr>
        <w:t>谈判</w:t>
      </w:r>
      <w:r>
        <w:rPr>
          <w:rFonts w:hint="eastAsia" w:ascii="宋体" w:hAnsi="宋体" w:eastAsia="宋体" w:cs="宋体"/>
          <w:color w:val="auto"/>
          <w:szCs w:val="21"/>
        </w:rPr>
        <w:t>小组以及与评审工作有关的人员不得泄露评审情况以及评审过程中获悉的国家秘密、商业秘密。</w:t>
      </w:r>
    </w:p>
    <w:p w14:paraId="67E3C00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7.从</w:t>
      </w:r>
      <w:r>
        <w:rPr>
          <w:rFonts w:hint="eastAsia" w:ascii="宋体" w:hAnsi="宋体" w:cs="宋体"/>
          <w:color w:val="auto"/>
          <w:szCs w:val="21"/>
          <w:lang w:eastAsia="zh-CN"/>
        </w:rPr>
        <w:t>谈判</w:t>
      </w:r>
      <w:r>
        <w:rPr>
          <w:rFonts w:hint="eastAsia" w:ascii="宋体" w:hAnsi="宋体" w:eastAsia="宋体" w:cs="宋体"/>
          <w:color w:val="auto"/>
          <w:szCs w:val="21"/>
        </w:rPr>
        <w:t>之日起，至《</w:t>
      </w:r>
      <w:r>
        <w:rPr>
          <w:rFonts w:hint="eastAsia" w:ascii="宋体" w:hAnsi="宋体" w:cs="宋体"/>
          <w:color w:val="auto"/>
          <w:szCs w:val="21"/>
          <w:lang w:eastAsia="zh-CN"/>
        </w:rPr>
        <w:t>中标通知书</w:t>
      </w:r>
      <w:r>
        <w:rPr>
          <w:rFonts w:hint="eastAsia" w:ascii="宋体" w:hAnsi="宋体" w:eastAsia="宋体" w:cs="宋体"/>
          <w:color w:val="auto"/>
          <w:szCs w:val="21"/>
        </w:rPr>
        <w:t>》发出之日止，任何供应商不得与</w:t>
      </w:r>
      <w:r>
        <w:rPr>
          <w:rFonts w:hint="eastAsia" w:ascii="宋体" w:hAnsi="宋体" w:cs="宋体"/>
          <w:color w:val="auto"/>
          <w:szCs w:val="21"/>
          <w:lang w:eastAsia="zh-CN"/>
        </w:rPr>
        <w:t>谈判</w:t>
      </w:r>
      <w:r>
        <w:rPr>
          <w:rFonts w:hint="eastAsia" w:ascii="宋体" w:hAnsi="宋体" w:eastAsia="宋体" w:cs="宋体"/>
          <w:color w:val="auto"/>
          <w:szCs w:val="21"/>
        </w:rPr>
        <w:t>小组、采购人及有关工作人员私下接触或联系。供应商企图影响评审的任何活动或采用不正当手段骗取成交的，成交无效，并将依照《中华人民共和国政府采购法》及有关法规进行处理。</w:t>
      </w:r>
    </w:p>
    <w:p w14:paraId="7E8858BE">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8.评审的依据是</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文件的规定和要求，以及响应文件和经</w:t>
      </w:r>
      <w:r>
        <w:rPr>
          <w:rFonts w:hint="eastAsia" w:ascii="宋体" w:hAnsi="宋体" w:cs="宋体"/>
          <w:color w:val="auto"/>
          <w:szCs w:val="21"/>
          <w:lang w:eastAsia="zh-CN"/>
        </w:rPr>
        <w:t>谈判</w:t>
      </w:r>
      <w:r>
        <w:rPr>
          <w:rFonts w:hint="eastAsia" w:ascii="宋体" w:hAnsi="宋体" w:eastAsia="宋体" w:cs="宋体"/>
          <w:color w:val="auto"/>
          <w:szCs w:val="21"/>
        </w:rPr>
        <w:t>小组审核的响应文件的补充资料，而不是其他任何资料。</w:t>
      </w:r>
    </w:p>
    <w:p w14:paraId="37D23D7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9.</w:t>
      </w:r>
      <w:r>
        <w:rPr>
          <w:rFonts w:hint="eastAsia" w:ascii="宋体" w:hAnsi="宋体" w:cs="宋体"/>
          <w:color w:val="auto"/>
          <w:szCs w:val="21"/>
          <w:lang w:eastAsia="zh-CN"/>
        </w:rPr>
        <w:t>谈判</w:t>
      </w:r>
      <w:r>
        <w:rPr>
          <w:rFonts w:hint="eastAsia" w:ascii="宋体" w:hAnsi="宋体" w:eastAsia="宋体" w:cs="宋体"/>
          <w:color w:val="auto"/>
          <w:szCs w:val="21"/>
        </w:rPr>
        <w:t>小组有权要求供应商对响应文件中不明确的地方作出解释和澄清，并用书面方式予以确认。澄清后满足要求的，按有效响应文件接收。但不允许对除采购需求中技术、服务要求以及</w:t>
      </w:r>
      <w:r>
        <w:rPr>
          <w:rFonts w:hint="eastAsia" w:ascii="宋体" w:hAnsi="宋体" w:cs="宋体"/>
          <w:color w:val="auto"/>
          <w:szCs w:val="21"/>
          <w:lang w:eastAsia="zh-CN"/>
        </w:rPr>
        <w:t>合同格式文本</w:t>
      </w:r>
      <w:r>
        <w:rPr>
          <w:rFonts w:hint="eastAsia" w:ascii="宋体" w:hAnsi="宋体" w:eastAsia="宋体" w:cs="宋体"/>
          <w:color w:val="auto"/>
          <w:szCs w:val="21"/>
        </w:rPr>
        <w:t>条款以外的其他内容进行修改。</w:t>
      </w:r>
    </w:p>
    <w:p w14:paraId="339FAF7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及相关规定，依据</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文件的规定要求，就响应文件提供的资格、资质、资信证明文件，以及有关资料，对供应商的资格进行确认后。并按照</w:t>
      </w:r>
      <w:r>
        <w:rPr>
          <w:rFonts w:hint="eastAsia" w:ascii="宋体" w:hAnsi="宋体" w:cs="宋体"/>
          <w:color w:val="auto"/>
          <w:szCs w:val="21"/>
          <w:lang w:eastAsia="zh-CN"/>
        </w:rPr>
        <w:t>竞争性谈判</w:t>
      </w:r>
      <w:r>
        <w:rPr>
          <w:rFonts w:hint="eastAsia" w:ascii="宋体" w:hAnsi="宋体" w:eastAsia="宋体" w:cs="宋体"/>
          <w:color w:val="auto"/>
          <w:szCs w:val="21"/>
        </w:rPr>
        <w:t>文件中规定的评审办法进行评议，由</w:t>
      </w:r>
      <w:r>
        <w:rPr>
          <w:rFonts w:hint="eastAsia" w:ascii="宋体" w:hAnsi="宋体" w:cs="宋体"/>
          <w:color w:val="auto"/>
          <w:szCs w:val="21"/>
          <w:lang w:eastAsia="zh-CN"/>
        </w:rPr>
        <w:t>竞争性谈判</w:t>
      </w:r>
      <w:r>
        <w:rPr>
          <w:rFonts w:hint="eastAsia" w:ascii="宋体" w:hAnsi="宋体" w:eastAsia="宋体" w:cs="宋体"/>
          <w:color w:val="auto"/>
          <w:szCs w:val="21"/>
        </w:rPr>
        <w:t>小组最终评分出成交候选供应商。</w:t>
      </w:r>
    </w:p>
    <w:p w14:paraId="2C08BEE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11.评审报告应当由</w:t>
      </w:r>
      <w:r>
        <w:rPr>
          <w:rFonts w:hint="eastAsia" w:ascii="宋体" w:hAnsi="宋体" w:cs="宋体"/>
          <w:color w:val="auto"/>
          <w:szCs w:val="21"/>
          <w:lang w:eastAsia="zh-CN"/>
        </w:rPr>
        <w:t>谈判</w:t>
      </w:r>
      <w:r>
        <w:rPr>
          <w:rFonts w:hint="eastAsia" w:ascii="宋体" w:hAnsi="宋体" w:eastAsia="宋体" w:cs="宋体"/>
          <w:color w:val="auto"/>
          <w:szCs w:val="21"/>
        </w:rPr>
        <w:t>小组全体人员签字认可。</w:t>
      </w:r>
      <w:r>
        <w:rPr>
          <w:rFonts w:hint="eastAsia" w:ascii="宋体" w:hAnsi="宋体" w:cs="宋体"/>
          <w:color w:val="auto"/>
          <w:szCs w:val="21"/>
          <w:lang w:eastAsia="zh-CN"/>
        </w:rPr>
        <w:t>谈判</w:t>
      </w:r>
      <w:r>
        <w:rPr>
          <w:rFonts w:hint="eastAsia" w:ascii="宋体" w:hAnsi="宋体" w:eastAsia="宋体" w:cs="宋体"/>
          <w:color w:val="auto"/>
          <w:szCs w:val="21"/>
        </w:rPr>
        <w:t>小组成员对评审报告有异议的，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小组按照少数服从多数的原则推荐成交候选供应商，采购程序继续进行。对评审报告有异议的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小组成员，应当在报告上签署不同意见并说明理由，由</w:t>
      </w:r>
      <w:r>
        <w:rPr>
          <w:rFonts w:hint="eastAsia" w:ascii="宋体" w:hAnsi="宋体" w:cs="宋体"/>
          <w:color w:val="auto"/>
          <w:szCs w:val="21"/>
          <w:lang w:eastAsia="zh-CN"/>
        </w:rPr>
        <w:t>谈判</w:t>
      </w:r>
      <w:r>
        <w:rPr>
          <w:rFonts w:hint="eastAsia" w:ascii="宋体" w:hAnsi="宋体" w:eastAsia="宋体" w:cs="宋体"/>
          <w:color w:val="auto"/>
          <w:szCs w:val="21"/>
        </w:rPr>
        <w:t>小组书面记录相关情况。</w:t>
      </w:r>
      <w:r>
        <w:rPr>
          <w:rFonts w:hint="eastAsia" w:ascii="宋体" w:hAnsi="宋体" w:cs="宋体"/>
          <w:color w:val="auto"/>
          <w:szCs w:val="21"/>
          <w:lang w:eastAsia="zh-CN"/>
        </w:rPr>
        <w:t>谈判</w:t>
      </w:r>
      <w:r>
        <w:rPr>
          <w:rFonts w:hint="eastAsia" w:ascii="宋体" w:hAnsi="宋体" w:eastAsia="宋体" w:cs="宋体"/>
          <w:color w:val="auto"/>
          <w:szCs w:val="21"/>
        </w:rPr>
        <w:t>小组成员拒绝在报告上签字又不书面说明其不同意见和理由的，视为同意评审报告。</w:t>
      </w:r>
    </w:p>
    <w:p w14:paraId="196CF2F1">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30"/>
          <w:szCs w:val="30"/>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小组对本人的评审结果负责，并在评审报告上签名确认。</w:t>
      </w:r>
      <w:bookmarkStart w:id="29" w:name="_Toc28250"/>
    </w:p>
    <w:p w14:paraId="701B8CB3">
      <w:pPr>
        <w:pStyle w:val="2"/>
        <w:spacing w:line="240" w:lineRule="auto"/>
        <w:jc w:val="center"/>
        <w:rPr>
          <w:rFonts w:hint="eastAsia" w:ascii="宋体" w:hAnsi="宋体" w:eastAsia="宋体" w:cs="宋体"/>
          <w:color w:val="auto"/>
          <w:sz w:val="30"/>
          <w:szCs w:val="30"/>
        </w:rPr>
      </w:pPr>
      <w:bookmarkStart w:id="30" w:name="_Toc9691"/>
      <w:r>
        <w:rPr>
          <w:rFonts w:hint="eastAsia" w:ascii="宋体" w:hAnsi="宋体" w:eastAsia="宋体" w:cs="宋体"/>
          <w:color w:val="auto"/>
          <w:sz w:val="30"/>
          <w:szCs w:val="30"/>
        </w:rPr>
        <w:t>第</w:t>
      </w:r>
      <w:r>
        <w:rPr>
          <w:rFonts w:hint="eastAsia" w:ascii="宋体" w:hAnsi="宋体" w:cs="宋体"/>
          <w:color w:val="auto"/>
          <w:sz w:val="30"/>
          <w:szCs w:val="30"/>
          <w:lang w:val="en-US" w:eastAsia="zh-CN"/>
        </w:rPr>
        <w:t>七</w:t>
      </w:r>
      <w:r>
        <w:rPr>
          <w:rFonts w:hint="eastAsia" w:ascii="宋体" w:hAnsi="宋体" w:eastAsia="宋体" w:cs="宋体"/>
          <w:color w:val="auto"/>
          <w:sz w:val="30"/>
          <w:szCs w:val="30"/>
        </w:rPr>
        <w:t xml:space="preserve">章  </w:t>
      </w:r>
      <w:r>
        <w:rPr>
          <w:rFonts w:hint="eastAsia" w:ascii="宋体" w:hAnsi="宋体" w:eastAsia="宋体" w:cs="宋体"/>
          <w:color w:val="auto"/>
          <w:sz w:val="30"/>
          <w:szCs w:val="30"/>
          <w:lang w:eastAsia="zh-CN"/>
        </w:rPr>
        <w:t>谈判</w:t>
      </w:r>
      <w:r>
        <w:rPr>
          <w:rFonts w:hint="eastAsia" w:ascii="宋体" w:hAnsi="宋体" w:eastAsia="宋体" w:cs="宋体"/>
          <w:color w:val="auto"/>
          <w:sz w:val="30"/>
          <w:szCs w:val="30"/>
        </w:rPr>
        <w:t>有效期</w:t>
      </w:r>
      <w:bookmarkEnd w:id="30"/>
    </w:p>
    <w:p w14:paraId="4A06CBA0">
      <w:pPr>
        <w:rPr>
          <w:rFonts w:hint="eastAsia" w:ascii="宋体" w:hAnsi="宋体" w:eastAsia="宋体" w:cs="宋体"/>
          <w:color w:val="auto"/>
          <w:szCs w:val="21"/>
        </w:rPr>
      </w:pPr>
      <w:r>
        <w:rPr>
          <w:rFonts w:hint="eastAsia" w:ascii="宋体" w:hAnsi="宋体" w:eastAsia="宋体" w:cs="宋体"/>
          <w:color w:val="auto"/>
          <w:szCs w:val="21"/>
        </w:rPr>
        <w:t>一、本项目</w:t>
      </w:r>
      <w:r>
        <w:rPr>
          <w:rFonts w:hint="eastAsia" w:ascii="宋体" w:hAnsi="宋体" w:cs="宋体"/>
          <w:color w:val="auto"/>
          <w:szCs w:val="21"/>
          <w:lang w:eastAsia="zh-CN"/>
        </w:rPr>
        <w:t>谈判</w:t>
      </w:r>
      <w:r>
        <w:rPr>
          <w:rFonts w:hint="eastAsia" w:ascii="宋体" w:hAnsi="宋体" w:eastAsia="宋体" w:cs="宋体"/>
          <w:color w:val="auto"/>
          <w:szCs w:val="21"/>
        </w:rPr>
        <w:t>有效期为</w:t>
      </w:r>
      <w:r>
        <w:rPr>
          <w:rFonts w:hint="eastAsia" w:ascii="宋体" w:hAnsi="宋体" w:eastAsia="宋体" w:cs="宋体"/>
          <w:color w:val="auto"/>
          <w:szCs w:val="21"/>
          <w:lang w:eastAsia="zh-CN"/>
        </w:rPr>
        <w:t>90</w:t>
      </w:r>
      <w:r>
        <w:rPr>
          <w:rFonts w:hint="eastAsia" w:ascii="宋体" w:hAnsi="宋体" w:eastAsia="宋体" w:cs="宋体"/>
          <w:color w:val="auto"/>
          <w:szCs w:val="21"/>
        </w:rPr>
        <w:t>天，</w:t>
      </w:r>
      <w:r>
        <w:rPr>
          <w:rFonts w:hint="eastAsia" w:ascii="宋体" w:hAnsi="宋体" w:cs="宋体"/>
          <w:color w:val="auto"/>
          <w:szCs w:val="21"/>
          <w:lang w:eastAsia="zh-CN"/>
        </w:rPr>
        <w:t>谈判</w:t>
      </w:r>
      <w:r>
        <w:rPr>
          <w:rFonts w:hint="eastAsia" w:ascii="宋体" w:hAnsi="宋体" w:eastAsia="宋体" w:cs="宋体"/>
          <w:color w:val="auto"/>
          <w:szCs w:val="21"/>
        </w:rPr>
        <w:t>保证金有效期：为</w:t>
      </w:r>
      <w:r>
        <w:rPr>
          <w:rFonts w:hint="eastAsia" w:ascii="宋体" w:hAnsi="宋体" w:cs="宋体"/>
          <w:color w:val="auto"/>
          <w:szCs w:val="21"/>
          <w:lang w:eastAsia="zh-CN"/>
        </w:rPr>
        <w:t>谈判</w:t>
      </w:r>
      <w:r>
        <w:rPr>
          <w:rFonts w:hint="eastAsia" w:ascii="宋体" w:hAnsi="宋体" w:eastAsia="宋体" w:cs="宋体"/>
          <w:color w:val="auto"/>
          <w:szCs w:val="21"/>
        </w:rPr>
        <w:t>有效期截止日后90天。</w:t>
      </w:r>
    </w:p>
    <w:p w14:paraId="5F97C9BA">
      <w:pPr>
        <w:pStyle w:val="8"/>
        <w:rPr>
          <w:rFonts w:hint="eastAsia" w:ascii="宋体" w:hAnsi="宋体" w:eastAsia="宋体" w:cs="宋体"/>
        </w:rPr>
      </w:pPr>
    </w:p>
    <w:p w14:paraId="3947B6F4">
      <w:pPr>
        <w:spacing w:line="360" w:lineRule="auto"/>
        <w:rPr>
          <w:rFonts w:hint="eastAsia" w:ascii="宋体" w:hAnsi="宋体" w:eastAsia="宋体" w:cs="宋体"/>
          <w:color w:val="auto"/>
          <w:szCs w:val="21"/>
        </w:rPr>
      </w:pPr>
    </w:p>
    <w:p w14:paraId="230DC16E">
      <w:pPr>
        <w:pStyle w:val="8"/>
        <w:rPr>
          <w:rFonts w:hint="eastAsia" w:ascii="宋体" w:hAnsi="宋体" w:eastAsia="宋体" w:cs="宋体"/>
          <w:color w:val="auto"/>
          <w:szCs w:val="21"/>
        </w:rPr>
      </w:pPr>
    </w:p>
    <w:p w14:paraId="65DD9AD5">
      <w:pPr>
        <w:rPr>
          <w:rFonts w:hint="eastAsia" w:ascii="宋体" w:hAnsi="宋体" w:eastAsia="宋体" w:cs="宋体"/>
          <w:color w:val="auto"/>
          <w:szCs w:val="21"/>
        </w:rPr>
      </w:pPr>
      <w:r>
        <w:rPr>
          <w:rFonts w:hint="eastAsia" w:ascii="宋体" w:hAnsi="宋体" w:eastAsia="宋体" w:cs="宋体"/>
          <w:color w:val="auto"/>
          <w:szCs w:val="21"/>
        </w:rPr>
        <w:br w:type="page"/>
      </w:r>
    </w:p>
    <w:p w14:paraId="4174532D">
      <w:pPr>
        <w:pStyle w:val="8"/>
        <w:rPr>
          <w:rFonts w:hint="eastAsia"/>
        </w:rPr>
      </w:pPr>
    </w:p>
    <w:bookmarkEnd w:id="29"/>
    <w:p w14:paraId="16BF4A3B">
      <w:pPr>
        <w:pStyle w:val="2"/>
        <w:bidi w:val="0"/>
        <w:rPr>
          <w:rFonts w:hint="eastAsia" w:ascii="宋体" w:hAnsi="宋体" w:eastAsia="宋体" w:cs="宋体"/>
        </w:rPr>
      </w:pPr>
      <w:bookmarkStart w:id="31"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31"/>
    </w:p>
    <w:p w14:paraId="4F1A352E">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44CE962A">
      <w:pPr>
        <w:spacing w:line="440" w:lineRule="exact"/>
        <w:rPr>
          <w:rFonts w:hint="eastAsia" w:ascii="宋体" w:hAnsi="宋体" w:eastAsia="宋体" w:cs="宋体"/>
          <w:color w:val="auto"/>
          <w:sz w:val="36"/>
          <w:szCs w:val="36"/>
        </w:rPr>
      </w:pPr>
    </w:p>
    <w:p w14:paraId="791B6CE6">
      <w:pPr>
        <w:spacing w:line="440" w:lineRule="exact"/>
        <w:rPr>
          <w:rFonts w:hint="eastAsia" w:ascii="宋体" w:hAnsi="宋体" w:eastAsia="宋体" w:cs="宋体"/>
          <w:color w:val="auto"/>
          <w:sz w:val="36"/>
          <w:szCs w:val="36"/>
        </w:rPr>
      </w:pPr>
    </w:p>
    <w:p w14:paraId="6CBBECAF">
      <w:pPr>
        <w:rPr>
          <w:rFonts w:hint="eastAsia" w:ascii="宋体" w:hAnsi="宋体" w:eastAsia="宋体" w:cs="宋体"/>
          <w:color w:val="auto"/>
          <w:sz w:val="20"/>
          <w:szCs w:val="20"/>
        </w:rPr>
      </w:pPr>
    </w:p>
    <w:p w14:paraId="6D741845">
      <w:pPr>
        <w:rPr>
          <w:rFonts w:hint="eastAsia" w:ascii="宋体" w:hAnsi="宋体" w:eastAsia="宋体" w:cs="宋体"/>
          <w:color w:val="auto"/>
          <w:sz w:val="20"/>
          <w:szCs w:val="20"/>
        </w:rPr>
      </w:pPr>
    </w:p>
    <w:p w14:paraId="06D81E8E">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2FE72380">
      <w:pPr>
        <w:jc w:val="center"/>
        <w:rPr>
          <w:rFonts w:hint="eastAsia" w:ascii="宋体" w:hAnsi="宋体" w:eastAsia="宋体" w:cs="宋体"/>
          <w:color w:val="auto"/>
          <w:sz w:val="44"/>
          <w:szCs w:val="44"/>
        </w:rPr>
      </w:pPr>
    </w:p>
    <w:p w14:paraId="20CDC967">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2025年第二十二批次燃煤采购项目</w:t>
      </w:r>
    </w:p>
    <w:p w14:paraId="127B685A">
      <w:pPr>
        <w:rPr>
          <w:rFonts w:hint="eastAsia" w:ascii="宋体" w:hAnsi="宋体" w:eastAsia="宋体" w:cs="宋体"/>
          <w:color w:val="auto"/>
          <w:sz w:val="32"/>
          <w:szCs w:val="32"/>
        </w:rPr>
      </w:pPr>
    </w:p>
    <w:p w14:paraId="5E66062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36B50FF2">
      <w:pPr>
        <w:pStyle w:val="12"/>
        <w:rPr>
          <w:rFonts w:hint="eastAsia" w:ascii="宋体" w:hAnsi="宋体" w:eastAsia="宋体" w:cs="宋体"/>
          <w:color w:val="auto"/>
          <w:sz w:val="32"/>
          <w:szCs w:val="32"/>
        </w:rPr>
      </w:pPr>
    </w:p>
    <w:p w14:paraId="607D8CFE">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2025年9月</w:t>
      </w:r>
      <w:r>
        <w:rPr>
          <w:rFonts w:hint="eastAsia" w:ascii="宋体" w:hAnsi="宋体" w:cs="宋体"/>
          <w:b/>
          <w:color w:val="FF0000"/>
          <w:sz w:val="40"/>
          <w:szCs w:val="48"/>
          <w:lang w:val="en-US" w:eastAsia="zh-CN"/>
        </w:rPr>
        <w:t>26</w:t>
      </w:r>
      <w:r>
        <w:rPr>
          <w:rFonts w:hint="eastAsia" w:ascii="宋体" w:hAnsi="宋体" w:cs="宋体"/>
          <w:b/>
          <w:color w:val="FF0000"/>
          <w:sz w:val="40"/>
          <w:szCs w:val="48"/>
          <w:lang w:eastAsia="zh-CN"/>
        </w:rPr>
        <w:t>日10:00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237C51DD">
      <w:pPr>
        <w:pStyle w:val="12"/>
        <w:rPr>
          <w:rFonts w:hint="eastAsia" w:ascii="宋体" w:hAnsi="宋体" w:eastAsia="宋体" w:cs="宋体"/>
          <w:color w:val="auto"/>
          <w:sz w:val="32"/>
          <w:szCs w:val="32"/>
        </w:rPr>
      </w:pPr>
    </w:p>
    <w:p w14:paraId="29DF8032">
      <w:pPr>
        <w:rPr>
          <w:rFonts w:hint="eastAsia" w:ascii="宋体" w:hAnsi="宋体" w:eastAsia="宋体" w:cs="宋体"/>
          <w:color w:val="auto"/>
          <w:sz w:val="32"/>
          <w:szCs w:val="32"/>
        </w:rPr>
      </w:pPr>
    </w:p>
    <w:p w14:paraId="2751F75F">
      <w:pPr>
        <w:ind w:firstLine="1280" w:firstLineChars="400"/>
        <w:rPr>
          <w:rFonts w:hint="eastAsia" w:ascii="宋体" w:hAnsi="宋体" w:eastAsia="宋体" w:cs="宋体"/>
          <w:color w:val="auto"/>
          <w:sz w:val="32"/>
          <w:szCs w:val="32"/>
        </w:rPr>
      </w:pPr>
    </w:p>
    <w:p w14:paraId="3681DA2A">
      <w:pPr>
        <w:pStyle w:val="17"/>
        <w:spacing w:before="120" w:after="120"/>
        <w:ind w:firstLine="560" w:firstLineChars="200"/>
        <w:rPr>
          <w:rFonts w:hint="eastAsia" w:ascii="宋体" w:hAnsi="宋体" w:eastAsia="宋体" w:cs="宋体"/>
          <w:color w:val="auto"/>
          <w:sz w:val="28"/>
          <w:szCs w:val="28"/>
        </w:rPr>
      </w:pPr>
    </w:p>
    <w:p w14:paraId="72557BBA">
      <w:pPr>
        <w:pStyle w:val="17"/>
        <w:spacing w:before="120" w:after="120"/>
        <w:ind w:firstLine="560" w:firstLineChars="200"/>
        <w:jc w:val="left"/>
        <w:rPr>
          <w:rFonts w:hint="eastAsia" w:ascii="宋体" w:hAnsi="宋体" w:eastAsia="宋体" w:cs="宋体"/>
          <w:color w:val="auto"/>
          <w:sz w:val="28"/>
          <w:szCs w:val="28"/>
        </w:rPr>
      </w:pPr>
    </w:p>
    <w:p w14:paraId="11157AF8">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5CBA594B">
      <w:pPr>
        <w:pStyle w:val="17"/>
        <w:spacing w:before="120" w:after="120"/>
        <w:ind w:firstLine="560" w:firstLineChars="200"/>
        <w:rPr>
          <w:rFonts w:hint="eastAsia" w:ascii="宋体" w:hAnsi="宋体" w:eastAsia="宋体" w:cs="宋体"/>
          <w:color w:val="auto"/>
          <w:sz w:val="28"/>
          <w:szCs w:val="28"/>
        </w:rPr>
      </w:pPr>
    </w:p>
    <w:p w14:paraId="7E978268">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1DFB8B38">
      <w:pPr>
        <w:spacing w:before="120" w:after="120"/>
        <w:ind w:left="540"/>
        <w:rPr>
          <w:rFonts w:hint="eastAsia" w:ascii="宋体" w:hAnsi="宋体" w:eastAsia="宋体" w:cs="宋体"/>
          <w:color w:val="auto"/>
          <w:sz w:val="28"/>
          <w:szCs w:val="28"/>
        </w:rPr>
      </w:pPr>
    </w:p>
    <w:p w14:paraId="4673BA99">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62E06BB2">
      <w:pPr>
        <w:ind w:firstLine="980" w:firstLineChars="350"/>
        <w:rPr>
          <w:rFonts w:hint="eastAsia" w:ascii="宋体" w:hAnsi="宋体" w:eastAsia="宋体" w:cs="宋体"/>
          <w:color w:val="FF0000"/>
          <w:sz w:val="28"/>
          <w:szCs w:val="28"/>
        </w:rPr>
      </w:pPr>
    </w:p>
    <w:p w14:paraId="396FE6FC">
      <w:pPr>
        <w:spacing w:line="400" w:lineRule="exact"/>
        <w:jc w:val="center"/>
        <w:rPr>
          <w:rFonts w:hint="eastAsia" w:ascii="宋体" w:hAnsi="宋体" w:eastAsia="宋体" w:cs="宋体"/>
          <w:b/>
          <w:color w:val="auto"/>
          <w:sz w:val="32"/>
          <w:szCs w:val="32"/>
        </w:rPr>
      </w:pPr>
    </w:p>
    <w:p w14:paraId="60730DCB">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0E95B120">
      <w:pPr>
        <w:jc w:val="center"/>
        <w:rPr>
          <w:rFonts w:hint="eastAsia" w:ascii="宋体" w:hAnsi="宋体" w:eastAsia="宋体" w:cs="宋体"/>
          <w:b/>
          <w:color w:val="auto"/>
          <w:sz w:val="28"/>
          <w:szCs w:val="28"/>
        </w:rPr>
      </w:pPr>
    </w:p>
    <w:p w14:paraId="2CE653A4">
      <w:pPr>
        <w:pStyle w:val="49"/>
        <w:rPr>
          <w:rFonts w:hint="eastAsia" w:ascii="宋体" w:hAnsi="宋体" w:eastAsia="宋体" w:cs="宋体"/>
          <w:b/>
          <w:color w:val="auto"/>
          <w:sz w:val="28"/>
          <w:szCs w:val="28"/>
        </w:rPr>
      </w:pPr>
    </w:p>
    <w:p w14:paraId="731FA436">
      <w:pPr>
        <w:pStyle w:val="49"/>
        <w:rPr>
          <w:rFonts w:hint="eastAsia" w:ascii="宋体" w:hAnsi="宋体" w:eastAsia="宋体" w:cs="宋体"/>
          <w:b/>
          <w:color w:val="auto"/>
          <w:sz w:val="28"/>
          <w:szCs w:val="28"/>
        </w:rPr>
      </w:pPr>
    </w:p>
    <w:p w14:paraId="6721B47E">
      <w:pPr>
        <w:pStyle w:val="49"/>
        <w:rPr>
          <w:rFonts w:hint="eastAsia" w:ascii="宋体" w:hAnsi="宋体" w:eastAsia="宋体" w:cs="宋体"/>
          <w:b/>
          <w:color w:val="auto"/>
          <w:sz w:val="28"/>
          <w:szCs w:val="28"/>
        </w:rPr>
      </w:pPr>
    </w:p>
    <w:p w14:paraId="2214941F">
      <w:pPr>
        <w:pStyle w:val="49"/>
        <w:rPr>
          <w:rFonts w:hint="eastAsia" w:ascii="宋体" w:hAnsi="宋体" w:eastAsia="宋体" w:cs="宋体"/>
          <w:b/>
          <w:color w:val="auto"/>
          <w:sz w:val="28"/>
          <w:szCs w:val="28"/>
        </w:rPr>
      </w:pPr>
    </w:p>
    <w:p w14:paraId="572D10E7">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30C40360">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7817EA52">
      <w:pPr>
        <w:ind w:firstLine="1280" w:firstLineChars="400"/>
        <w:rPr>
          <w:rFonts w:hint="eastAsia" w:ascii="宋体" w:hAnsi="宋体" w:eastAsia="宋体" w:cs="宋体"/>
          <w:color w:val="auto"/>
          <w:sz w:val="32"/>
          <w:szCs w:val="32"/>
        </w:rPr>
      </w:pPr>
    </w:p>
    <w:p w14:paraId="5D1B0B03">
      <w:pPr>
        <w:jc w:val="center"/>
        <w:rPr>
          <w:rFonts w:hint="eastAsia" w:ascii="宋体" w:hAnsi="宋体" w:eastAsia="宋体" w:cs="宋体"/>
          <w:b/>
          <w:bCs/>
          <w:color w:val="auto"/>
          <w:sz w:val="72"/>
          <w:szCs w:val="72"/>
        </w:rPr>
      </w:pPr>
    </w:p>
    <w:p w14:paraId="22E37112">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5586A9E1">
      <w:pPr>
        <w:ind w:firstLine="1280" w:firstLineChars="400"/>
        <w:rPr>
          <w:rFonts w:hint="eastAsia" w:ascii="宋体" w:hAnsi="宋体" w:eastAsia="宋体" w:cs="宋体"/>
          <w:color w:val="auto"/>
          <w:sz w:val="32"/>
          <w:szCs w:val="32"/>
        </w:rPr>
      </w:pPr>
    </w:p>
    <w:p w14:paraId="618666F0">
      <w:pPr>
        <w:ind w:firstLine="1280" w:firstLineChars="400"/>
        <w:rPr>
          <w:rFonts w:hint="eastAsia" w:ascii="宋体" w:hAnsi="宋体" w:eastAsia="宋体" w:cs="宋体"/>
          <w:color w:val="auto"/>
          <w:sz w:val="32"/>
          <w:szCs w:val="32"/>
        </w:rPr>
      </w:pPr>
    </w:p>
    <w:p w14:paraId="10D22DDF">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2025年第二十二批次燃煤采购项目</w:t>
      </w:r>
    </w:p>
    <w:p w14:paraId="67B3E7C2">
      <w:pPr>
        <w:pStyle w:val="12"/>
        <w:rPr>
          <w:rFonts w:hint="eastAsia" w:ascii="宋体" w:hAnsi="宋体" w:eastAsia="宋体" w:cs="宋体"/>
          <w:color w:val="auto"/>
          <w:sz w:val="32"/>
          <w:szCs w:val="32"/>
        </w:rPr>
      </w:pPr>
    </w:p>
    <w:p w14:paraId="1C4D8009">
      <w:pPr>
        <w:rPr>
          <w:rFonts w:hint="eastAsia"/>
        </w:rPr>
      </w:pPr>
    </w:p>
    <w:p w14:paraId="6BFCAFEF">
      <w:pPr>
        <w:rPr>
          <w:rFonts w:hint="eastAsia" w:ascii="宋体" w:hAnsi="宋体" w:eastAsia="宋体" w:cs="宋体"/>
          <w:color w:val="auto"/>
          <w:sz w:val="32"/>
          <w:szCs w:val="32"/>
        </w:rPr>
      </w:pPr>
    </w:p>
    <w:p w14:paraId="17CA07BD">
      <w:pPr>
        <w:ind w:firstLine="2880" w:firstLineChars="400"/>
        <w:rPr>
          <w:rFonts w:hint="eastAsia" w:ascii="宋体" w:hAnsi="宋体" w:eastAsia="宋体" w:cs="宋体"/>
          <w:color w:val="auto"/>
          <w:sz w:val="72"/>
        </w:rPr>
      </w:pPr>
    </w:p>
    <w:p w14:paraId="16B1B1AC">
      <w:pPr>
        <w:pStyle w:val="17"/>
        <w:spacing w:line="264" w:lineRule="auto"/>
        <w:rPr>
          <w:rFonts w:hint="eastAsia" w:ascii="宋体" w:hAnsi="宋体" w:eastAsia="宋体" w:cs="宋体"/>
          <w:color w:val="auto"/>
          <w:sz w:val="72"/>
        </w:rPr>
      </w:pPr>
    </w:p>
    <w:p w14:paraId="664D4F36">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92E1113">
      <w:pPr>
        <w:pStyle w:val="17"/>
        <w:spacing w:before="120" w:after="120"/>
        <w:ind w:firstLine="560" w:firstLineChars="200"/>
        <w:rPr>
          <w:rFonts w:hint="eastAsia" w:ascii="宋体" w:hAnsi="宋体" w:eastAsia="宋体" w:cs="宋体"/>
          <w:color w:val="auto"/>
          <w:sz w:val="28"/>
          <w:szCs w:val="28"/>
        </w:rPr>
      </w:pPr>
    </w:p>
    <w:p w14:paraId="1BCB7521">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28ABAB7E">
      <w:pPr>
        <w:spacing w:before="120" w:after="120"/>
        <w:ind w:left="540"/>
        <w:rPr>
          <w:rFonts w:hint="eastAsia" w:ascii="宋体" w:hAnsi="宋体" w:eastAsia="宋体" w:cs="宋体"/>
          <w:color w:val="auto"/>
          <w:sz w:val="28"/>
          <w:szCs w:val="28"/>
        </w:rPr>
      </w:pPr>
    </w:p>
    <w:p w14:paraId="116809CD">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6B7D66B3">
      <w:pPr>
        <w:spacing w:before="120" w:after="120"/>
        <w:ind w:left="540"/>
        <w:rPr>
          <w:rFonts w:hint="eastAsia" w:ascii="宋体" w:hAnsi="宋体" w:eastAsia="宋体" w:cs="宋体"/>
          <w:b/>
          <w:color w:val="auto"/>
          <w:sz w:val="24"/>
        </w:rPr>
      </w:pPr>
    </w:p>
    <w:p w14:paraId="756FDA1D">
      <w:pPr>
        <w:spacing w:before="120" w:after="120"/>
        <w:ind w:left="540"/>
        <w:rPr>
          <w:rFonts w:hint="eastAsia" w:ascii="宋体" w:hAnsi="宋体" w:eastAsia="宋体" w:cs="宋体"/>
          <w:b/>
          <w:color w:val="auto"/>
          <w:sz w:val="24"/>
        </w:rPr>
      </w:pPr>
    </w:p>
    <w:p w14:paraId="74963DE3">
      <w:pPr>
        <w:spacing w:before="120" w:after="120"/>
        <w:ind w:left="540"/>
        <w:rPr>
          <w:rFonts w:hint="eastAsia" w:ascii="宋体" w:hAnsi="宋体" w:eastAsia="宋体" w:cs="宋体"/>
          <w:b/>
          <w:color w:val="auto"/>
          <w:sz w:val="24"/>
        </w:rPr>
      </w:pPr>
    </w:p>
    <w:p w14:paraId="2D7F408C">
      <w:pPr>
        <w:spacing w:before="120" w:after="120"/>
        <w:rPr>
          <w:rFonts w:hint="eastAsia" w:ascii="宋体" w:hAnsi="宋体" w:eastAsia="宋体" w:cs="宋体"/>
        </w:rPr>
      </w:pPr>
    </w:p>
    <w:p w14:paraId="56CAB034">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58AC382">
      <w:pPr>
        <w:spacing w:line="480" w:lineRule="auto"/>
        <w:rPr>
          <w:rFonts w:hint="eastAsia" w:ascii="宋体" w:hAnsi="宋体" w:eastAsia="宋体" w:cs="宋体"/>
          <w:color w:val="auto"/>
          <w:szCs w:val="21"/>
        </w:rPr>
      </w:pPr>
    </w:p>
    <w:p w14:paraId="47C95159">
      <w:pPr>
        <w:pStyle w:val="49"/>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685085C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5095F2D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p>
    <w:p w14:paraId="78DCC05F">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7E2C2328">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7801E020">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6AF393A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789D17A5">
      <w:pPr>
        <w:pStyle w:val="12"/>
        <w:rPr>
          <w:rFonts w:hint="eastAsia" w:ascii="宋体" w:hAnsi="宋体" w:eastAsia="宋体" w:cs="宋体"/>
          <w:color w:val="auto"/>
          <w:szCs w:val="21"/>
        </w:rPr>
      </w:pPr>
    </w:p>
    <w:p w14:paraId="3DCDD18D">
      <w:pPr>
        <w:pStyle w:val="12"/>
        <w:rPr>
          <w:rFonts w:hint="eastAsia" w:ascii="宋体" w:hAnsi="宋体" w:eastAsia="宋体" w:cs="宋体"/>
          <w:b/>
          <w:color w:val="auto"/>
          <w:sz w:val="32"/>
          <w:szCs w:val="32"/>
        </w:rPr>
      </w:pPr>
    </w:p>
    <w:p w14:paraId="10159A40">
      <w:pPr>
        <w:pStyle w:val="12"/>
        <w:rPr>
          <w:rFonts w:hint="eastAsia" w:ascii="宋体" w:hAnsi="宋体" w:eastAsia="宋体" w:cs="宋体"/>
          <w:b/>
          <w:color w:val="auto"/>
          <w:sz w:val="32"/>
          <w:szCs w:val="32"/>
        </w:rPr>
      </w:pPr>
    </w:p>
    <w:p w14:paraId="0FB0C57C">
      <w:pPr>
        <w:pStyle w:val="12"/>
        <w:rPr>
          <w:rFonts w:hint="eastAsia" w:ascii="宋体" w:hAnsi="宋体" w:eastAsia="宋体" w:cs="宋体"/>
          <w:b/>
          <w:color w:val="auto"/>
          <w:sz w:val="32"/>
          <w:szCs w:val="32"/>
        </w:rPr>
      </w:pPr>
    </w:p>
    <w:p w14:paraId="0D4A0F9E">
      <w:pPr>
        <w:pStyle w:val="12"/>
        <w:rPr>
          <w:rFonts w:hint="eastAsia" w:ascii="宋体" w:hAnsi="宋体" w:eastAsia="宋体" w:cs="宋体"/>
          <w:b/>
          <w:color w:val="auto"/>
          <w:sz w:val="32"/>
          <w:szCs w:val="32"/>
        </w:rPr>
      </w:pPr>
    </w:p>
    <w:p w14:paraId="1DDC98D5">
      <w:pPr>
        <w:pStyle w:val="50"/>
        <w:rPr>
          <w:rFonts w:hint="eastAsia" w:ascii="宋体" w:hAnsi="宋体" w:eastAsia="宋体" w:cs="宋体"/>
          <w:b/>
          <w:color w:val="auto"/>
          <w:sz w:val="32"/>
          <w:szCs w:val="32"/>
        </w:rPr>
      </w:pPr>
    </w:p>
    <w:p w14:paraId="2CD6D310">
      <w:pPr>
        <w:pStyle w:val="50"/>
        <w:rPr>
          <w:rFonts w:hint="eastAsia" w:ascii="宋体" w:hAnsi="宋体" w:eastAsia="宋体" w:cs="宋体"/>
          <w:b/>
          <w:color w:val="auto"/>
          <w:sz w:val="32"/>
          <w:szCs w:val="32"/>
        </w:rPr>
      </w:pPr>
    </w:p>
    <w:p w14:paraId="10279471">
      <w:pPr>
        <w:pStyle w:val="50"/>
        <w:rPr>
          <w:rFonts w:hint="eastAsia" w:ascii="宋体" w:hAnsi="宋体" w:eastAsia="宋体" w:cs="宋体"/>
          <w:b/>
          <w:color w:val="auto"/>
          <w:sz w:val="32"/>
          <w:szCs w:val="32"/>
        </w:rPr>
      </w:pPr>
    </w:p>
    <w:p w14:paraId="70C84540">
      <w:pPr>
        <w:pStyle w:val="50"/>
        <w:rPr>
          <w:rFonts w:hint="eastAsia" w:ascii="宋体" w:hAnsi="宋体" w:eastAsia="宋体" w:cs="宋体"/>
          <w:b/>
          <w:color w:val="auto"/>
          <w:sz w:val="32"/>
          <w:szCs w:val="32"/>
        </w:rPr>
      </w:pPr>
    </w:p>
    <w:p w14:paraId="260C0A04">
      <w:pPr>
        <w:pStyle w:val="50"/>
        <w:rPr>
          <w:rFonts w:hint="eastAsia" w:ascii="宋体" w:hAnsi="宋体" w:eastAsia="宋体" w:cs="宋体"/>
          <w:b/>
          <w:color w:val="auto"/>
          <w:sz w:val="32"/>
          <w:szCs w:val="32"/>
        </w:rPr>
      </w:pPr>
    </w:p>
    <w:p w14:paraId="1B582A9E">
      <w:pPr>
        <w:pStyle w:val="33"/>
        <w:rPr>
          <w:rFonts w:hint="eastAsia" w:ascii="宋体" w:hAnsi="宋体" w:eastAsia="宋体" w:cs="宋体"/>
        </w:rPr>
      </w:pPr>
    </w:p>
    <w:p w14:paraId="0E4F028A">
      <w:pPr>
        <w:jc w:val="both"/>
        <w:rPr>
          <w:rFonts w:hint="eastAsia" w:ascii="宋体" w:hAnsi="宋体" w:eastAsia="宋体" w:cs="宋体"/>
          <w:b/>
          <w:sz w:val="32"/>
          <w:szCs w:val="32"/>
          <w:lang w:val="en-US" w:eastAsia="zh-CN"/>
        </w:rPr>
      </w:pPr>
    </w:p>
    <w:p w14:paraId="13C64579">
      <w:pPr>
        <w:jc w:val="both"/>
        <w:rPr>
          <w:rFonts w:hint="eastAsia" w:ascii="宋体" w:hAnsi="宋体" w:eastAsia="宋体" w:cs="宋体"/>
          <w:b/>
          <w:sz w:val="32"/>
          <w:szCs w:val="32"/>
          <w:lang w:val="en-US" w:eastAsia="zh-CN"/>
        </w:rPr>
      </w:pPr>
    </w:p>
    <w:p w14:paraId="283CBC97">
      <w:pPr>
        <w:jc w:val="both"/>
        <w:rPr>
          <w:rFonts w:hint="eastAsia" w:ascii="宋体" w:hAnsi="宋体" w:eastAsia="宋体" w:cs="宋体"/>
          <w:b/>
          <w:sz w:val="32"/>
          <w:szCs w:val="32"/>
          <w:lang w:val="en-US" w:eastAsia="zh-CN"/>
        </w:rPr>
      </w:pPr>
    </w:p>
    <w:p w14:paraId="106FB3E8">
      <w:pPr>
        <w:jc w:val="both"/>
        <w:rPr>
          <w:rFonts w:hint="eastAsia" w:ascii="宋体" w:hAnsi="宋体" w:eastAsia="宋体" w:cs="宋体"/>
          <w:b/>
          <w:sz w:val="32"/>
          <w:szCs w:val="32"/>
          <w:lang w:val="en-US" w:eastAsia="zh-CN"/>
        </w:rPr>
      </w:pPr>
    </w:p>
    <w:p w14:paraId="1EE57A4C">
      <w:pPr>
        <w:jc w:val="both"/>
        <w:rPr>
          <w:rFonts w:hint="eastAsia" w:ascii="宋体" w:hAnsi="宋体" w:eastAsia="宋体" w:cs="宋体"/>
          <w:b/>
          <w:sz w:val="32"/>
          <w:szCs w:val="32"/>
          <w:lang w:val="en-US" w:eastAsia="zh-CN"/>
        </w:rPr>
      </w:pPr>
    </w:p>
    <w:p w14:paraId="0C426F56">
      <w:pPr>
        <w:jc w:val="center"/>
        <w:rPr>
          <w:rFonts w:hint="eastAsia" w:ascii="宋体" w:hAnsi="宋体" w:cs="宋体"/>
          <w:b/>
          <w:bCs/>
          <w:sz w:val="24"/>
          <w:u w:val="single"/>
          <w:lang w:val="en-US" w:eastAsia="zh-CN"/>
        </w:rPr>
      </w:pP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44EB33B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2025年第二十二批次燃煤采购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cs="宋体"/>
          <w:b/>
          <w:bCs/>
          <w:i w:val="0"/>
          <w:iCs w:val="0"/>
          <w:color w:val="000000"/>
          <w:kern w:val="0"/>
          <w:sz w:val="24"/>
          <w:szCs w:val="24"/>
          <w:highlight w:val="none"/>
          <w:u w:val="single"/>
          <w:lang w:val="en-US" w:eastAsia="zh-CN" w:bidi="ar"/>
        </w:rPr>
        <w:t>一标段热值基</w:t>
      </w:r>
      <w:r>
        <w:rPr>
          <w:rFonts w:hint="eastAsia" w:ascii="宋体" w:hAnsi="宋体" w:eastAsia="宋体" w:cs="宋体"/>
          <w:b/>
          <w:bCs/>
          <w:i w:val="0"/>
          <w:iCs w:val="0"/>
          <w:color w:val="000000"/>
          <w:kern w:val="0"/>
          <w:sz w:val="24"/>
          <w:szCs w:val="24"/>
          <w:highlight w:val="none"/>
          <w:u w:val="single"/>
          <w:lang w:val="en-US" w:eastAsia="zh-CN" w:bidi="ar"/>
        </w:rPr>
        <w:t>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 </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（报价的基准热值为Qnet,ar≥4200kcal/kg）、</w:t>
      </w:r>
      <w:r>
        <w:rPr>
          <w:rFonts w:hint="eastAsia" w:ascii="宋体" w:hAnsi="宋体" w:cs="宋体"/>
          <w:b/>
          <w:bCs/>
          <w:i w:val="0"/>
          <w:iCs w:val="0"/>
          <w:color w:val="000000"/>
          <w:kern w:val="0"/>
          <w:sz w:val="24"/>
          <w:szCs w:val="24"/>
          <w:highlight w:val="none"/>
          <w:u w:val="single"/>
          <w:lang w:val="en-US" w:eastAsia="zh-CN" w:bidi="ar"/>
        </w:rPr>
        <w:t>二标段热值基</w:t>
      </w:r>
      <w:r>
        <w:rPr>
          <w:rFonts w:hint="eastAsia" w:ascii="宋体" w:hAnsi="宋体" w:eastAsia="宋体" w:cs="宋体"/>
          <w:b/>
          <w:bCs/>
          <w:i w:val="0"/>
          <w:iCs w:val="0"/>
          <w:color w:val="000000"/>
          <w:kern w:val="0"/>
          <w:sz w:val="24"/>
          <w:szCs w:val="24"/>
          <w:highlight w:val="none"/>
          <w:u w:val="single"/>
          <w:lang w:val="en-US" w:eastAsia="zh-CN" w:bidi="ar"/>
        </w:rPr>
        <w:t>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 </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（报价的基准热值为Qnet,ar≥5000kcal/kg）（报价包含但不限于产品、运输、装卸、验收、税收（13%的增值税专用发票）、人工、利润等完成本次供货的所有费用）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60799846">
      <w:pPr>
        <w:adjustRightInd w:val="0"/>
        <w:snapToGrid w:val="0"/>
        <w:spacing w:line="360" w:lineRule="auto"/>
        <w:ind w:firstLine="3600" w:firstLineChars="1500"/>
        <w:rPr>
          <w:rFonts w:hint="eastAsia" w:ascii="宋体" w:hAnsi="宋体" w:eastAsia="宋体" w:cs="宋体"/>
          <w:sz w:val="24"/>
        </w:rPr>
      </w:pPr>
    </w:p>
    <w:p w14:paraId="1CFBA110">
      <w:pPr>
        <w:adjustRightInd w:val="0"/>
        <w:snapToGrid w:val="0"/>
        <w:spacing w:line="360" w:lineRule="auto"/>
        <w:ind w:firstLine="3600" w:firstLineChars="1500"/>
        <w:rPr>
          <w:rFonts w:hint="eastAsia" w:ascii="宋体" w:hAnsi="宋体" w:eastAsia="宋体" w:cs="宋体"/>
          <w:sz w:val="24"/>
        </w:rPr>
      </w:pPr>
    </w:p>
    <w:p w14:paraId="74C47420">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21A20C6B">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6C19EC4D">
      <w:pPr>
        <w:adjustRightInd w:val="0"/>
        <w:snapToGrid w:val="0"/>
        <w:spacing w:line="360" w:lineRule="auto"/>
        <w:ind w:firstLine="5760" w:firstLineChars="2400"/>
        <w:rPr>
          <w:rFonts w:hint="eastAsia" w:ascii="宋体" w:hAnsi="宋体" w:eastAsia="宋体" w:cs="宋体"/>
          <w:b/>
          <w:bCs/>
          <w:sz w:val="32"/>
          <w:szCs w:val="32"/>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4656898D">
      <w:pPr>
        <w:spacing w:line="400" w:lineRule="exact"/>
        <w:jc w:val="both"/>
        <w:rPr>
          <w:rFonts w:hint="eastAsia" w:ascii="宋体" w:hAnsi="宋体" w:eastAsia="宋体" w:cs="宋体"/>
          <w:b/>
          <w:bCs/>
          <w:sz w:val="32"/>
          <w:szCs w:val="32"/>
          <w:lang w:val="en-US" w:eastAsia="zh-CN"/>
        </w:rPr>
      </w:pP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0D843F99">
      <w:pPr>
        <w:keepNext w:val="0"/>
        <w:keepLines w:val="0"/>
        <w:pageBreakBefore w:val="0"/>
        <w:widowControl w:val="0"/>
        <w:kinsoku/>
        <w:wordWrap/>
        <w:overflowPunct/>
        <w:topLinePunct w:val="0"/>
        <w:autoSpaceDE/>
        <w:autoSpaceDN/>
        <w:bidi w:val="0"/>
        <w:adjustRightInd/>
        <w:snapToGrid/>
        <w:spacing w:line="360" w:lineRule="auto"/>
        <w:textAlignment w:val="auto"/>
        <w:rPr>
          <w:rStyle w:val="89"/>
          <w:rFonts w:hint="default" w:ascii="宋体" w:hAnsi="宋体" w:eastAsia="宋体" w:cs="宋体"/>
          <w:color w:val="auto"/>
          <w:szCs w:val="22"/>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贵州钟山野马寨热电有限责任公司2025年第二十二批次燃煤采购项目</w:t>
      </w:r>
    </w:p>
    <w:tbl>
      <w:tblPr>
        <w:tblStyle w:val="36"/>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1044"/>
        <w:gridCol w:w="993"/>
        <w:gridCol w:w="1122"/>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Merge w:val="restart"/>
            <w:noWrap w:val="0"/>
            <w:vAlign w:val="center"/>
          </w:tcPr>
          <w:p w14:paraId="328612E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标段</w:t>
            </w:r>
          </w:p>
        </w:tc>
        <w:tc>
          <w:tcPr>
            <w:tcW w:w="313"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596"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47"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28"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01"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3" w:type="pct"/>
            <w:vMerge w:val="continue"/>
            <w:noWrap w:val="0"/>
            <w:vAlign w:val="center"/>
          </w:tcPr>
          <w:p w14:paraId="6DA14B42">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13" w:type="pct"/>
            <w:vMerge w:val="continue"/>
            <w:noWrap w:val="0"/>
            <w:vAlign w:val="center"/>
          </w:tcPr>
          <w:p w14:paraId="1B6EB93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19"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494"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58"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37"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485"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47"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28"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01"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13" w:type="pct"/>
            <w:vMerge w:val="continue"/>
            <w:noWrap w:val="0"/>
            <w:vAlign w:val="center"/>
          </w:tcPr>
          <w:p w14:paraId="5BE1066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13" w:type="pct"/>
            <w:vMerge w:val="continue"/>
            <w:noWrap w:val="0"/>
            <w:vAlign w:val="center"/>
          </w:tcPr>
          <w:p w14:paraId="3A0013C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19"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94"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58"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37"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485"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47"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28"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01" w:type="pct"/>
            <w:noWrap w:val="0"/>
            <w:vAlign w:val="center"/>
          </w:tcPr>
          <w:p w14:paraId="34F450EB">
            <w:pPr>
              <w:widowControl/>
              <w:jc w:val="center"/>
              <w:rPr>
                <w:rFonts w:hint="default"/>
                <w:b w:val="0"/>
                <w:bCs w:val="0"/>
                <w:lang w:val="en-US" w:eastAsia="zh-CN"/>
              </w:rPr>
            </w:pPr>
          </w:p>
        </w:tc>
      </w:tr>
      <w:tr w14:paraId="3145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3" w:hRule="atLeast"/>
          <w:jc w:val="center"/>
        </w:trPr>
        <w:tc>
          <w:tcPr>
            <w:tcW w:w="313" w:type="pct"/>
            <w:shd w:val="clear" w:color="auto" w:fill="auto"/>
            <w:noWrap w:val="0"/>
            <w:vAlign w:val="center"/>
          </w:tcPr>
          <w:p w14:paraId="0B1B835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一标段</w:t>
            </w:r>
          </w:p>
        </w:tc>
        <w:tc>
          <w:tcPr>
            <w:tcW w:w="313" w:type="pct"/>
            <w:shd w:val="clear" w:color="auto" w:fill="auto"/>
            <w:noWrap w:val="0"/>
            <w:vAlign w:val="center"/>
          </w:tcPr>
          <w:p w14:paraId="1D53C9F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519" w:type="pct"/>
            <w:shd w:val="clear" w:color="auto" w:fill="auto"/>
            <w:noWrap w:val="0"/>
            <w:vAlign w:val="center"/>
          </w:tcPr>
          <w:p w14:paraId="4DAE525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42</w:t>
            </w:r>
            <w:r>
              <w:rPr>
                <w:rFonts w:hint="eastAsia" w:ascii="宋体" w:hAnsi="宋体" w:eastAsia="宋体" w:cs="宋体"/>
                <w:sz w:val="21"/>
                <w:szCs w:val="21"/>
                <w:vertAlign w:val="baseline"/>
                <w:lang w:val="en-US" w:eastAsia="zh-CN"/>
              </w:rPr>
              <w:t>00</w:t>
            </w:r>
          </w:p>
        </w:tc>
        <w:tc>
          <w:tcPr>
            <w:tcW w:w="494" w:type="pct"/>
            <w:shd w:val="clear" w:color="auto" w:fill="auto"/>
            <w:noWrap w:val="0"/>
            <w:vAlign w:val="center"/>
          </w:tcPr>
          <w:p w14:paraId="18005A0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58" w:type="pct"/>
            <w:shd w:val="clear" w:color="auto" w:fill="auto"/>
            <w:noWrap w:val="0"/>
            <w:vAlign w:val="center"/>
          </w:tcPr>
          <w:p w14:paraId="12D041A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537" w:type="pct"/>
            <w:shd w:val="clear" w:color="auto" w:fill="auto"/>
            <w:noWrap w:val="0"/>
            <w:vAlign w:val="center"/>
          </w:tcPr>
          <w:p w14:paraId="2044DE9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485" w:type="pct"/>
            <w:shd w:val="clear" w:color="auto" w:fill="auto"/>
            <w:noWrap w:val="0"/>
            <w:vAlign w:val="center"/>
          </w:tcPr>
          <w:p w14:paraId="1952D50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47" w:type="pct"/>
            <w:shd w:val="clear" w:color="auto" w:fill="auto"/>
            <w:noWrap w:val="0"/>
            <w:vAlign w:val="center"/>
          </w:tcPr>
          <w:p w14:paraId="2412E6B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≥20000</w:t>
            </w:r>
          </w:p>
        </w:tc>
        <w:tc>
          <w:tcPr>
            <w:tcW w:w="728" w:type="pct"/>
            <w:shd w:val="clear" w:color="auto" w:fill="auto"/>
            <w:noWrap w:val="0"/>
            <w:vAlign w:val="center"/>
          </w:tcPr>
          <w:p w14:paraId="5A3442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66CBA8F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r w14:paraId="61D3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313" w:type="pct"/>
            <w:shd w:val="clear" w:color="auto" w:fill="auto"/>
            <w:noWrap w:val="0"/>
            <w:vAlign w:val="center"/>
          </w:tcPr>
          <w:p w14:paraId="043421D5">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二标段</w:t>
            </w:r>
          </w:p>
        </w:tc>
        <w:tc>
          <w:tcPr>
            <w:tcW w:w="313" w:type="pct"/>
            <w:shd w:val="clear" w:color="auto" w:fill="auto"/>
            <w:noWrap w:val="0"/>
            <w:vAlign w:val="center"/>
          </w:tcPr>
          <w:p w14:paraId="4CF491A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519" w:type="pct"/>
            <w:shd w:val="clear" w:color="auto" w:fill="auto"/>
            <w:noWrap w:val="0"/>
            <w:vAlign w:val="center"/>
          </w:tcPr>
          <w:p w14:paraId="248867D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50</w:t>
            </w:r>
            <w:r>
              <w:rPr>
                <w:rFonts w:hint="eastAsia" w:ascii="宋体" w:hAnsi="宋体" w:eastAsia="宋体" w:cs="宋体"/>
                <w:sz w:val="21"/>
                <w:szCs w:val="21"/>
                <w:vertAlign w:val="baseline"/>
                <w:lang w:val="en-US" w:eastAsia="zh-CN"/>
              </w:rPr>
              <w:t>00</w:t>
            </w:r>
          </w:p>
        </w:tc>
        <w:tc>
          <w:tcPr>
            <w:tcW w:w="494" w:type="pct"/>
            <w:shd w:val="clear" w:color="auto" w:fill="auto"/>
            <w:noWrap w:val="0"/>
            <w:vAlign w:val="center"/>
          </w:tcPr>
          <w:p w14:paraId="00DC0EA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58" w:type="pct"/>
            <w:shd w:val="clear" w:color="auto" w:fill="auto"/>
            <w:noWrap w:val="0"/>
            <w:vAlign w:val="center"/>
          </w:tcPr>
          <w:p w14:paraId="4F3315D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537" w:type="pct"/>
            <w:shd w:val="clear" w:color="auto" w:fill="auto"/>
            <w:noWrap w:val="0"/>
            <w:vAlign w:val="center"/>
          </w:tcPr>
          <w:p w14:paraId="6066AA7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485" w:type="pct"/>
            <w:shd w:val="clear" w:color="auto" w:fill="auto"/>
            <w:noWrap w:val="0"/>
            <w:vAlign w:val="center"/>
          </w:tcPr>
          <w:p w14:paraId="7B5F5FC7">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47" w:type="pct"/>
            <w:shd w:val="clear" w:color="auto" w:fill="auto"/>
            <w:noWrap w:val="0"/>
            <w:vAlign w:val="center"/>
          </w:tcPr>
          <w:p w14:paraId="306B8885">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728" w:type="pct"/>
            <w:shd w:val="clear" w:color="auto" w:fill="auto"/>
            <w:noWrap w:val="0"/>
            <w:vAlign w:val="center"/>
          </w:tcPr>
          <w:p w14:paraId="5A0B9D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01" w:type="pct"/>
            <w:noWrap w:val="0"/>
            <w:vAlign w:val="center"/>
          </w:tcPr>
          <w:p w14:paraId="3A91FC4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bl>
    <w:p w14:paraId="6EBDCC31">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2A1105A1">
      <w:pPr>
        <w:adjustRightInd/>
        <w:snapToGrid/>
        <w:spacing w:after="0" w:line="360" w:lineRule="auto"/>
        <w:rPr>
          <w:rFonts w:hint="eastAsia" w:ascii="宋体" w:hAnsi="宋体" w:eastAsia="宋体" w:cs="宋体"/>
          <w:sz w:val="24"/>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一标段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4200（保留2位小数）；二标段</w:t>
      </w:r>
      <w:r>
        <w:rPr>
          <w:rFonts w:hint="eastAsia" w:ascii="宋体" w:hAnsi="宋体" w:eastAsia="宋体" w:cs="宋体"/>
          <w:sz w:val="21"/>
          <w:szCs w:val="21"/>
          <w:lang w:val="en-US" w:eastAsia="zh-CN"/>
        </w:rPr>
        <w:t>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5000（保留2位小数）。</w:t>
      </w:r>
    </w:p>
    <w:p w14:paraId="2C4AD974">
      <w:pPr>
        <w:adjustRightInd w:val="0"/>
        <w:snapToGrid w:val="0"/>
        <w:spacing w:line="360" w:lineRule="auto"/>
        <w:ind w:firstLine="3600" w:firstLineChars="1500"/>
        <w:rPr>
          <w:rFonts w:hint="eastAsia" w:ascii="宋体" w:hAnsi="宋体" w:eastAsia="宋体" w:cs="宋体"/>
          <w:sz w:val="24"/>
        </w:rPr>
      </w:pPr>
    </w:p>
    <w:p w14:paraId="15D13E78">
      <w:pPr>
        <w:adjustRightInd w:val="0"/>
        <w:snapToGrid w:val="0"/>
        <w:spacing w:line="360" w:lineRule="auto"/>
        <w:ind w:firstLine="3600" w:firstLineChars="1500"/>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18E53691">
      <w:pPr>
        <w:adjustRightInd w:val="0"/>
        <w:snapToGrid w:val="0"/>
        <w:spacing w:line="360" w:lineRule="auto"/>
        <w:ind w:firstLine="5760" w:firstLineChars="2400"/>
        <w:rPr>
          <w:rFonts w:hint="eastAsia" w:ascii="宋体" w:hAnsi="宋体" w:eastAsia="宋体" w:cs="宋体"/>
          <w:b/>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65A0D9BF">
      <w:pPr>
        <w:spacing w:after="100" w:afterAutospacing="1" w:line="360" w:lineRule="auto"/>
        <w:jc w:val="center"/>
        <w:rPr>
          <w:rFonts w:hint="eastAsia" w:ascii="宋体" w:hAnsi="宋体" w:eastAsia="宋体" w:cs="宋体"/>
          <w:b/>
          <w:sz w:val="32"/>
          <w:szCs w:val="32"/>
          <w:lang w:val="en-US" w:eastAsia="zh-CN"/>
        </w:rPr>
      </w:pPr>
    </w:p>
    <w:p w14:paraId="224C5FD4">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52"/>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380D5404">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7C4304F1">
      <w:pPr>
        <w:adjustRightInd w:val="0"/>
        <w:snapToGrid w:val="0"/>
        <w:spacing w:line="360" w:lineRule="auto"/>
        <w:ind w:firstLine="3960" w:firstLineChars="1650"/>
        <w:rPr>
          <w:rFonts w:hint="eastAsia" w:ascii="宋体" w:hAnsi="宋体" w:eastAsia="宋体" w:cs="宋体"/>
          <w:sz w:val="24"/>
          <w:lang w:eastAsia="zh-CN"/>
        </w:rPr>
      </w:pP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1CE4D1CA">
      <w:pPr>
        <w:adjustRightInd w:val="0"/>
        <w:snapToGrid w:val="0"/>
        <w:spacing w:line="360" w:lineRule="auto"/>
        <w:ind w:firstLine="6360" w:firstLineChars="2650"/>
        <w:rPr>
          <w:rFonts w:hint="eastAsia" w:ascii="宋体" w:hAnsi="宋体" w:eastAsia="宋体" w:cs="宋体"/>
          <w:sz w:val="24"/>
        </w:rPr>
      </w:pPr>
    </w:p>
    <w:p w14:paraId="55B62983">
      <w:pPr>
        <w:adjustRightInd w:val="0"/>
        <w:snapToGrid w:val="0"/>
        <w:spacing w:line="360" w:lineRule="auto"/>
        <w:ind w:firstLine="6360" w:firstLineChars="265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0DE1AF45">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12"/>
        <w:rPr>
          <w:rFonts w:hint="eastAsia" w:ascii="宋体" w:hAnsi="宋体" w:eastAsia="宋体" w:cs="宋体"/>
        </w:rPr>
      </w:pPr>
    </w:p>
    <w:p w14:paraId="2F2D2C5F">
      <w:pPr>
        <w:pStyle w:val="12"/>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2025年第二十二批次燃煤采购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960" w:firstLineChars="400"/>
        <w:jc w:val="left"/>
        <w:rPr>
          <w:rFonts w:hint="eastAsia" w:ascii="宋体" w:hAnsi="宋体" w:eastAsia="宋体" w:cs="宋体"/>
          <w:sz w:val="24"/>
        </w:rPr>
      </w:pPr>
      <w:r>
        <w:rPr>
          <w:rFonts w:hint="eastAsia" w:ascii="宋体" w:hAnsi="宋体" w:cs="宋体"/>
          <w:sz w:val="24"/>
          <w:lang w:val="en-US" w:eastAsia="zh-CN"/>
        </w:rPr>
        <w:t>日期：</w:t>
      </w:r>
      <w:r>
        <w:rPr>
          <w:rFonts w:hint="eastAsia" w:ascii="宋体" w:hAnsi="宋体" w:eastAsia="宋体" w:cs="宋体"/>
          <w:sz w:val="24"/>
        </w:rPr>
        <w:t xml:space="preserve">年   月   日                               </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35"/>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BA7DF91">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2BC4EC44">
      <w:pPr>
        <w:pStyle w:val="33"/>
        <w:rPr>
          <w:rFonts w:hint="eastAsia" w:ascii="宋体" w:hAnsi="宋体" w:eastAsia="宋体" w:cs="宋体"/>
        </w:rPr>
      </w:pPr>
    </w:p>
    <w:p w14:paraId="7DAA6D35">
      <w:pPr>
        <w:pStyle w:val="33"/>
        <w:rPr>
          <w:rFonts w:hint="eastAsia" w:ascii="宋体" w:hAnsi="宋体" w:eastAsia="宋体" w:cs="宋体"/>
        </w:rPr>
      </w:pPr>
    </w:p>
    <w:p w14:paraId="5FBFA82A">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2025年第二十二批次燃煤采购项目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6295EAEE">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5D5717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137560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7E990A6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15B6A2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60C2973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34845170">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日期：  </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50914FCC">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2025年第二十二批次燃煤采购项目</w:t>
      </w:r>
      <w:r>
        <w:rPr>
          <w:rFonts w:hint="eastAsia" w:ascii="宋体" w:hAnsi="宋体" w:eastAsia="宋体" w:cs="宋体"/>
          <w:sz w:val="28"/>
          <w:szCs w:val="28"/>
          <w:highlight w:val="none"/>
        </w:rPr>
        <w:t>采购，（项目编号：</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ZSRD2025000122</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6E249BEB">
      <w:pPr>
        <w:spacing w:line="480" w:lineRule="auto"/>
        <w:rPr>
          <w:rFonts w:hint="eastAsia" w:ascii="宋体" w:hAnsi="宋体" w:eastAsia="宋体" w:cs="宋体"/>
          <w:sz w:val="28"/>
          <w:szCs w:val="28"/>
          <w:highlight w:val="none"/>
        </w:rPr>
      </w:pPr>
    </w:p>
    <w:p w14:paraId="630C6ED3">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供应商名称（单位公章）：</w:t>
      </w:r>
    </w:p>
    <w:p w14:paraId="52F1D109">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rPr>
      </w:pP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3ABE5325">
      <w:pPr>
        <w:adjustRightInd w:val="0"/>
        <w:snapToGrid w:val="0"/>
        <w:spacing w:line="480" w:lineRule="auto"/>
        <w:ind w:firstLine="6720" w:firstLineChars="2400"/>
        <w:rPr>
          <w:rFonts w:hint="eastAsia" w:ascii="宋体" w:hAnsi="宋体" w:eastAsia="宋体" w:cs="宋体"/>
          <w:sz w:val="28"/>
          <w:szCs w:val="28"/>
          <w:highlight w:val="none"/>
        </w:rPr>
      </w:pPr>
    </w:p>
    <w:p w14:paraId="50F24357">
      <w:pPr>
        <w:adjustRightInd w:val="0"/>
        <w:snapToGrid w:val="0"/>
        <w:spacing w:line="480" w:lineRule="auto"/>
        <w:ind w:firstLine="6720" w:firstLineChars="24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14:paraId="4ED49E47">
      <w:pPr>
        <w:rPr>
          <w:rFonts w:hint="eastAsia" w:ascii="宋体" w:hAnsi="宋体" w:eastAsia="宋体" w:cs="宋体"/>
          <w:b/>
          <w:bCs/>
          <w:sz w:val="32"/>
          <w:szCs w:val="32"/>
        </w:rPr>
      </w:pPr>
    </w:p>
    <w:p w14:paraId="65433908">
      <w:pPr>
        <w:pStyle w:val="9"/>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4DC84244">
      <w:pPr>
        <w:spacing w:line="400" w:lineRule="exact"/>
        <w:jc w:val="center"/>
        <w:rPr>
          <w:rFonts w:hint="eastAsia" w:ascii="宋体" w:hAnsi="宋体" w:eastAsia="宋体" w:cs="宋体"/>
          <w:b/>
          <w:bCs/>
          <w:sz w:val="32"/>
          <w:szCs w:val="32"/>
        </w:rPr>
      </w:pPr>
    </w:p>
    <w:p w14:paraId="39C35753">
      <w:pPr>
        <w:spacing w:line="400" w:lineRule="exact"/>
        <w:jc w:val="center"/>
        <w:rPr>
          <w:rFonts w:hint="eastAsia" w:ascii="宋体" w:hAnsi="宋体" w:eastAsia="宋体" w:cs="宋体"/>
          <w:b/>
          <w:bCs/>
          <w:sz w:val="32"/>
          <w:szCs w:val="32"/>
        </w:rPr>
      </w:pPr>
    </w:p>
    <w:p w14:paraId="081D539B">
      <w:pPr>
        <w:spacing w:line="400" w:lineRule="exact"/>
        <w:jc w:val="center"/>
        <w:rPr>
          <w:rFonts w:hint="eastAsia" w:ascii="宋体" w:hAnsi="宋体" w:eastAsia="宋体" w:cs="宋体"/>
          <w:b/>
          <w:bCs/>
          <w:sz w:val="32"/>
          <w:szCs w:val="32"/>
        </w:rPr>
      </w:pPr>
    </w:p>
    <w:p w14:paraId="1FC8D60E">
      <w:pPr>
        <w:spacing w:line="400" w:lineRule="exact"/>
        <w:jc w:val="center"/>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6992D7A">
      <w:pPr>
        <w:ind w:firstLine="1960" w:firstLineChars="700"/>
        <w:rPr>
          <w:rFonts w:hint="eastAsia" w:ascii="宋体" w:hAnsi="宋体" w:cs="宋体"/>
          <w:b w:val="0"/>
          <w:bCs w:val="0"/>
          <w:sz w:val="28"/>
          <w:szCs w:val="28"/>
          <w:lang w:val="en-US" w:eastAsia="zh-CN"/>
        </w:rPr>
      </w:pPr>
    </w:p>
    <w:p w14:paraId="4EE36BAE">
      <w:pPr>
        <w:ind w:firstLine="1960" w:firstLineChars="700"/>
        <w:rPr>
          <w:rFonts w:hint="eastAsia" w:ascii="宋体" w:hAnsi="宋体" w:cs="宋体"/>
          <w:b w:val="0"/>
          <w:bCs w:val="0"/>
          <w:sz w:val="28"/>
          <w:szCs w:val="28"/>
          <w:lang w:val="en-US" w:eastAsia="zh-CN"/>
        </w:rPr>
      </w:pPr>
    </w:p>
    <w:p w14:paraId="7923F032">
      <w:pPr>
        <w:ind w:firstLine="1960" w:firstLineChars="700"/>
        <w:rPr>
          <w:rFonts w:hint="eastAsia" w:ascii="宋体" w:hAnsi="宋体" w:cs="宋体"/>
          <w:b w:val="0"/>
          <w:bCs w:val="0"/>
          <w:sz w:val="28"/>
          <w:szCs w:val="28"/>
          <w:lang w:val="en-US" w:eastAsia="zh-CN"/>
        </w:rPr>
      </w:pPr>
    </w:p>
    <w:p w14:paraId="14E8482A">
      <w:pPr>
        <w:ind w:firstLine="1960" w:firstLineChars="700"/>
        <w:rPr>
          <w:rFonts w:hint="eastAsia" w:ascii="宋体" w:hAnsi="宋体" w:cs="宋体"/>
          <w:b w:val="0"/>
          <w:bCs w:val="0"/>
          <w:sz w:val="28"/>
          <w:szCs w:val="28"/>
          <w:lang w:val="en-US" w:eastAsia="zh-CN"/>
        </w:rPr>
      </w:pPr>
    </w:p>
    <w:p w14:paraId="0E045CAC">
      <w:pPr>
        <w:ind w:firstLine="1960" w:firstLineChars="700"/>
        <w:rPr>
          <w:rFonts w:hint="eastAsia" w:ascii="宋体" w:hAnsi="宋体" w:cs="宋体"/>
          <w:b w:val="0"/>
          <w:bCs w:val="0"/>
          <w:sz w:val="28"/>
          <w:szCs w:val="28"/>
          <w:lang w:val="en-US" w:eastAsia="zh-CN"/>
        </w:rPr>
      </w:pPr>
    </w:p>
    <w:p w14:paraId="0152C70C">
      <w:pPr>
        <w:ind w:firstLine="1960" w:firstLineChars="700"/>
        <w:rPr>
          <w:rFonts w:hint="eastAsia" w:ascii="宋体" w:hAnsi="宋体" w:cs="宋体"/>
          <w:b w:val="0"/>
          <w:bCs w:val="0"/>
          <w:sz w:val="28"/>
          <w:szCs w:val="28"/>
          <w:lang w:val="en-US" w:eastAsia="zh-CN"/>
        </w:rPr>
      </w:pPr>
    </w:p>
    <w:p w14:paraId="5EF3BA2F">
      <w:pPr>
        <w:ind w:firstLine="1960" w:firstLineChars="700"/>
        <w:rPr>
          <w:rFonts w:hint="eastAsia" w:ascii="宋体" w:hAnsi="宋体" w:cs="宋体"/>
          <w:b w:val="0"/>
          <w:bCs w:val="0"/>
          <w:sz w:val="28"/>
          <w:szCs w:val="28"/>
          <w:lang w:val="en-US" w:eastAsia="zh-CN"/>
        </w:rPr>
      </w:pPr>
    </w:p>
    <w:p w14:paraId="42EAA674">
      <w:pPr>
        <w:ind w:firstLine="1960" w:firstLineChars="700"/>
        <w:rPr>
          <w:rFonts w:hint="eastAsia" w:ascii="宋体" w:hAnsi="宋体" w:cs="宋体"/>
          <w:b w:val="0"/>
          <w:bCs w:val="0"/>
          <w:sz w:val="28"/>
          <w:szCs w:val="28"/>
          <w:lang w:val="en-US" w:eastAsia="zh-CN"/>
        </w:rPr>
      </w:pPr>
    </w:p>
    <w:p w14:paraId="2457B369">
      <w:pPr>
        <w:ind w:firstLine="1960" w:firstLineChars="700"/>
        <w:rPr>
          <w:rFonts w:hint="eastAsia" w:ascii="宋体" w:hAnsi="宋体" w:cs="宋体"/>
          <w:b w:val="0"/>
          <w:bCs w:val="0"/>
          <w:sz w:val="28"/>
          <w:szCs w:val="28"/>
          <w:lang w:val="en-US" w:eastAsia="zh-CN"/>
        </w:rPr>
      </w:pPr>
    </w:p>
    <w:p w14:paraId="04B77472">
      <w:pPr>
        <w:ind w:firstLine="1960" w:firstLineChars="700"/>
        <w:rPr>
          <w:rFonts w:hint="eastAsia" w:ascii="宋体" w:hAnsi="宋体" w:cs="宋体"/>
          <w:b w:val="0"/>
          <w:bCs w:val="0"/>
          <w:sz w:val="28"/>
          <w:szCs w:val="28"/>
          <w:lang w:val="en-US" w:eastAsia="zh-CN"/>
        </w:rPr>
      </w:pPr>
    </w:p>
    <w:p w14:paraId="2FE0823E">
      <w:pPr>
        <w:ind w:firstLine="1960" w:firstLineChars="700"/>
        <w:rPr>
          <w:rFonts w:hint="eastAsia" w:ascii="宋体" w:hAnsi="宋体" w:cs="宋体"/>
          <w:b w:val="0"/>
          <w:bCs w:val="0"/>
          <w:sz w:val="28"/>
          <w:szCs w:val="28"/>
          <w:lang w:val="en-US" w:eastAsia="zh-CN"/>
        </w:rPr>
      </w:pPr>
    </w:p>
    <w:p w14:paraId="6D487B72">
      <w:pPr>
        <w:ind w:firstLine="1960" w:firstLineChars="700"/>
        <w:rPr>
          <w:rFonts w:hint="eastAsia" w:ascii="宋体" w:hAnsi="宋体" w:cs="宋体"/>
          <w:b w:val="0"/>
          <w:bCs w:val="0"/>
          <w:sz w:val="28"/>
          <w:szCs w:val="28"/>
          <w:lang w:val="en-US" w:eastAsia="zh-CN"/>
        </w:rPr>
      </w:pPr>
    </w:p>
    <w:p w14:paraId="0E6E755B">
      <w:pPr>
        <w:ind w:firstLine="1960" w:firstLineChars="700"/>
        <w:rPr>
          <w:rFonts w:hint="eastAsia" w:ascii="宋体" w:hAnsi="宋体" w:cs="宋体"/>
          <w:b w:val="0"/>
          <w:bCs w:val="0"/>
          <w:sz w:val="28"/>
          <w:szCs w:val="28"/>
          <w:lang w:val="en-US" w:eastAsia="zh-CN"/>
        </w:rPr>
      </w:pPr>
    </w:p>
    <w:p w14:paraId="77A1A8B1">
      <w:pPr>
        <w:ind w:firstLine="1960" w:firstLineChars="700"/>
        <w:rPr>
          <w:rFonts w:hint="eastAsia" w:ascii="宋体" w:hAnsi="宋体" w:cs="宋体"/>
          <w:b w:val="0"/>
          <w:bCs w:val="0"/>
          <w:sz w:val="28"/>
          <w:szCs w:val="28"/>
          <w:lang w:val="en-US" w:eastAsia="zh-CN"/>
        </w:rPr>
      </w:pPr>
    </w:p>
    <w:p w14:paraId="65E39933">
      <w:pPr>
        <w:ind w:firstLine="1960" w:firstLineChars="700"/>
        <w:rPr>
          <w:rFonts w:hint="eastAsia" w:ascii="宋体" w:hAnsi="宋体" w:cs="宋体"/>
          <w:b w:val="0"/>
          <w:bCs w:val="0"/>
          <w:sz w:val="28"/>
          <w:szCs w:val="28"/>
          <w:lang w:val="en-US" w:eastAsia="zh-CN"/>
        </w:rPr>
      </w:pPr>
    </w:p>
    <w:p w14:paraId="692CF1EB">
      <w:pPr>
        <w:ind w:firstLine="1960" w:firstLineChars="700"/>
        <w:rPr>
          <w:rFonts w:hint="eastAsia" w:ascii="宋体" w:hAnsi="宋体" w:cs="宋体"/>
          <w:b w:val="0"/>
          <w:bCs w:val="0"/>
          <w:sz w:val="28"/>
          <w:szCs w:val="28"/>
          <w:lang w:val="en-US" w:eastAsia="zh-CN"/>
        </w:rPr>
      </w:pPr>
    </w:p>
    <w:p w14:paraId="50F24F1D">
      <w:pPr>
        <w:ind w:firstLine="1960" w:firstLineChars="700"/>
        <w:rPr>
          <w:rFonts w:hint="eastAsia" w:ascii="宋体" w:hAnsi="宋体" w:cs="宋体"/>
          <w:b w:val="0"/>
          <w:bCs w:val="0"/>
          <w:sz w:val="28"/>
          <w:szCs w:val="28"/>
          <w:lang w:val="en-US" w:eastAsia="zh-CN"/>
        </w:rPr>
      </w:pPr>
    </w:p>
    <w:p w14:paraId="2B079CC6">
      <w:pPr>
        <w:ind w:firstLine="1960" w:firstLineChars="700"/>
        <w:rPr>
          <w:rFonts w:hint="eastAsia" w:ascii="宋体" w:hAnsi="宋体" w:cs="宋体"/>
          <w:b w:val="0"/>
          <w:bCs w:val="0"/>
          <w:sz w:val="28"/>
          <w:szCs w:val="28"/>
          <w:lang w:val="en-US" w:eastAsia="zh-CN"/>
        </w:rPr>
      </w:pPr>
    </w:p>
    <w:p w14:paraId="39746007">
      <w:pPr>
        <w:ind w:firstLine="1960" w:firstLineChars="700"/>
        <w:rPr>
          <w:rFonts w:hint="eastAsia" w:ascii="宋体" w:hAnsi="宋体" w:cs="宋体"/>
          <w:b w:val="0"/>
          <w:bCs w:val="0"/>
          <w:sz w:val="28"/>
          <w:szCs w:val="28"/>
          <w:lang w:val="en-US" w:eastAsia="zh-CN"/>
        </w:rPr>
      </w:pPr>
    </w:p>
    <w:p w14:paraId="724F419E">
      <w:pPr>
        <w:ind w:firstLine="1960" w:firstLineChars="700"/>
        <w:rPr>
          <w:rFonts w:hint="eastAsia" w:ascii="宋体" w:hAnsi="宋体" w:cs="宋体"/>
          <w:b w:val="0"/>
          <w:bCs w:val="0"/>
          <w:sz w:val="28"/>
          <w:szCs w:val="28"/>
          <w:lang w:val="en-US" w:eastAsia="zh-CN"/>
        </w:rPr>
      </w:pPr>
    </w:p>
    <w:p w14:paraId="74437212">
      <w:pPr>
        <w:ind w:firstLine="1960" w:firstLineChars="700"/>
        <w:rPr>
          <w:rFonts w:hint="eastAsia" w:ascii="宋体" w:hAnsi="宋体" w:cs="宋体"/>
          <w:b w:val="0"/>
          <w:bCs w:val="0"/>
          <w:sz w:val="28"/>
          <w:szCs w:val="28"/>
          <w:lang w:val="en-US" w:eastAsia="zh-CN"/>
        </w:rPr>
      </w:pPr>
    </w:p>
    <w:p w14:paraId="5338035A">
      <w:pPr>
        <w:ind w:firstLine="1960" w:firstLineChars="700"/>
        <w:rPr>
          <w:rFonts w:hint="eastAsia" w:ascii="宋体" w:hAnsi="宋体" w:cs="宋体"/>
          <w:b w:val="0"/>
          <w:bCs w:val="0"/>
          <w:sz w:val="28"/>
          <w:szCs w:val="28"/>
          <w:lang w:val="en-US" w:eastAsia="zh-CN"/>
        </w:rPr>
      </w:pPr>
    </w:p>
    <w:p w14:paraId="2F30B997">
      <w:pPr>
        <w:ind w:firstLine="1960" w:firstLineChars="700"/>
        <w:rPr>
          <w:rFonts w:hint="eastAsia" w:ascii="宋体" w:hAnsi="宋体" w:cs="宋体"/>
          <w:b w:val="0"/>
          <w:bCs w:val="0"/>
          <w:sz w:val="28"/>
          <w:szCs w:val="28"/>
          <w:lang w:val="en-US" w:eastAsia="zh-CN"/>
        </w:rPr>
      </w:pPr>
    </w:p>
    <w:p w14:paraId="1076B53F">
      <w:pPr>
        <w:ind w:firstLine="1960" w:firstLineChars="700"/>
        <w:rPr>
          <w:rFonts w:hint="eastAsia" w:ascii="宋体" w:hAnsi="宋体" w:cs="宋体"/>
          <w:b w:val="0"/>
          <w:bCs w:val="0"/>
          <w:sz w:val="28"/>
          <w:szCs w:val="28"/>
          <w:lang w:val="en-US" w:eastAsia="zh-CN"/>
        </w:rPr>
      </w:pPr>
    </w:p>
    <w:p w14:paraId="30C2B05A">
      <w:pPr>
        <w:ind w:firstLine="1960" w:firstLineChars="700"/>
        <w:rPr>
          <w:rFonts w:hint="eastAsia" w:ascii="宋体" w:hAnsi="宋体" w:cs="宋体"/>
          <w:b w:val="0"/>
          <w:bCs w:val="0"/>
          <w:sz w:val="28"/>
          <w:szCs w:val="28"/>
          <w:lang w:val="en-US" w:eastAsia="zh-CN"/>
        </w:rPr>
      </w:pPr>
    </w:p>
    <w:p w14:paraId="33EDEC64">
      <w:pPr>
        <w:ind w:firstLine="1960" w:firstLineChars="700"/>
        <w:rPr>
          <w:rFonts w:hint="eastAsia" w:ascii="宋体" w:hAnsi="宋体" w:cs="宋体"/>
          <w:b w:val="0"/>
          <w:bCs w:val="0"/>
          <w:sz w:val="28"/>
          <w:szCs w:val="28"/>
          <w:lang w:val="en-US" w:eastAsia="zh-CN"/>
        </w:rPr>
      </w:pPr>
    </w:p>
    <w:p w14:paraId="57CE5F03">
      <w:pPr>
        <w:ind w:firstLine="1960" w:firstLineChars="700"/>
        <w:rPr>
          <w:rFonts w:hint="eastAsia" w:ascii="宋体" w:hAnsi="宋体" w:cs="宋体"/>
          <w:b w:val="0"/>
          <w:bCs w:val="0"/>
          <w:sz w:val="28"/>
          <w:szCs w:val="28"/>
          <w:lang w:val="en-US" w:eastAsia="zh-CN"/>
        </w:rPr>
      </w:pPr>
    </w:p>
    <w:p w14:paraId="4F32163C">
      <w:pPr>
        <w:ind w:firstLine="1960" w:firstLineChars="700"/>
        <w:rPr>
          <w:rFonts w:hint="eastAsia" w:ascii="宋体" w:hAnsi="宋体" w:cs="宋体"/>
          <w:b w:val="0"/>
          <w:bCs w:val="0"/>
          <w:sz w:val="28"/>
          <w:szCs w:val="28"/>
          <w:lang w:val="en-US" w:eastAsia="zh-CN"/>
        </w:rPr>
      </w:pPr>
    </w:p>
    <w:p w14:paraId="0BDA6DF2">
      <w:pPr>
        <w:ind w:firstLine="1960" w:firstLineChars="700"/>
        <w:rPr>
          <w:rFonts w:hint="eastAsia" w:ascii="宋体" w:hAnsi="宋体" w:cs="宋体"/>
          <w:b w:val="0"/>
          <w:bCs w:val="0"/>
          <w:sz w:val="28"/>
          <w:szCs w:val="28"/>
          <w:lang w:val="en-US" w:eastAsia="zh-CN"/>
        </w:rPr>
      </w:pPr>
    </w:p>
    <w:p w14:paraId="76D85409">
      <w:pPr>
        <w:ind w:firstLine="1960" w:firstLineChars="700"/>
        <w:rPr>
          <w:rFonts w:hint="eastAsia" w:ascii="宋体" w:hAnsi="宋体" w:cs="宋体"/>
          <w:b w:val="0"/>
          <w:bCs w:val="0"/>
          <w:sz w:val="28"/>
          <w:szCs w:val="28"/>
          <w:lang w:val="en-US" w:eastAsia="zh-CN"/>
        </w:rPr>
      </w:pPr>
    </w:p>
    <w:p w14:paraId="2F8CD39A">
      <w:pPr>
        <w:ind w:firstLine="1960" w:firstLineChars="700"/>
        <w:rPr>
          <w:rFonts w:hint="eastAsia" w:ascii="宋体" w:hAnsi="宋体" w:cs="宋体"/>
          <w:b w:val="0"/>
          <w:bCs w:val="0"/>
          <w:sz w:val="28"/>
          <w:szCs w:val="28"/>
          <w:lang w:val="en-US" w:eastAsia="zh-CN"/>
        </w:rPr>
      </w:pPr>
    </w:p>
    <w:p w14:paraId="063C28A4">
      <w:pPr>
        <w:ind w:firstLine="1960" w:firstLineChars="700"/>
        <w:rPr>
          <w:rFonts w:hint="eastAsia" w:ascii="宋体" w:hAnsi="宋体" w:cs="宋体"/>
          <w:b w:val="0"/>
          <w:bCs w:val="0"/>
          <w:sz w:val="28"/>
          <w:szCs w:val="28"/>
          <w:lang w:val="en-US" w:eastAsia="zh-CN"/>
        </w:rPr>
      </w:pPr>
    </w:p>
    <w:p w14:paraId="47837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6F87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贵州钟山野马寨热电有限责任公司2025年第二十二批次燃煤采购项目</w:t>
      </w:r>
    </w:p>
    <w:p w14:paraId="2012B73F">
      <w:pPr>
        <w:spacing w:line="360" w:lineRule="auto"/>
        <w:rPr>
          <w:rFonts w:hint="default"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ZSRD2025000122</w:t>
      </w:r>
    </w:p>
    <w:p w14:paraId="580EF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cs="宋体"/>
          <w:sz w:val="24"/>
          <w:lang w:val="en-US" w:eastAsia="zh-CN"/>
        </w:rPr>
      </w:pPr>
      <w:r>
        <w:rPr>
          <w:rFonts w:hint="eastAsia" w:ascii="宋体" w:hAnsi="宋体" w:cs="宋体"/>
          <w:sz w:val="24"/>
          <w:lang w:val="en-US" w:eastAsia="zh-CN"/>
        </w:rPr>
        <w:t>一标段：</w:t>
      </w:r>
    </w:p>
    <w:tbl>
      <w:tblPr>
        <w:tblStyle w:val="3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7332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6BE23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5C8F74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38A9A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0E1DE9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35374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3D84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43FB72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393BDB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11CADA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6514A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6DCD99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0D46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148B7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14E7E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4200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861F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5F6F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B54A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462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502058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085F7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37C8DF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540F13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4D3A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DF6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186DD6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50534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089DA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2D6F85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8A07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595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69FBE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45D413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195B8F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6EE87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80785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507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58B6E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61F8AE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5BCFA4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0033C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1D1C2B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73E1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cs="宋体"/>
          <w:sz w:val="24"/>
          <w:lang w:val="en-US" w:eastAsia="zh-CN"/>
        </w:rPr>
      </w:pPr>
      <w:r>
        <w:rPr>
          <w:rFonts w:hint="eastAsia" w:ascii="宋体" w:hAnsi="宋体" w:cs="宋体"/>
          <w:sz w:val="24"/>
          <w:lang w:val="en-US" w:eastAsia="zh-CN"/>
        </w:rPr>
        <w:t>二标段：</w:t>
      </w:r>
    </w:p>
    <w:tbl>
      <w:tblPr>
        <w:tblStyle w:val="3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23FB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727C4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7CAC1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0CF62B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26FC5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44AB35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2223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7D5B03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6A70E4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31C776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66BDF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6D90CC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530C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1FD3AD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5262E6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5000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9269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378AF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E46B6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7D6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6C516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0DE79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5894C4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39348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8C184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D68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6DE80A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198990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6422B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508E7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2712B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5207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785D0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14144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6C4EC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DFC8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7BCE37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322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756F4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13FDE2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0E747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69C16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9C774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334B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057BEBE1">
      <w:pPr>
        <w:spacing w:line="300" w:lineRule="auto"/>
        <w:rPr>
          <w:rFonts w:hint="eastAsia" w:ascii="宋体" w:hAnsi="宋体" w:eastAsia="宋体" w:cs="宋体"/>
          <w:b/>
          <w:sz w:val="24"/>
        </w:rPr>
      </w:pPr>
      <w:r>
        <w:rPr>
          <w:rFonts w:hint="eastAsia" w:ascii="宋体" w:hAnsi="宋体" w:eastAsia="宋体" w:cs="宋体"/>
          <w:b/>
          <w:sz w:val="24"/>
        </w:rPr>
        <w:t>注意事项：</w:t>
      </w:r>
    </w:p>
    <w:p w14:paraId="352663C4">
      <w:pPr>
        <w:spacing w:line="300" w:lineRule="auto"/>
        <w:rPr>
          <w:rFonts w:hint="eastAsia" w:ascii="宋体" w:hAnsi="宋体" w:eastAsia="宋体" w:cs="宋体"/>
          <w:b/>
          <w:sz w:val="24"/>
          <w:lang w:val="en-US" w:eastAsia="zh-CN"/>
        </w:rPr>
      </w:pPr>
      <w:r>
        <w:rPr>
          <w:rFonts w:hint="eastAsia" w:ascii="宋体" w:hAnsi="宋体" w:eastAsia="宋体" w:cs="宋体"/>
          <w:sz w:val="24"/>
        </w:rPr>
        <w:t>1、 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7D5C03CA">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1461EAC4">
      <w:pPr>
        <w:spacing w:line="300" w:lineRule="auto"/>
        <w:rPr>
          <w:rFonts w:hint="eastAsia" w:ascii="宋体" w:hAnsi="宋体" w:eastAsia="宋体" w:cs="宋体"/>
          <w:sz w:val="24"/>
        </w:rPr>
      </w:pPr>
    </w:p>
    <w:p w14:paraId="0352E4BF">
      <w:pPr>
        <w:adjustRightInd w:val="0"/>
        <w:snapToGrid w:val="0"/>
        <w:spacing w:line="360" w:lineRule="auto"/>
        <w:ind w:firstLine="3600" w:firstLineChars="1500"/>
        <w:rPr>
          <w:rFonts w:hint="eastAsia" w:ascii="宋体" w:hAnsi="宋体" w:eastAsia="宋体" w:cs="宋体"/>
          <w:sz w:val="24"/>
        </w:rPr>
      </w:pPr>
    </w:p>
    <w:p w14:paraId="42B0CAD5">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084368DA">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260A84A7">
      <w:pPr>
        <w:adjustRightInd w:val="0"/>
        <w:snapToGrid w:val="0"/>
        <w:spacing w:line="360" w:lineRule="auto"/>
        <w:ind w:firstLine="5760" w:firstLineChars="24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r>
        <w:rPr>
          <w:rFonts w:hint="eastAsia" w:ascii="宋体" w:hAnsi="宋体" w:cs="宋体"/>
          <w:b/>
          <w:bCs/>
          <w:sz w:val="32"/>
          <w:szCs w:val="32"/>
          <w:lang w:val="en-US" w:eastAsia="zh-CN"/>
        </w:rPr>
        <w:t xml:space="preserve"> </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2025年第二十二批次燃煤采购项目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w:t>
      </w:r>
      <w:bookmarkStart w:id="32" w:name="_GoBack"/>
      <w:bookmarkEnd w:id="32"/>
      <w:r>
        <w:rPr>
          <w:rFonts w:hint="eastAsia" w:ascii="宋体" w:hAnsi="宋体" w:eastAsia="宋体" w:cs="宋体"/>
          <w:sz w:val="28"/>
          <w:szCs w:val="28"/>
        </w:rPr>
        <w:t>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6440" w:firstLineChars="2300"/>
        <w:rPr>
          <w:rFonts w:hint="eastAsia" w:ascii="宋体" w:hAnsi="宋体"/>
          <w:sz w:val="28"/>
          <w:szCs w:val="28"/>
        </w:rPr>
      </w:pPr>
      <w:r>
        <w:rPr>
          <w:rFonts w:hint="eastAsia" w:ascii="宋体" w:hAnsi="宋体"/>
          <w:sz w:val="28"/>
          <w:szCs w:val="28"/>
        </w:rPr>
        <w:t>日期：</w:t>
      </w:r>
    </w:p>
    <w:p w14:paraId="524BEBAC">
      <w:pPr>
        <w:tabs>
          <w:tab w:val="left" w:pos="3465"/>
        </w:tabs>
        <w:spacing w:line="360" w:lineRule="auto"/>
        <w:rPr>
          <w:rFonts w:hint="eastAsia" w:ascii="宋体" w:hAnsi="宋体"/>
          <w:sz w:val="28"/>
          <w:szCs w:val="28"/>
          <w:lang w:val="en-US" w:eastAsia="zh-CN"/>
        </w:rPr>
        <w:sectPr>
          <w:headerReference r:id="rId11" w:type="first"/>
          <w:footerReference r:id="rId14" w:type="first"/>
          <w:headerReference r:id="rId9" w:type="default"/>
          <w:footerReference r:id="rId12" w:type="default"/>
          <w:headerReference r:id="rId10" w:type="even"/>
          <w:footerReference r:id="rId13"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2D71C2CF">
      <w:pPr>
        <w:tabs>
          <w:tab w:val="left" w:pos="3465"/>
        </w:tabs>
        <w:spacing w:line="360" w:lineRule="auto"/>
        <w:rPr>
          <w:rFonts w:hint="eastAsia" w:ascii="宋体" w:hAnsi="宋体"/>
          <w:sz w:val="28"/>
          <w:szCs w:val="28"/>
          <w:lang w:val="en-US" w:eastAsia="zh-CN"/>
        </w:rPr>
      </w:pPr>
    </w:p>
    <w:p w14:paraId="62A1AC4E">
      <w:pPr>
        <w:tabs>
          <w:tab w:val="left" w:pos="3465"/>
        </w:tabs>
        <w:spacing w:line="360" w:lineRule="auto"/>
        <w:rPr>
          <w:rFonts w:hint="eastAsia" w:ascii="宋体" w:hAnsi="宋体"/>
          <w:sz w:val="28"/>
          <w:szCs w:val="28"/>
          <w:lang w:val="en-US" w:eastAsia="zh-CN"/>
        </w:rPr>
      </w:pPr>
    </w:p>
    <w:p w14:paraId="253425AC">
      <w:pPr>
        <w:tabs>
          <w:tab w:val="left" w:pos="3465"/>
        </w:tabs>
        <w:spacing w:line="360" w:lineRule="auto"/>
        <w:rPr>
          <w:rFonts w:hint="eastAsia" w:ascii="宋体" w:hAnsi="宋体"/>
          <w:sz w:val="28"/>
          <w:szCs w:val="28"/>
          <w:lang w:val="en-US" w:eastAsia="zh-CN"/>
        </w:rPr>
      </w:pPr>
    </w:p>
    <w:p w14:paraId="02F63A86">
      <w:pPr>
        <w:tabs>
          <w:tab w:val="left" w:pos="3465"/>
        </w:tabs>
        <w:spacing w:line="360" w:lineRule="auto"/>
        <w:rPr>
          <w:rFonts w:hint="eastAsia" w:ascii="宋体" w:hAnsi="宋体"/>
          <w:sz w:val="28"/>
          <w:szCs w:val="28"/>
          <w:lang w:val="en-US" w:eastAsia="zh-CN"/>
        </w:rPr>
      </w:pPr>
    </w:p>
    <w:p w14:paraId="498F11D5">
      <w:pPr>
        <w:tabs>
          <w:tab w:val="left" w:pos="3465"/>
        </w:tabs>
        <w:spacing w:line="360" w:lineRule="auto"/>
        <w:rPr>
          <w:rFonts w:hint="eastAsia" w:ascii="宋体" w:hAnsi="宋体"/>
          <w:sz w:val="28"/>
          <w:szCs w:val="28"/>
          <w:lang w:val="en-US" w:eastAsia="zh-CN"/>
        </w:rPr>
      </w:pPr>
    </w:p>
    <w:p w14:paraId="7D3B1935">
      <w:pPr>
        <w:tabs>
          <w:tab w:val="left" w:pos="3465"/>
        </w:tabs>
        <w:spacing w:line="360" w:lineRule="auto"/>
        <w:rPr>
          <w:rFonts w:hint="eastAsia" w:ascii="宋体" w:hAnsi="宋体"/>
          <w:sz w:val="28"/>
          <w:szCs w:val="28"/>
          <w:lang w:val="en-US" w:eastAsia="zh-CN"/>
        </w:rPr>
      </w:pPr>
    </w:p>
    <w:p w14:paraId="1DECDA99">
      <w:pPr>
        <w:tabs>
          <w:tab w:val="left" w:pos="3465"/>
        </w:tabs>
        <w:spacing w:line="360" w:lineRule="auto"/>
        <w:rPr>
          <w:rFonts w:hint="eastAsia" w:ascii="宋体" w:hAnsi="宋体"/>
          <w:sz w:val="28"/>
          <w:szCs w:val="28"/>
          <w:lang w:val="en-US" w:eastAsia="zh-CN"/>
        </w:rPr>
      </w:pPr>
    </w:p>
    <w:p w14:paraId="2D130D6B">
      <w:pPr>
        <w:tabs>
          <w:tab w:val="left" w:pos="3465"/>
        </w:tabs>
        <w:spacing w:line="360" w:lineRule="auto"/>
        <w:rPr>
          <w:rFonts w:hint="eastAsia" w:ascii="宋体" w:hAnsi="宋体"/>
          <w:sz w:val="28"/>
          <w:szCs w:val="28"/>
          <w:lang w:val="en-US" w:eastAsia="zh-CN"/>
        </w:rPr>
      </w:pPr>
    </w:p>
    <w:p w14:paraId="0E03AA4E">
      <w:pPr>
        <w:tabs>
          <w:tab w:val="left" w:pos="3465"/>
        </w:tabs>
        <w:spacing w:line="360" w:lineRule="auto"/>
        <w:rPr>
          <w:rFonts w:hint="eastAsia" w:ascii="宋体" w:hAnsi="宋体"/>
          <w:sz w:val="28"/>
          <w:szCs w:val="28"/>
          <w:lang w:val="en-US" w:eastAsia="zh-CN"/>
        </w:rPr>
      </w:pPr>
    </w:p>
    <w:p w14:paraId="60CB521D">
      <w:pPr>
        <w:tabs>
          <w:tab w:val="left" w:pos="3465"/>
        </w:tabs>
        <w:spacing w:line="360" w:lineRule="auto"/>
        <w:rPr>
          <w:rFonts w:hint="eastAsia" w:ascii="宋体" w:hAnsi="宋体"/>
          <w:sz w:val="28"/>
          <w:szCs w:val="28"/>
          <w:lang w:val="en-US" w:eastAsia="zh-CN"/>
        </w:rPr>
      </w:pPr>
    </w:p>
    <w:p w14:paraId="23E7E0A4">
      <w:pPr>
        <w:tabs>
          <w:tab w:val="left" w:pos="3465"/>
        </w:tabs>
        <w:spacing w:line="360" w:lineRule="auto"/>
        <w:rPr>
          <w:rFonts w:hint="eastAsia" w:ascii="宋体" w:hAnsi="宋体"/>
          <w:sz w:val="28"/>
          <w:szCs w:val="28"/>
          <w:lang w:val="en-US" w:eastAsia="zh-CN"/>
        </w:rPr>
      </w:pPr>
    </w:p>
    <w:p w14:paraId="70AFD77C">
      <w:pPr>
        <w:tabs>
          <w:tab w:val="left" w:pos="3465"/>
        </w:tabs>
        <w:spacing w:line="360" w:lineRule="auto"/>
        <w:rPr>
          <w:rFonts w:hint="eastAsia" w:ascii="宋体" w:hAnsi="宋体"/>
          <w:sz w:val="28"/>
          <w:szCs w:val="28"/>
          <w:lang w:val="en-US" w:eastAsia="zh-CN"/>
        </w:rPr>
      </w:pPr>
    </w:p>
    <w:p w14:paraId="7BF35A6C">
      <w:pPr>
        <w:tabs>
          <w:tab w:val="left" w:pos="3465"/>
        </w:tabs>
        <w:spacing w:line="360" w:lineRule="auto"/>
        <w:rPr>
          <w:rFonts w:hint="eastAsia" w:ascii="宋体" w:hAnsi="宋体"/>
          <w:sz w:val="28"/>
          <w:szCs w:val="28"/>
          <w:lang w:val="en-US" w:eastAsia="zh-CN"/>
        </w:rPr>
      </w:pPr>
    </w:p>
    <w:p w14:paraId="261F355B">
      <w:pPr>
        <w:tabs>
          <w:tab w:val="left" w:pos="3465"/>
        </w:tabs>
        <w:spacing w:line="360" w:lineRule="auto"/>
        <w:rPr>
          <w:rFonts w:hint="eastAsia" w:ascii="宋体" w:hAnsi="宋体"/>
          <w:sz w:val="28"/>
          <w:szCs w:val="28"/>
          <w:lang w:val="en-US" w:eastAsia="zh-CN"/>
        </w:rPr>
      </w:pPr>
    </w:p>
    <w:p w14:paraId="346E5596">
      <w:pPr>
        <w:tabs>
          <w:tab w:val="left" w:pos="3465"/>
        </w:tabs>
        <w:spacing w:line="360" w:lineRule="auto"/>
        <w:rPr>
          <w:rFonts w:hint="eastAsia" w:ascii="宋体" w:hAnsi="宋体"/>
          <w:sz w:val="28"/>
          <w:szCs w:val="28"/>
          <w:lang w:val="en-US" w:eastAsia="zh-CN"/>
        </w:rPr>
      </w:pPr>
    </w:p>
    <w:p w14:paraId="58F61F47">
      <w:pPr>
        <w:tabs>
          <w:tab w:val="left" w:pos="3465"/>
        </w:tabs>
        <w:spacing w:line="360" w:lineRule="auto"/>
        <w:rPr>
          <w:rFonts w:hint="eastAsia" w:ascii="宋体" w:hAnsi="宋体"/>
          <w:sz w:val="28"/>
          <w:szCs w:val="28"/>
          <w:lang w:val="en-US" w:eastAsia="zh-CN"/>
        </w:rPr>
      </w:pPr>
    </w:p>
    <w:p w14:paraId="52B61BD2">
      <w:pPr>
        <w:tabs>
          <w:tab w:val="left" w:pos="3465"/>
        </w:tabs>
        <w:spacing w:line="360" w:lineRule="auto"/>
        <w:rPr>
          <w:rFonts w:hint="eastAsia" w:ascii="宋体" w:hAnsi="宋体"/>
          <w:sz w:val="28"/>
          <w:szCs w:val="28"/>
          <w:lang w:val="en-US" w:eastAsia="zh-CN"/>
        </w:rPr>
      </w:pPr>
    </w:p>
    <w:p w14:paraId="6D343DF2">
      <w:pPr>
        <w:tabs>
          <w:tab w:val="left" w:pos="3465"/>
        </w:tabs>
        <w:spacing w:line="360" w:lineRule="auto"/>
        <w:rPr>
          <w:rFonts w:hint="eastAsia" w:ascii="宋体" w:hAnsi="宋体"/>
          <w:sz w:val="28"/>
          <w:szCs w:val="28"/>
          <w:lang w:val="en-US" w:eastAsia="zh-CN"/>
        </w:rPr>
      </w:pPr>
    </w:p>
    <w:p w14:paraId="056C2BBA">
      <w:pPr>
        <w:tabs>
          <w:tab w:val="left" w:pos="3465"/>
        </w:tabs>
        <w:spacing w:line="360" w:lineRule="auto"/>
        <w:rPr>
          <w:rFonts w:hint="eastAsia" w:ascii="宋体" w:hAnsi="宋体"/>
          <w:sz w:val="28"/>
          <w:szCs w:val="28"/>
          <w:lang w:val="en-US" w:eastAsia="zh-CN"/>
        </w:rPr>
      </w:pPr>
    </w:p>
    <w:p w14:paraId="43CDD9B3">
      <w:pPr>
        <w:tabs>
          <w:tab w:val="left" w:pos="3465"/>
        </w:tabs>
        <w:spacing w:line="360" w:lineRule="auto"/>
        <w:rPr>
          <w:rFonts w:hint="eastAsia" w:ascii="宋体" w:hAnsi="宋体"/>
          <w:sz w:val="28"/>
          <w:szCs w:val="28"/>
          <w:lang w:val="en-US" w:eastAsia="zh-CN"/>
        </w:rPr>
      </w:pPr>
    </w:p>
    <w:p w14:paraId="37AF18FE">
      <w:pPr>
        <w:tabs>
          <w:tab w:val="left" w:pos="3465"/>
        </w:tabs>
        <w:spacing w:line="360" w:lineRule="auto"/>
        <w:rPr>
          <w:rFonts w:hint="eastAsia" w:ascii="宋体" w:hAnsi="宋体"/>
          <w:sz w:val="28"/>
          <w:szCs w:val="28"/>
          <w:lang w:val="en-US" w:eastAsia="zh-CN"/>
        </w:rPr>
      </w:pPr>
    </w:p>
    <w:p w14:paraId="60282FB1">
      <w:pPr>
        <w:tabs>
          <w:tab w:val="left" w:pos="3465"/>
        </w:tabs>
        <w:spacing w:line="360" w:lineRule="auto"/>
        <w:rPr>
          <w:rFonts w:hint="eastAsia" w:ascii="宋体" w:hAnsi="宋体"/>
          <w:sz w:val="28"/>
          <w:szCs w:val="28"/>
          <w:lang w:val="en-US" w:eastAsia="zh-CN"/>
        </w:rPr>
      </w:pPr>
    </w:p>
    <w:p w14:paraId="6B42EBC0">
      <w:pPr>
        <w:tabs>
          <w:tab w:val="left" w:pos="3465"/>
        </w:tabs>
        <w:spacing w:line="360" w:lineRule="auto"/>
        <w:rPr>
          <w:rFonts w:hint="eastAsia" w:ascii="宋体" w:hAnsi="宋体"/>
          <w:sz w:val="28"/>
          <w:szCs w:val="28"/>
          <w:lang w:val="en-US" w:eastAsia="zh-CN"/>
        </w:rPr>
      </w:pPr>
    </w:p>
    <w:p w14:paraId="09A385F4">
      <w:pPr>
        <w:tabs>
          <w:tab w:val="left" w:pos="3465"/>
        </w:tabs>
        <w:spacing w:line="360" w:lineRule="auto"/>
        <w:rPr>
          <w:rFonts w:hint="eastAsia" w:ascii="宋体" w:hAnsi="宋体"/>
          <w:sz w:val="28"/>
          <w:szCs w:val="28"/>
          <w:lang w:val="en-US" w:eastAsia="zh-CN"/>
        </w:rPr>
      </w:pPr>
    </w:p>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2025年第二十二批次燃煤采购项目</w:t>
      </w:r>
      <w:r>
        <w:rPr>
          <w:rFonts w:hint="eastAsia" w:ascii="宋体" w:hAnsi="宋体" w:eastAsia="宋体" w:cs="宋体"/>
          <w:sz w:val="28"/>
          <w:szCs w:val="28"/>
        </w:rPr>
        <w:t>，我方承诺：</w:t>
      </w:r>
    </w:p>
    <w:p w14:paraId="274DDDBA">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6D230930">
      <w:pPr>
        <w:tabs>
          <w:tab w:val="left" w:pos="3465"/>
        </w:tabs>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①3</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□（一标段）；2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□（二标段）</w:t>
      </w:r>
    </w:p>
    <w:p w14:paraId="3F70AFE0">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08A10AE1">
      <w:pPr>
        <w:tabs>
          <w:tab w:val="left" w:pos="1833"/>
        </w:tabs>
        <w:bidi w:val="0"/>
        <w:ind w:firstLine="6440" w:firstLineChars="2300"/>
        <w:jc w:val="left"/>
        <w:rPr>
          <w:rFonts w:hint="default" w:ascii="宋体" w:hAnsi="宋体"/>
          <w:sz w:val="28"/>
          <w:szCs w:val="28"/>
          <w:lang w:val="en-US" w:eastAsia="zh-CN"/>
        </w:rPr>
      </w:pPr>
      <w:r>
        <w:rPr>
          <w:rFonts w:hint="eastAsia" w:ascii="宋体" w:hAnsi="宋体"/>
          <w:sz w:val="28"/>
          <w:szCs w:val="28"/>
          <w:lang w:val="en-US" w:eastAsia="zh-CN"/>
        </w:rPr>
        <w:t>日期：</w:t>
      </w:r>
    </w:p>
    <w:sectPr>
      <w:headerReference r:id="rId15" w:type="default"/>
      <w:footerReference r:id="rId16" w:type="default"/>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CA8620-8738-4637-8EC0-4952B8D811E5}"/>
  </w:font>
  <w:font w:name="黑体">
    <w:panose1 w:val="02010609060101010101"/>
    <w:charset w:val="86"/>
    <w:family w:val="auto"/>
    <w:pitch w:val="default"/>
    <w:sig w:usb0="800002BF" w:usb1="38CF7CFA" w:usb2="00000016" w:usb3="00000000" w:csb0="00040001" w:csb1="00000000"/>
    <w:embedRegular r:id="rId2" w:fontKey="{0DC492B3-D7D1-4AAD-8DE5-3F166D7D5D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82C2A00-BE77-47FB-BAC9-CCCAFDE41808}"/>
  </w:font>
  <w:font w:name="方正小标宋简体">
    <w:panose1 w:val="02010600010101010101"/>
    <w:charset w:val="86"/>
    <w:family w:val="script"/>
    <w:pitch w:val="default"/>
    <w:sig w:usb0="00000001" w:usb1="080E0000" w:usb2="00000000" w:usb3="00000000" w:csb0="00040000" w:csb1="00000000"/>
    <w:embedRegular r:id="rId4" w:fontKey="{8B7503D7-F45F-44EE-B9FA-0BF5BB792E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18B5">
    <w:pPr>
      <w:pStyle w:val="21"/>
      <w:tabs>
        <w:tab w:val="left" w:pos="353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3D4E">
    <w:pPr>
      <w:pStyle w:val="21"/>
      <w:tabs>
        <w:tab w:val="left" w:pos="353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ABA4">
    <w:pPr>
      <w:pStyle w:val="21"/>
      <w:tabs>
        <w:tab w:val="left" w:pos="35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91235" cy="301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91235" cy="301625"/>
                      </a:xfrm>
                      <a:prstGeom prst="rect">
                        <a:avLst/>
                      </a:prstGeom>
                      <a:noFill/>
                      <a:ln w="6350">
                        <a:noFill/>
                      </a:ln>
                      <a:effectLst/>
                    </wps:spPr>
                    <wps:txbx>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69页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75pt;width:78.05pt;mso-position-horizontal:center;mso-position-horizontal-relative:margin;z-index:251661312;mso-width-relative:page;mso-height-relative:page;" filled="f" stroked="f" coordsize="21600,21600" o:gfxdata="UEsDBAoAAAAAAIdO4kAAAAAAAAAAAAAAAAAEAAAAZHJzL1BLAwQUAAAACACHTuJA1UPByNMAAAAE&#10;AQAADwAAAGRycy9kb3ducmV2LnhtbE2PS0/DMBCE70j8B2uRuFE7iBYU4vTA48azgAQ3J16SCHsd&#10;2Zu0/HtcLnBZaTSjmW+r9c47MWNMQyANxUKBQGqDHajT8Ppye3IBIrEha1wg1PCNCdb14UFlShu2&#10;9IzzhjuRSyiVRkPPPJZSprZHb9IijEjZ+wzRG84ydtJGs83l3slTpVbSm4HyQm9GvOqx/dpMXoN7&#10;T/GuUfwxX3f3/PQop7eb4kHr46NCXYJg3PFfGPb4GR3qzNSEiWwSTkN+hH/v3luuChCNhrPzJci6&#10;kv/h6x9QSwMEFAAAAAgAh07iQIDcJzs/AgAAbwQAAA4AAABkcnMvZTJvRG9jLnhtbK1UwY7TMBC9&#10;I/EPlu80abut2KrpqmxVhFSxKy2Is+s4jSXbY2y3SfkA+ANOXLjzXf0Oxk7TRQuHPXBJx57xG783&#10;z53ftFqRg3BeginocJBTIgyHUppdQT9+WL96TYkPzJRMgREFPQpPbxYvX8wbOxMjqEGVwhEEMX7W&#10;2ILWIdhZlnleC838AKwwmKzAaRZw6XZZ6ViD6FplozyfZg240jrgwnvcXXVJekZ0zwGEqpJcrIDv&#10;tTChQ3VCsYCUfC2tp4t026oSPNxVlReBqIIi05C+2ATjbfxmizmb7RyzteTnK7DnXOEJJ82kwaYX&#10;qBULjOyd/AtKS+7AQxUGHHTWEUmKIIth/kSbh5pZkbig1N5eRPf/D5a/P9w7IsuCXlFimMaBn75/&#10;O/34dfr5lVxFeRrrZ1j1YLEutG+gRdP0+x43I+u2cjr+Ih+CeRT3eBFXtIFw3Ly+Ho7GE0o4psb5&#10;cDqaRJTs8bB1PrwVoEkMCupwdklSdtj40JX2JbGXgbVUKs1PGdIUdDqe5OnAJYPgysRakZxwhomE&#10;uovHKLTb9sxyC+URSTroXOItX0u8yob5cM8c2gJ54cMJd/ipFGBLOEeU1OC+/Gs/1uO0MEtJgzYr&#10;qP+8Z05Qot4ZnGP0ZB+4Ptj2gdnrW0DnDvFJWp5CPOCC6sPKgf6E72kZu2CKGY69Chr68DZ0Zsf3&#10;yMVymYr21sld3R1AF1oWNubB8timE3a5D1DJpHmUqNMFZxUX6MM0tfObiUb/c52qHv8n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UPByNMAAAAEAQAADwAAAAAAAAABACAAAAAiAAAAZHJzL2Rv&#10;d25yZXYueG1sUEsBAhQAFAAAAAgAh07iQIDcJzs/AgAAbwQAAA4AAAAAAAAAAQAgAAAAIgEAAGRy&#10;cy9lMm9Eb2MueG1sUEsFBgAAAAAGAAYAWQEAANMFAAAAAA==&#10;">
              <v:fill on="f" focussize="0,0"/>
              <v:stroke on="f" weight="0.5pt"/>
              <v:imagedata o:title=""/>
              <o:lock v:ext="edit" aspectratio="f"/>
              <v:textbox inset="0mm,0mm,0mm,0mm">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69页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8DA7">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95A5">
                          <w:pPr>
                            <w:pStyle w:val="21"/>
                            <w:rPr>
                              <w:rFonts w:hint="eastAsia" w:eastAsia="宋体"/>
                              <w:lang w:eastAsia="zh-CN"/>
                            </w:rPr>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eastAsia="zh-CN"/>
                            </w:rPr>
                            <w:t>共 69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7695A5">
                    <w:pPr>
                      <w:pStyle w:val="21"/>
                      <w:rPr>
                        <w:rFonts w:hint="eastAsia" w:eastAsia="宋体"/>
                        <w:lang w:eastAsia="zh-CN"/>
                      </w:rPr>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eastAsia="zh-CN"/>
                      </w:rPr>
                      <w:t>共 69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CA13">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6A489">
                          <w:pPr>
                            <w:pStyle w:val="21"/>
                            <w:rPr>
                              <w:rFonts w:hint="eastAsia" w:eastAsia="宋体"/>
                              <w:lang w:eastAsia="zh-CN"/>
                            </w:rPr>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eastAsia="zh-CN"/>
                            </w:rPr>
                            <w:t>共 69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16A489">
                    <w:pPr>
                      <w:pStyle w:val="21"/>
                      <w:rPr>
                        <w:rFonts w:hint="eastAsia" w:eastAsia="宋体"/>
                        <w:lang w:eastAsia="zh-CN"/>
                      </w:rPr>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eastAsia="zh-CN"/>
                      </w:rPr>
                      <w:t>共 69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E38E">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A84FE1">
                          <w:pPr>
                            <w:pStyle w:val="21"/>
                            <w:rPr>
                              <w:rFonts w:hint="eastAsia" w:eastAsia="宋体"/>
                              <w:lang w:eastAsia="zh-CN"/>
                            </w:rPr>
                          </w:pPr>
                          <w:r>
                            <w:t xml:space="preserve">第 </w:t>
                          </w:r>
                          <w:r>
                            <w:fldChar w:fldCharType="begin"/>
                          </w:r>
                          <w:r>
                            <w:instrText xml:space="preserve"> PAGE  \* MERGEFORMAT </w:instrText>
                          </w:r>
                          <w:r>
                            <w:fldChar w:fldCharType="separate"/>
                          </w:r>
                          <w:r>
                            <w:t>36</w:t>
                          </w:r>
                          <w:r>
                            <w:fldChar w:fldCharType="end"/>
                          </w:r>
                          <w:r>
                            <w:t xml:space="preserve"> 页 </w:t>
                          </w:r>
                          <w:r>
                            <w:rPr>
                              <w:rFonts w:hint="eastAsia"/>
                              <w:lang w:eastAsia="zh-CN"/>
                            </w:rPr>
                            <w:t>共 69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pmItQBAACz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kkiROWbvz888f515/z7+/s&#10;ddKn91hR2Z2nwji8hYFq5zhSMNEe2mDTnwgxyhPU6aKuGiKT6dBquVqVlJKUmx3CL+6P+4DxnQLL&#10;klHzQNeXVRXHDxjH0rkkdXNwq43JV2jcPwHCHCMq78B0OjEZJ05WHHbDRG8HzYnY0augrh2Eb5z1&#10;tBM1d/QEODPvHUlOk8fZCLOxmw3hJB2s+Tgw+ptDpOny0KnZ2IHIJofuMtOe9i4ty0M/V92/tc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CkaZiLUAQAAswMAAA4AAAAAAAAAAQAgAAAAHgEA&#10;AGRycy9lMm9Eb2MueG1sUEsFBgAAAAAGAAYAWQEAAGQFAAAAAA==&#10;">
              <v:fill on="f" focussize="0,0"/>
              <v:stroke on="f"/>
              <v:imagedata o:title=""/>
              <o:lock v:ext="edit" aspectratio="f"/>
              <v:textbox inset="0mm,0mm,0mm,0mm" style="mso-fit-shape-to-text:t;">
                <w:txbxContent>
                  <w:p w14:paraId="4BA84FE1">
                    <w:pPr>
                      <w:pStyle w:val="21"/>
                      <w:rPr>
                        <w:rFonts w:hint="eastAsia" w:eastAsia="宋体"/>
                        <w:lang w:eastAsia="zh-CN"/>
                      </w:rPr>
                    </w:pPr>
                    <w:r>
                      <w:t xml:space="preserve">第 </w:t>
                    </w:r>
                    <w:r>
                      <w:fldChar w:fldCharType="begin"/>
                    </w:r>
                    <w:r>
                      <w:instrText xml:space="preserve"> PAGE  \* MERGEFORMAT </w:instrText>
                    </w:r>
                    <w:r>
                      <w:fldChar w:fldCharType="separate"/>
                    </w:r>
                    <w:r>
                      <w:t>36</w:t>
                    </w:r>
                    <w:r>
                      <w:fldChar w:fldCharType="end"/>
                    </w:r>
                    <w:r>
                      <w:t xml:space="preserve"> 页 </w:t>
                    </w:r>
                    <w:r>
                      <w:rPr>
                        <w:rFonts w:hint="eastAsia"/>
                        <w:lang w:eastAsia="zh-CN"/>
                      </w:rPr>
                      <w:t>共 69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B10B">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BA12">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95D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8596F">
                          <w:pPr>
                            <w:pStyle w:val="21"/>
                            <w:rPr>
                              <w:rFonts w:hint="eastAsia" w:eastAsia="宋体"/>
                              <w:lang w:eastAsia="zh-CN"/>
                            </w:rPr>
                          </w:pPr>
                          <w:r>
                            <w:t xml:space="preserve">第 </w:t>
                          </w:r>
                          <w:r>
                            <w:fldChar w:fldCharType="begin"/>
                          </w:r>
                          <w:r>
                            <w:instrText xml:space="preserve"> PAGE  \* MERGEFORMAT </w:instrText>
                          </w:r>
                          <w:r>
                            <w:fldChar w:fldCharType="separate"/>
                          </w:r>
                          <w:r>
                            <w:t>36</w:t>
                          </w:r>
                          <w:r>
                            <w:fldChar w:fldCharType="end"/>
                          </w:r>
                          <w:r>
                            <w:t xml:space="preserve"> 页 </w:t>
                          </w:r>
                          <w:r>
                            <w:rPr>
                              <w:rFonts w:hint="eastAsia"/>
                              <w:lang w:eastAsia="zh-CN"/>
                            </w:rPr>
                            <w:t>共 69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bP1NUBAACy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mcOWHpws8/f5x//Tn//s5e&#10;J3l6jxVV3Xmqi8NbGFLpFEcKJtZDG2z6Ex9GeRL3dBFXDZHJdGi1XK1KSknKzQ7hFPfHfcD4ToFl&#10;yah5oNvLoorjB4xj6VySujm41cZQXFTG/RMgzDGi8gpMpxOTceJkxWE3TDR20JyIHT0K6tpB+MZZ&#10;TytRc0cvgDPz3pHiaXtmI8zGbjaEk3Sw5uPA6G8OkabLQ6dmYwcimxy6ykx7Wru0Kw/9XHX/1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BNs/U1QEAALIDAAAOAAAAAAAAAAEAIAAAAB4B&#10;AABkcnMvZTJvRG9jLnhtbFBLBQYAAAAABgAGAFkBAABlBQAAAAA=&#10;">
              <v:fill on="f" focussize="0,0"/>
              <v:stroke on="f"/>
              <v:imagedata o:title=""/>
              <o:lock v:ext="edit" aspectratio="f"/>
              <v:textbox inset="0mm,0mm,0mm,0mm" style="mso-fit-shape-to-text:t;">
                <w:txbxContent>
                  <w:p w14:paraId="4F68596F">
                    <w:pPr>
                      <w:pStyle w:val="21"/>
                      <w:rPr>
                        <w:rFonts w:hint="eastAsia" w:eastAsia="宋体"/>
                        <w:lang w:eastAsia="zh-CN"/>
                      </w:rPr>
                    </w:pPr>
                    <w:r>
                      <w:t xml:space="preserve">第 </w:t>
                    </w:r>
                    <w:r>
                      <w:fldChar w:fldCharType="begin"/>
                    </w:r>
                    <w:r>
                      <w:instrText xml:space="preserve"> PAGE  \* MERGEFORMAT </w:instrText>
                    </w:r>
                    <w:r>
                      <w:fldChar w:fldCharType="separate"/>
                    </w:r>
                    <w:r>
                      <w:t>36</w:t>
                    </w:r>
                    <w:r>
                      <w:fldChar w:fldCharType="end"/>
                    </w:r>
                    <w:r>
                      <w:t xml:space="preserve"> 页 </w:t>
                    </w:r>
                    <w:r>
                      <w:rPr>
                        <w:rFonts w:hint="eastAsia"/>
                        <w:lang w:eastAsia="zh-CN"/>
                      </w:rPr>
                      <w:t>共 69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3A56">
    <w:pPr>
      <w:pStyle w:val="22"/>
      <w:jc w:val="both"/>
      <w:rPr>
        <w:rFonts w:hint="eastAsia"/>
        <w:lang w:eastAsia="zh-CN"/>
      </w:rPr>
    </w:pPr>
  </w:p>
  <w:p w14:paraId="3DBEC72C">
    <w:pPr>
      <w:pStyle w:val="22"/>
      <w:jc w:val="both"/>
    </w:pPr>
    <w:r>
      <w:rPr>
        <w:rFonts w:hint="eastAsia"/>
        <w:lang w:eastAsia="zh-CN"/>
      </w:rPr>
      <w:t>贵州钟山野马寨热电有限责任公司2025年第二十二批次燃煤采购项目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3049">
    <w:pPr>
      <w:pStyle w:val="22"/>
      <w:jc w:val="both"/>
      <w:rPr>
        <w:rFonts w:hint="default"/>
        <w:lang w:val="en-US" w:eastAsia="zh-CN"/>
      </w:rPr>
    </w:pPr>
    <w:r>
      <w:rPr>
        <w:rFonts w:hint="eastAsia"/>
        <w:lang w:eastAsia="zh-CN"/>
      </w:rPr>
      <w:t>贵州钟山野马寨热电有限责任公司2025年第二十二批次燃煤采购项目</w:t>
    </w:r>
    <w:r>
      <w:rPr>
        <w:rFonts w:hint="eastAsia"/>
        <w:lang w:val="en-US" w:eastAsia="zh-CN"/>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2FE">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5160">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1B24">
    <w:pPr>
      <w:pStyle w:val="22"/>
      <w:jc w:val="both"/>
      <w:rPr>
        <w:rFonts w:hint="eastAsia"/>
        <w:lang w:eastAsia="zh-CN"/>
      </w:rPr>
    </w:pPr>
  </w:p>
  <w:p w14:paraId="19C6ECC0">
    <w:pPr>
      <w:pStyle w:val="22"/>
      <w:jc w:val="both"/>
      <w:rPr>
        <w:rFonts w:hint="eastAsia"/>
        <w:lang w:eastAsia="zh-CN"/>
      </w:rPr>
    </w:pPr>
  </w:p>
  <w:p w14:paraId="22CFF7D6">
    <w:pPr>
      <w:pStyle w:val="22"/>
      <w:jc w:val="both"/>
      <w:rPr>
        <w:rFonts w:hint="default"/>
        <w:lang w:val="en-US" w:eastAsia="zh-CN"/>
      </w:rPr>
    </w:pPr>
    <w:r>
      <w:rPr>
        <w:rFonts w:hint="eastAsia"/>
        <w:lang w:eastAsia="zh-CN"/>
      </w:rPr>
      <w:t>贵州钟山野马寨热电有限责任公司2025年第二十二批次燃煤采购项目</w:t>
    </w:r>
    <w:r>
      <w:rPr>
        <w:rFonts w:hint="eastAsia"/>
        <w:lang w:val="en-US"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abstractNum w:abstractNumId="1">
    <w:nsid w:val="DBD00409"/>
    <w:multiLevelType w:val="singleLevel"/>
    <w:tmpl w:val="DBD00409"/>
    <w:lvl w:ilvl="0" w:tentative="0">
      <w:start w:val="2"/>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6"/>
      <w:suff w:val="nothing"/>
      <w:lvlText w:val="%1.%2　"/>
      <w:lvlJc w:val="left"/>
      <w:pPr>
        <w:ind w:left="127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DFC8498"/>
    <w:multiLevelType w:val="singleLevel"/>
    <w:tmpl w:val="4DFC8498"/>
    <w:lvl w:ilvl="0" w:tentative="0">
      <w:start w:val="10"/>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172A27"/>
    <w:rsid w:val="00014A9A"/>
    <w:rsid w:val="00035F83"/>
    <w:rsid w:val="0004552F"/>
    <w:rsid w:val="00046B15"/>
    <w:rsid w:val="0005032E"/>
    <w:rsid w:val="00092E32"/>
    <w:rsid w:val="00092F52"/>
    <w:rsid w:val="00093B97"/>
    <w:rsid w:val="000B54F4"/>
    <w:rsid w:val="000B7C1F"/>
    <w:rsid w:val="000D0466"/>
    <w:rsid w:val="0010647D"/>
    <w:rsid w:val="0015263F"/>
    <w:rsid w:val="0015710C"/>
    <w:rsid w:val="00167BF2"/>
    <w:rsid w:val="00172A27"/>
    <w:rsid w:val="00175DB1"/>
    <w:rsid w:val="001920B2"/>
    <w:rsid w:val="00192B20"/>
    <w:rsid w:val="00195F09"/>
    <w:rsid w:val="001977ED"/>
    <w:rsid w:val="001979EA"/>
    <w:rsid w:val="001D12A9"/>
    <w:rsid w:val="001F10C4"/>
    <w:rsid w:val="001F4BB6"/>
    <w:rsid w:val="00212D87"/>
    <w:rsid w:val="00217550"/>
    <w:rsid w:val="002242EE"/>
    <w:rsid w:val="002538E1"/>
    <w:rsid w:val="002621A1"/>
    <w:rsid w:val="00263D0C"/>
    <w:rsid w:val="002712EA"/>
    <w:rsid w:val="00275992"/>
    <w:rsid w:val="00277BB1"/>
    <w:rsid w:val="00281616"/>
    <w:rsid w:val="0028589D"/>
    <w:rsid w:val="002A10E1"/>
    <w:rsid w:val="002B32B7"/>
    <w:rsid w:val="002C1D83"/>
    <w:rsid w:val="002F3CBE"/>
    <w:rsid w:val="002F4186"/>
    <w:rsid w:val="00302106"/>
    <w:rsid w:val="0031415D"/>
    <w:rsid w:val="00316219"/>
    <w:rsid w:val="00320628"/>
    <w:rsid w:val="003368E8"/>
    <w:rsid w:val="0034643A"/>
    <w:rsid w:val="00353716"/>
    <w:rsid w:val="003576FF"/>
    <w:rsid w:val="003615CA"/>
    <w:rsid w:val="003A4951"/>
    <w:rsid w:val="003C693D"/>
    <w:rsid w:val="003D27BC"/>
    <w:rsid w:val="003F3558"/>
    <w:rsid w:val="00416038"/>
    <w:rsid w:val="004167B6"/>
    <w:rsid w:val="004230BF"/>
    <w:rsid w:val="0043095B"/>
    <w:rsid w:val="004310E9"/>
    <w:rsid w:val="00436615"/>
    <w:rsid w:val="004452DB"/>
    <w:rsid w:val="004457D3"/>
    <w:rsid w:val="00450286"/>
    <w:rsid w:val="00457F99"/>
    <w:rsid w:val="004613A3"/>
    <w:rsid w:val="004703A2"/>
    <w:rsid w:val="00471751"/>
    <w:rsid w:val="00471E52"/>
    <w:rsid w:val="00472D48"/>
    <w:rsid w:val="004774AA"/>
    <w:rsid w:val="004A4327"/>
    <w:rsid w:val="004C121B"/>
    <w:rsid w:val="004C394D"/>
    <w:rsid w:val="004D6AF2"/>
    <w:rsid w:val="004D7F98"/>
    <w:rsid w:val="004E084D"/>
    <w:rsid w:val="004F3456"/>
    <w:rsid w:val="004F7E63"/>
    <w:rsid w:val="00505103"/>
    <w:rsid w:val="00527F51"/>
    <w:rsid w:val="00544F1F"/>
    <w:rsid w:val="005474D1"/>
    <w:rsid w:val="00557555"/>
    <w:rsid w:val="00560890"/>
    <w:rsid w:val="005B0DDF"/>
    <w:rsid w:val="005B3AE4"/>
    <w:rsid w:val="005D3955"/>
    <w:rsid w:val="005D68C1"/>
    <w:rsid w:val="005E2432"/>
    <w:rsid w:val="005E5A3B"/>
    <w:rsid w:val="005F7430"/>
    <w:rsid w:val="006167BC"/>
    <w:rsid w:val="00626AA9"/>
    <w:rsid w:val="00642E78"/>
    <w:rsid w:val="0065779E"/>
    <w:rsid w:val="006B4ED9"/>
    <w:rsid w:val="0070053C"/>
    <w:rsid w:val="007040E8"/>
    <w:rsid w:val="00705BC4"/>
    <w:rsid w:val="0071525E"/>
    <w:rsid w:val="00717A08"/>
    <w:rsid w:val="00725935"/>
    <w:rsid w:val="00732579"/>
    <w:rsid w:val="0073628B"/>
    <w:rsid w:val="00742A7B"/>
    <w:rsid w:val="00751329"/>
    <w:rsid w:val="00756FEE"/>
    <w:rsid w:val="0077673D"/>
    <w:rsid w:val="007778F3"/>
    <w:rsid w:val="0078471E"/>
    <w:rsid w:val="007A32DB"/>
    <w:rsid w:val="007A5574"/>
    <w:rsid w:val="007A6717"/>
    <w:rsid w:val="007B659C"/>
    <w:rsid w:val="007B6CEF"/>
    <w:rsid w:val="007C1AFE"/>
    <w:rsid w:val="007E4685"/>
    <w:rsid w:val="007F3984"/>
    <w:rsid w:val="007F54A9"/>
    <w:rsid w:val="0081269A"/>
    <w:rsid w:val="008562F5"/>
    <w:rsid w:val="008745AA"/>
    <w:rsid w:val="008B0B4A"/>
    <w:rsid w:val="008C2654"/>
    <w:rsid w:val="008E1CD2"/>
    <w:rsid w:val="008E4F0C"/>
    <w:rsid w:val="008E6312"/>
    <w:rsid w:val="008F25C7"/>
    <w:rsid w:val="009175F9"/>
    <w:rsid w:val="00952E67"/>
    <w:rsid w:val="00960403"/>
    <w:rsid w:val="0097496D"/>
    <w:rsid w:val="009770C6"/>
    <w:rsid w:val="0098261A"/>
    <w:rsid w:val="00995753"/>
    <w:rsid w:val="00996E1D"/>
    <w:rsid w:val="009B23D6"/>
    <w:rsid w:val="009C672E"/>
    <w:rsid w:val="009F1BBE"/>
    <w:rsid w:val="009F2585"/>
    <w:rsid w:val="009F3D91"/>
    <w:rsid w:val="00A1480E"/>
    <w:rsid w:val="00A436D9"/>
    <w:rsid w:val="00A43922"/>
    <w:rsid w:val="00A44131"/>
    <w:rsid w:val="00A47752"/>
    <w:rsid w:val="00A54B1E"/>
    <w:rsid w:val="00A645A0"/>
    <w:rsid w:val="00A77B7E"/>
    <w:rsid w:val="00A91E4F"/>
    <w:rsid w:val="00AA2ACA"/>
    <w:rsid w:val="00AA6CC7"/>
    <w:rsid w:val="00AC7494"/>
    <w:rsid w:val="00AD534F"/>
    <w:rsid w:val="00AD70F6"/>
    <w:rsid w:val="00AF03D4"/>
    <w:rsid w:val="00B14CA7"/>
    <w:rsid w:val="00B228EE"/>
    <w:rsid w:val="00B25C62"/>
    <w:rsid w:val="00B43A09"/>
    <w:rsid w:val="00B47223"/>
    <w:rsid w:val="00B5002C"/>
    <w:rsid w:val="00B55304"/>
    <w:rsid w:val="00B664F7"/>
    <w:rsid w:val="00B744F8"/>
    <w:rsid w:val="00B81165"/>
    <w:rsid w:val="00B9011A"/>
    <w:rsid w:val="00B95F1E"/>
    <w:rsid w:val="00BA4D9B"/>
    <w:rsid w:val="00BB0E8B"/>
    <w:rsid w:val="00BC14D4"/>
    <w:rsid w:val="00BC5339"/>
    <w:rsid w:val="00BF7AD7"/>
    <w:rsid w:val="00C04D52"/>
    <w:rsid w:val="00C15C09"/>
    <w:rsid w:val="00C20B7B"/>
    <w:rsid w:val="00C3301A"/>
    <w:rsid w:val="00C503C7"/>
    <w:rsid w:val="00C62A00"/>
    <w:rsid w:val="00C657CE"/>
    <w:rsid w:val="00C73516"/>
    <w:rsid w:val="00C854E9"/>
    <w:rsid w:val="00CA4779"/>
    <w:rsid w:val="00CA49BA"/>
    <w:rsid w:val="00CD7872"/>
    <w:rsid w:val="00CE052C"/>
    <w:rsid w:val="00D1471E"/>
    <w:rsid w:val="00D1699D"/>
    <w:rsid w:val="00D26845"/>
    <w:rsid w:val="00D35930"/>
    <w:rsid w:val="00D369F6"/>
    <w:rsid w:val="00D5279F"/>
    <w:rsid w:val="00D70478"/>
    <w:rsid w:val="00DA5612"/>
    <w:rsid w:val="00DB3648"/>
    <w:rsid w:val="00DB4218"/>
    <w:rsid w:val="00E02398"/>
    <w:rsid w:val="00E148B9"/>
    <w:rsid w:val="00E30C03"/>
    <w:rsid w:val="00E343D0"/>
    <w:rsid w:val="00E4683D"/>
    <w:rsid w:val="00E524B2"/>
    <w:rsid w:val="00E52A28"/>
    <w:rsid w:val="00E56194"/>
    <w:rsid w:val="00E61609"/>
    <w:rsid w:val="00E61F5F"/>
    <w:rsid w:val="00E81F51"/>
    <w:rsid w:val="00E93D63"/>
    <w:rsid w:val="00EA3708"/>
    <w:rsid w:val="00EB03D5"/>
    <w:rsid w:val="00EB7BD0"/>
    <w:rsid w:val="00EB7CD3"/>
    <w:rsid w:val="00EC20B0"/>
    <w:rsid w:val="00EC28FD"/>
    <w:rsid w:val="00ED79A4"/>
    <w:rsid w:val="00EF18BE"/>
    <w:rsid w:val="00F02530"/>
    <w:rsid w:val="00F051C7"/>
    <w:rsid w:val="00F11718"/>
    <w:rsid w:val="00F26E49"/>
    <w:rsid w:val="00F40FFF"/>
    <w:rsid w:val="00F6030A"/>
    <w:rsid w:val="00F62ABF"/>
    <w:rsid w:val="00F71891"/>
    <w:rsid w:val="00F73182"/>
    <w:rsid w:val="00F91DC5"/>
    <w:rsid w:val="00F92DE5"/>
    <w:rsid w:val="00FC25BD"/>
    <w:rsid w:val="00FC4E86"/>
    <w:rsid w:val="00FD09E9"/>
    <w:rsid w:val="01065DE7"/>
    <w:rsid w:val="0123280C"/>
    <w:rsid w:val="01391408"/>
    <w:rsid w:val="01396F8F"/>
    <w:rsid w:val="0143262D"/>
    <w:rsid w:val="0144720F"/>
    <w:rsid w:val="015A3E73"/>
    <w:rsid w:val="017517EA"/>
    <w:rsid w:val="01753040"/>
    <w:rsid w:val="01753F19"/>
    <w:rsid w:val="01766F8E"/>
    <w:rsid w:val="017F3C44"/>
    <w:rsid w:val="01800261"/>
    <w:rsid w:val="01811F33"/>
    <w:rsid w:val="01814321"/>
    <w:rsid w:val="01857094"/>
    <w:rsid w:val="0192272C"/>
    <w:rsid w:val="01C42C32"/>
    <w:rsid w:val="01E01AA7"/>
    <w:rsid w:val="01E21BEF"/>
    <w:rsid w:val="01E758BF"/>
    <w:rsid w:val="01F204B7"/>
    <w:rsid w:val="01F8600B"/>
    <w:rsid w:val="020B5F39"/>
    <w:rsid w:val="02183E14"/>
    <w:rsid w:val="021C19C3"/>
    <w:rsid w:val="022F204E"/>
    <w:rsid w:val="023B2435"/>
    <w:rsid w:val="025F301D"/>
    <w:rsid w:val="02631F5B"/>
    <w:rsid w:val="0264674A"/>
    <w:rsid w:val="026954E1"/>
    <w:rsid w:val="028440D1"/>
    <w:rsid w:val="028922ED"/>
    <w:rsid w:val="028A4DE3"/>
    <w:rsid w:val="028F3C95"/>
    <w:rsid w:val="029C7664"/>
    <w:rsid w:val="029F5956"/>
    <w:rsid w:val="02AC676D"/>
    <w:rsid w:val="02AC684A"/>
    <w:rsid w:val="02B417BA"/>
    <w:rsid w:val="02B8553C"/>
    <w:rsid w:val="02C17E8D"/>
    <w:rsid w:val="02CC7AC5"/>
    <w:rsid w:val="02D31644"/>
    <w:rsid w:val="02D91BC1"/>
    <w:rsid w:val="02DB6C9D"/>
    <w:rsid w:val="02EC240D"/>
    <w:rsid w:val="02F62AAC"/>
    <w:rsid w:val="030D4B51"/>
    <w:rsid w:val="03115676"/>
    <w:rsid w:val="031F0349"/>
    <w:rsid w:val="03273517"/>
    <w:rsid w:val="034832A1"/>
    <w:rsid w:val="034E2494"/>
    <w:rsid w:val="035052F1"/>
    <w:rsid w:val="036635B9"/>
    <w:rsid w:val="03747B08"/>
    <w:rsid w:val="038630F3"/>
    <w:rsid w:val="038924A7"/>
    <w:rsid w:val="038B1487"/>
    <w:rsid w:val="0394675E"/>
    <w:rsid w:val="03AE4842"/>
    <w:rsid w:val="03AF313C"/>
    <w:rsid w:val="03BF3134"/>
    <w:rsid w:val="03C10179"/>
    <w:rsid w:val="03CC7825"/>
    <w:rsid w:val="03D95D15"/>
    <w:rsid w:val="03DA74FE"/>
    <w:rsid w:val="03DA7C4D"/>
    <w:rsid w:val="03DE5159"/>
    <w:rsid w:val="03E37468"/>
    <w:rsid w:val="03FC24C1"/>
    <w:rsid w:val="040B6921"/>
    <w:rsid w:val="040F1757"/>
    <w:rsid w:val="04220F4D"/>
    <w:rsid w:val="04344513"/>
    <w:rsid w:val="04382126"/>
    <w:rsid w:val="043E6E78"/>
    <w:rsid w:val="044804D8"/>
    <w:rsid w:val="044F4BC8"/>
    <w:rsid w:val="0460275F"/>
    <w:rsid w:val="047119EF"/>
    <w:rsid w:val="04824209"/>
    <w:rsid w:val="04991769"/>
    <w:rsid w:val="049D6F59"/>
    <w:rsid w:val="04AA769F"/>
    <w:rsid w:val="04B32441"/>
    <w:rsid w:val="04B85574"/>
    <w:rsid w:val="04BA7050"/>
    <w:rsid w:val="04CD2EEF"/>
    <w:rsid w:val="04CE4FF4"/>
    <w:rsid w:val="04E97E70"/>
    <w:rsid w:val="04EF7571"/>
    <w:rsid w:val="04FE33FE"/>
    <w:rsid w:val="051A4149"/>
    <w:rsid w:val="051C77E5"/>
    <w:rsid w:val="05257DE5"/>
    <w:rsid w:val="05296199"/>
    <w:rsid w:val="052E7EAD"/>
    <w:rsid w:val="053106AB"/>
    <w:rsid w:val="053267EE"/>
    <w:rsid w:val="054A0456"/>
    <w:rsid w:val="0560279A"/>
    <w:rsid w:val="056F0211"/>
    <w:rsid w:val="05761E73"/>
    <w:rsid w:val="057E5BFC"/>
    <w:rsid w:val="058E0C07"/>
    <w:rsid w:val="0597048D"/>
    <w:rsid w:val="059D179F"/>
    <w:rsid w:val="05A57EDC"/>
    <w:rsid w:val="05B168E1"/>
    <w:rsid w:val="05BA0A45"/>
    <w:rsid w:val="05E149D1"/>
    <w:rsid w:val="05EE2746"/>
    <w:rsid w:val="05F036D7"/>
    <w:rsid w:val="05F06431"/>
    <w:rsid w:val="05FA6740"/>
    <w:rsid w:val="060316C1"/>
    <w:rsid w:val="06087487"/>
    <w:rsid w:val="06136125"/>
    <w:rsid w:val="061B678D"/>
    <w:rsid w:val="06226438"/>
    <w:rsid w:val="062A34E4"/>
    <w:rsid w:val="06393A6E"/>
    <w:rsid w:val="06476E8E"/>
    <w:rsid w:val="064A58FA"/>
    <w:rsid w:val="064E3A0D"/>
    <w:rsid w:val="065778DD"/>
    <w:rsid w:val="065C042D"/>
    <w:rsid w:val="06715264"/>
    <w:rsid w:val="067D00B9"/>
    <w:rsid w:val="069E49F7"/>
    <w:rsid w:val="06A14C9D"/>
    <w:rsid w:val="06A25511"/>
    <w:rsid w:val="06A36CDD"/>
    <w:rsid w:val="06A94DF5"/>
    <w:rsid w:val="06B403EB"/>
    <w:rsid w:val="06BB1235"/>
    <w:rsid w:val="06BE507A"/>
    <w:rsid w:val="07112AE2"/>
    <w:rsid w:val="07265ED5"/>
    <w:rsid w:val="07323909"/>
    <w:rsid w:val="07362FF4"/>
    <w:rsid w:val="073B034D"/>
    <w:rsid w:val="077435FC"/>
    <w:rsid w:val="078F69E2"/>
    <w:rsid w:val="07D54A42"/>
    <w:rsid w:val="07DD5EE3"/>
    <w:rsid w:val="07DF49C2"/>
    <w:rsid w:val="07F27B35"/>
    <w:rsid w:val="08010C82"/>
    <w:rsid w:val="08190F84"/>
    <w:rsid w:val="08197A0D"/>
    <w:rsid w:val="081E4F52"/>
    <w:rsid w:val="08276B0F"/>
    <w:rsid w:val="0832015B"/>
    <w:rsid w:val="08825D46"/>
    <w:rsid w:val="08834566"/>
    <w:rsid w:val="089475AF"/>
    <w:rsid w:val="08CA4F30"/>
    <w:rsid w:val="08DE70EC"/>
    <w:rsid w:val="08EA20ED"/>
    <w:rsid w:val="08F549F4"/>
    <w:rsid w:val="08F774EA"/>
    <w:rsid w:val="09002D63"/>
    <w:rsid w:val="09041643"/>
    <w:rsid w:val="090B247F"/>
    <w:rsid w:val="090C755A"/>
    <w:rsid w:val="090E1404"/>
    <w:rsid w:val="0910789B"/>
    <w:rsid w:val="091D604C"/>
    <w:rsid w:val="09285D76"/>
    <w:rsid w:val="093C44A0"/>
    <w:rsid w:val="094B19DA"/>
    <w:rsid w:val="09575785"/>
    <w:rsid w:val="097F383C"/>
    <w:rsid w:val="0990346D"/>
    <w:rsid w:val="099117BA"/>
    <w:rsid w:val="09952D70"/>
    <w:rsid w:val="099D1AB9"/>
    <w:rsid w:val="09C2257E"/>
    <w:rsid w:val="09CB017B"/>
    <w:rsid w:val="09ED4AB8"/>
    <w:rsid w:val="09EE1958"/>
    <w:rsid w:val="09FA1F60"/>
    <w:rsid w:val="0A0A2FEC"/>
    <w:rsid w:val="0A113256"/>
    <w:rsid w:val="0A2125A3"/>
    <w:rsid w:val="0A2A113F"/>
    <w:rsid w:val="0A38771E"/>
    <w:rsid w:val="0A411DA5"/>
    <w:rsid w:val="0A4674EF"/>
    <w:rsid w:val="0A5D76E8"/>
    <w:rsid w:val="0AA21CBD"/>
    <w:rsid w:val="0AB10EC8"/>
    <w:rsid w:val="0AC87043"/>
    <w:rsid w:val="0ACE1DDC"/>
    <w:rsid w:val="0ACE72D9"/>
    <w:rsid w:val="0ADE633B"/>
    <w:rsid w:val="0AE22F6A"/>
    <w:rsid w:val="0AF165D7"/>
    <w:rsid w:val="0AF370C7"/>
    <w:rsid w:val="0AF93C3A"/>
    <w:rsid w:val="0B051F52"/>
    <w:rsid w:val="0B063D84"/>
    <w:rsid w:val="0B0B2852"/>
    <w:rsid w:val="0B0D54CB"/>
    <w:rsid w:val="0B257640"/>
    <w:rsid w:val="0B364C0E"/>
    <w:rsid w:val="0B4323AD"/>
    <w:rsid w:val="0B594E57"/>
    <w:rsid w:val="0B715981"/>
    <w:rsid w:val="0B747091"/>
    <w:rsid w:val="0B7657F9"/>
    <w:rsid w:val="0B7B4751"/>
    <w:rsid w:val="0B8C14EC"/>
    <w:rsid w:val="0B8C41E4"/>
    <w:rsid w:val="0B8D05B1"/>
    <w:rsid w:val="0B8D249B"/>
    <w:rsid w:val="0B95668F"/>
    <w:rsid w:val="0BAC167C"/>
    <w:rsid w:val="0BAE1260"/>
    <w:rsid w:val="0BBF2CF2"/>
    <w:rsid w:val="0BD3425D"/>
    <w:rsid w:val="0BD35B73"/>
    <w:rsid w:val="0BD74C8F"/>
    <w:rsid w:val="0BE81B6C"/>
    <w:rsid w:val="0BF432BE"/>
    <w:rsid w:val="0C010979"/>
    <w:rsid w:val="0C021A9C"/>
    <w:rsid w:val="0C15729A"/>
    <w:rsid w:val="0C18698E"/>
    <w:rsid w:val="0C364FEA"/>
    <w:rsid w:val="0C402D91"/>
    <w:rsid w:val="0C491E28"/>
    <w:rsid w:val="0C5361FA"/>
    <w:rsid w:val="0C561E06"/>
    <w:rsid w:val="0C70334A"/>
    <w:rsid w:val="0C767B61"/>
    <w:rsid w:val="0C794397"/>
    <w:rsid w:val="0CB61E59"/>
    <w:rsid w:val="0CD254BB"/>
    <w:rsid w:val="0CE265BB"/>
    <w:rsid w:val="0CF6628A"/>
    <w:rsid w:val="0CFA6C35"/>
    <w:rsid w:val="0CFB5155"/>
    <w:rsid w:val="0CFD1CCC"/>
    <w:rsid w:val="0D181808"/>
    <w:rsid w:val="0D1A7AE4"/>
    <w:rsid w:val="0D4D215F"/>
    <w:rsid w:val="0D5E6BAC"/>
    <w:rsid w:val="0D5F6F77"/>
    <w:rsid w:val="0D651000"/>
    <w:rsid w:val="0D7107D5"/>
    <w:rsid w:val="0D7F743E"/>
    <w:rsid w:val="0D841727"/>
    <w:rsid w:val="0D843F88"/>
    <w:rsid w:val="0D9103F1"/>
    <w:rsid w:val="0D99476A"/>
    <w:rsid w:val="0D9B473B"/>
    <w:rsid w:val="0DA036F5"/>
    <w:rsid w:val="0DA66D6E"/>
    <w:rsid w:val="0DC56952"/>
    <w:rsid w:val="0DC86634"/>
    <w:rsid w:val="0DD00B0A"/>
    <w:rsid w:val="0DDA4E59"/>
    <w:rsid w:val="0DEB552A"/>
    <w:rsid w:val="0DFA0141"/>
    <w:rsid w:val="0DFD7A41"/>
    <w:rsid w:val="0E007B4B"/>
    <w:rsid w:val="0E1414B8"/>
    <w:rsid w:val="0E175D24"/>
    <w:rsid w:val="0E1B7B18"/>
    <w:rsid w:val="0E4A4964"/>
    <w:rsid w:val="0E6335C5"/>
    <w:rsid w:val="0E7516AA"/>
    <w:rsid w:val="0E7A3B96"/>
    <w:rsid w:val="0E885D19"/>
    <w:rsid w:val="0E8A6F0A"/>
    <w:rsid w:val="0E8E5580"/>
    <w:rsid w:val="0E902DA1"/>
    <w:rsid w:val="0E9F6A5A"/>
    <w:rsid w:val="0EA675EC"/>
    <w:rsid w:val="0EB970FB"/>
    <w:rsid w:val="0EBF026B"/>
    <w:rsid w:val="0EC21AE4"/>
    <w:rsid w:val="0EF82A1F"/>
    <w:rsid w:val="0F021F3C"/>
    <w:rsid w:val="0F0F772D"/>
    <w:rsid w:val="0F107D2E"/>
    <w:rsid w:val="0F131BCA"/>
    <w:rsid w:val="0F196B0D"/>
    <w:rsid w:val="0F2B71B7"/>
    <w:rsid w:val="0F2D1179"/>
    <w:rsid w:val="0F3E6805"/>
    <w:rsid w:val="0F4A2B8E"/>
    <w:rsid w:val="0F4C1EB7"/>
    <w:rsid w:val="0F5F3939"/>
    <w:rsid w:val="0F5F6955"/>
    <w:rsid w:val="0F612C93"/>
    <w:rsid w:val="0F643C31"/>
    <w:rsid w:val="0F6F2A02"/>
    <w:rsid w:val="0F7B3597"/>
    <w:rsid w:val="0F802EA9"/>
    <w:rsid w:val="0F835B4B"/>
    <w:rsid w:val="0F9A3CCE"/>
    <w:rsid w:val="0F9C270F"/>
    <w:rsid w:val="0F9D6655"/>
    <w:rsid w:val="0FA537B2"/>
    <w:rsid w:val="0FBA0A60"/>
    <w:rsid w:val="0FC14E8C"/>
    <w:rsid w:val="0FC61495"/>
    <w:rsid w:val="0FDB63FF"/>
    <w:rsid w:val="0FE05F81"/>
    <w:rsid w:val="0FE12B5A"/>
    <w:rsid w:val="0FE61C39"/>
    <w:rsid w:val="0FED7699"/>
    <w:rsid w:val="0FF02D9D"/>
    <w:rsid w:val="0FF15F23"/>
    <w:rsid w:val="0FF70ABF"/>
    <w:rsid w:val="0FF808EE"/>
    <w:rsid w:val="0FFE5E85"/>
    <w:rsid w:val="10014BD2"/>
    <w:rsid w:val="10167A62"/>
    <w:rsid w:val="10324437"/>
    <w:rsid w:val="10517C58"/>
    <w:rsid w:val="10603777"/>
    <w:rsid w:val="106B02B6"/>
    <w:rsid w:val="106D7F07"/>
    <w:rsid w:val="107C0E03"/>
    <w:rsid w:val="107C6C42"/>
    <w:rsid w:val="10836904"/>
    <w:rsid w:val="108850AD"/>
    <w:rsid w:val="10A047B7"/>
    <w:rsid w:val="10A6213E"/>
    <w:rsid w:val="10B62AD3"/>
    <w:rsid w:val="10C804C9"/>
    <w:rsid w:val="11081AF6"/>
    <w:rsid w:val="1108366A"/>
    <w:rsid w:val="111037F5"/>
    <w:rsid w:val="11112630"/>
    <w:rsid w:val="11265DA5"/>
    <w:rsid w:val="112E2F68"/>
    <w:rsid w:val="113A21DB"/>
    <w:rsid w:val="113F7992"/>
    <w:rsid w:val="11436282"/>
    <w:rsid w:val="1143706C"/>
    <w:rsid w:val="11442514"/>
    <w:rsid w:val="11464B1B"/>
    <w:rsid w:val="114D556F"/>
    <w:rsid w:val="114D5574"/>
    <w:rsid w:val="115A0E16"/>
    <w:rsid w:val="1163513A"/>
    <w:rsid w:val="11666CC8"/>
    <w:rsid w:val="11761125"/>
    <w:rsid w:val="1177270A"/>
    <w:rsid w:val="117A4112"/>
    <w:rsid w:val="119C3E93"/>
    <w:rsid w:val="11B76FE0"/>
    <w:rsid w:val="11CA158E"/>
    <w:rsid w:val="11D96691"/>
    <w:rsid w:val="11DC70AE"/>
    <w:rsid w:val="11F2187D"/>
    <w:rsid w:val="1216355E"/>
    <w:rsid w:val="12192D29"/>
    <w:rsid w:val="122001D3"/>
    <w:rsid w:val="122218E8"/>
    <w:rsid w:val="1225220F"/>
    <w:rsid w:val="122D6129"/>
    <w:rsid w:val="1232769D"/>
    <w:rsid w:val="12347041"/>
    <w:rsid w:val="123A06ED"/>
    <w:rsid w:val="123A28B9"/>
    <w:rsid w:val="123D1AFA"/>
    <w:rsid w:val="12402C3A"/>
    <w:rsid w:val="12426E2B"/>
    <w:rsid w:val="12463B07"/>
    <w:rsid w:val="125540D5"/>
    <w:rsid w:val="125835AC"/>
    <w:rsid w:val="126F69AC"/>
    <w:rsid w:val="127731ED"/>
    <w:rsid w:val="12773C7B"/>
    <w:rsid w:val="127A31A8"/>
    <w:rsid w:val="127F2291"/>
    <w:rsid w:val="127F55EC"/>
    <w:rsid w:val="12870AC3"/>
    <w:rsid w:val="12917E71"/>
    <w:rsid w:val="12A9247D"/>
    <w:rsid w:val="12AA41FC"/>
    <w:rsid w:val="12B942BD"/>
    <w:rsid w:val="12C518E9"/>
    <w:rsid w:val="12C63175"/>
    <w:rsid w:val="12DD0990"/>
    <w:rsid w:val="13010ED3"/>
    <w:rsid w:val="13071040"/>
    <w:rsid w:val="130A6451"/>
    <w:rsid w:val="130C5C3C"/>
    <w:rsid w:val="131B2573"/>
    <w:rsid w:val="132126EA"/>
    <w:rsid w:val="13593FA6"/>
    <w:rsid w:val="13653275"/>
    <w:rsid w:val="136D43BE"/>
    <w:rsid w:val="13782829"/>
    <w:rsid w:val="138D3063"/>
    <w:rsid w:val="13A12280"/>
    <w:rsid w:val="13A62CD3"/>
    <w:rsid w:val="13A70A3A"/>
    <w:rsid w:val="13D71831"/>
    <w:rsid w:val="13DC2D75"/>
    <w:rsid w:val="13F13588"/>
    <w:rsid w:val="13F43F1B"/>
    <w:rsid w:val="13F822E7"/>
    <w:rsid w:val="13FB3EE9"/>
    <w:rsid w:val="13FB7DA2"/>
    <w:rsid w:val="14075BD3"/>
    <w:rsid w:val="14096AE8"/>
    <w:rsid w:val="14172E9F"/>
    <w:rsid w:val="14197B4E"/>
    <w:rsid w:val="141C227A"/>
    <w:rsid w:val="14223E32"/>
    <w:rsid w:val="1430150A"/>
    <w:rsid w:val="144936CB"/>
    <w:rsid w:val="14517A1A"/>
    <w:rsid w:val="14566DF0"/>
    <w:rsid w:val="145B6663"/>
    <w:rsid w:val="14690C90"/>
    <w:rsid w:val="147070FF"/>
    <w:rsid w:val="14861AC7"/>
    <w:rsid w:val="14931DF4"/>
    <w:rsid w:val="1495246B"/>
    <w:rsid w:val="149D2FA5"/>
    <w:rsid w:val="14B105EB"/>
    <w:rsid w:val="14B15A4D"/>
    <w:rsid w:val="14C81FC4"/>
    <w:rsid w:val="14CA19A7"/>
    <w:rsid w:val="14D42266"/>
    <w:rsid w:val="14DB3F10"/>
    <w:rsid w:val="14EA0B7F"/>
    <w:rsid w:val="14F26859"/>
    <w:rsid w:val="14F72D95"/>
    <w:rsid w:val="15062A5F"/>
    <w:rsid w:val="150C5027"/>
    <w:rsid w:val="151542F6"/>
    <w:rsid w:val="15305FD6"/>
    <w:rsid w:val="15326E7A"/>
    <w:rsid w:val="15330BAA"/>
    <w:rsid w:val="15466313"/>
    <w:rsid w:val="154930BA"/>
    <w:rsid w:val="155E42EA"/>
    <w:rsid w:val="156F59A0"/>
    <w:rsid w:val="157C5A64"/>
    <w:rsid w:val="15840CB0"/>
    <w:rsid w:val="15841F1D"/>
    <w:rsid w:val="15A71403"/>
    <w:rsid w:val="15A834C7"/>
    <w:rsid w:val="15AB17E2"/>
    <w:rsid w:val="15F57AE0"/>
    <w:rsid w:val="1607402E"/>
    <w:rsid w:val="16166D91"/>
    <w:rsid w:val="161C1C5D"/>
    <w:rsid w:val="16207B0D"/>
    <w:rsid w:val="16320DFF"/>
    <w:rsid w:val="16322AAF"/>
    <w:rsid w:val="16401FF6"/>
    <w:rsid w:val="1649757F"/>
    <w:rsid w:val="164D09A7"/>
    <w:rsid w:val="165B5480"/>
    <w:rsid w:val="165B78BB"/>
    <w:rsid w:val="165D00EA"/>
    <w:rsid w:val="166445FC"/>
    <w:rsid w:val="16690612"/>
    <w:rsid w:val="166B3759"/>
    <w:rsid w:val="168D0158"/>
    <w:rsid w:val="16AD4D0B"/>
    <w:rsid w:val="16B1181B"/>
    <w:rsid w:val="16C33F4C"/>
    <w:rsid w:val="16CB0094"/>
    <w:rsid w:val="16E107B6"/>
    <w:rsid w:val="16E60300"/>
    <w:rsid w:val="16E758C8"/>
    <w:rsid w:val="16F17D5F"/>
    <w:rsid w:val="17045B72"/>
    <w:rsid w:val="170900B2"/>
    <w:rsid w:val="17111342"/>
    <w:rsid w:val="171F3B20"/>
    <w:rsid w:val="17295FDF"/>
    <w:rsid w:val="17344B43"/>
    <w:rsid w:val="17383514"/>
    <w:rsid w:val="175510CA"/>
    <w:rsid w:val="176B18B5"/>
    <w:rsid w:val="17836BED"/>
    <w:rsid w:val="178F4D05"/>
    <w:rsid w:val="17C55A69"/>
    <w:rsid w:val="17C600FB"/>
    <w:rsid w:val="17C70F9C"/>
    <w:rsid w:val="17D26C83"/>
    <w:rsid w:val="17E3317D"/>
    <w:rsid w:val="17F05810"/>
    <w:rsid w:val="18022E0A"/>
    <w:rsid w:val="18096A32"/>
    <w:rsid w:val="180D2E95"/>
    <w:rsid w:val="181430FB"/>
    <w:rsid w:val="18187432"/>
    <w:rsid w:val="18221913"/>
    <w:rsid w:val="18570E06"/>
    <w:rsid w:val="185719A0"/>
    <w:rsid w:val="185D5590"/>
    <w:rsid w:val="18735ED5"/>
    <w:rsid w:val="18780DA1"/>
    <w:rsid w:val="18873E82"/>
    <w:rsid w:val="188C72BE"/>
    <w:rsid w:val="18B67BCE"/>
    <w:rsid w:val="18B85453"/>
    <w:rsid w:val="18BE4DE7"/>
    <w:rsid w:val="18C27486"/>
    <w:rsid w:val="18C837EE"/>
    <w:rsid w:val="18D53478"/>
    <w:rsid w:val="18E5420D"/>
    <w:rsid w:val="18FD5062"/>
    <w:rsid w:val="190D6FA2"/>
    <w:rsid w:val="191550F7"/>
    <w:rsid w:val="192505AD"/>
    <w:rsid w:val="192B02E9"/>
    <w:rsid w:val="1933031B"/>
    <w:rsid w:val="19333420"/>
    <w:rsid w:val="194D30BC"/>
    <w:rsid w:val="19794B29"/>
    <w:rsid w:val="197D1427"/>
    <w:rsid w:val="19836A30"/>
    <w:rsid w:val="19875CBF"/>
    <w:rsid w:val="19943801"/>
    <w:rsid w:val="199F57A1"/>
    <w:rsid w:val="19A929A2"/>
    <w:rsid w:val="19AC78DA"/>
    <w:rsid w:val="19B66942"/>
    <w:rsid w:val="19BE0CBE"/>
    <w:rsid w:val="19D60557"/>
    <w:rsid w:val="19EF3784"/>
    <w:rsid w:val="19F66CBD"/>
    <w:rsid w:val="1A025ED7"/>
    <w:rsid w:val="1A0962D1"/>
    <w:rsid w:val="1A100E5C"/>
    <w:rsid w:val="1A180605"/>
    <w:rsid w:val="1A233591"/>
    <w:rsid w:val="1A263EAF"/>
    <w:rsid w:val="1A293026"/>
    <w:rsid w:val="1A2D4AEA"/>
    <w:rsid w:val="1A3A2F1F"/>
    <w:rsid w:val="1A7179C2"/>
    <w:rsid w:val="1A7870F6"/>
    <w:rsid w:val="1A7A42D7"/>
    <w:rsid w:val="1A9223BA"/>
    <w:rsid w:val="1AA56CDD"/>
    <w:rsid w:val="1AC81B38"/>
    <w:rsid w:val="1AD5166F"/>
    <w:rsid w:val="1AE44D1F"/>
    <w:rsid w:val="1AED6373"/>
    <w:rsid w:val="1AF811F1"/>
    <w:rsid w:val="1B0064C3"/>
    <w:rsid w:val="1B054AF8"/>
    <w:rsid w:val="1B157B45"/>
    <w:rsid w:val="1B385792"/>
    <w:rsid w:val="1B44211A"/>
    <w:rsid w:val="1B447302"/>
    <w:rsid w:val="1B5B3389"/>
    <w:rsid w:val="1B814371"/>
    <w:rsid w:val="1B87407D"/>
    <w:rsid w:val="1B8E7759"/>
    <w:rsid w:val="1B8F0345"/>
    <w:rsid w:val="1B946809"/>
    <w:rsid w:val="1BA415FF"/>
    <w:rsid w:val="1BBC2BB4"/>
    <w:rsid w:val="1BC26BCD"/>
    <w:rsid w:val="1BC478DF"/>
    <w:rsid w:val="1BDA7765"/>
    <w:rsid w:val="1BE95E1D"/>
    <w:rsid w:val="1BEB03E9"/>
    <w:rsid w:val="1BF153AF"/>
    <w:rsid w:val="1C1B3898"/>
    <w:rsid w:val="1C1F2B3A"/>
    <w:rsid w:val="1C221144"/>
    <w:rsid w:val="1C2C0329"/>
    <w:rsid w:val="1C396564"/>
    <w:rsid w:val="1C3C03F5"/>
    <w:rsid w:val="1C607C53"/>
    <w:rsid w:val="1C671990"/>
    <w:rsid w:val="1C6C03DD"/>
    <w:rsid w:val="1C80063C"/>
    <w:rsid w:val="1C833A67"/>
    <w:rsid w:val="1C83436B"/>
    <w:rsid w:val="1C892C65"/>
    <w:rsid w:val="1C911CEC"/>
    <w:rsid w:val="1C9D0BC8"/>
    <w:rsid w:val="1CB129D9"/>
    <w:rsid w:val="1CBB7C97"/>
    <w:rsid w:val="1CDA6B18"/>
    <w:rsid w:val="1CF00880"/>
    <w:rsid w:val="1CF671D0"/>
    <w:rsid w:val="1D2C2B39"/>
    <w:rsid w:val="1D3B456F"/>
    <w:rsid w:val="1D3C49CD"/>
    <w:rsid w:val="1D5B4971"/>
    <w:rsid w:val="1D605CFA"/>
    <w:rsid w:val="1D657C87"/>
    <w:rsid w:val="1D7B0EFE"/>
    <w:rsid w:val="1D807F1F"/>
    <w:rsid w:val="1D874E44"/>
    <w:rsid w:val="1D8B5CE3"/>
    <w:rsid w:val="1D8D6EA9"/>
    <w:rsid w:val="1DA14E7A"/>
    <w:rsid w:val="1DB7325B"/>
    <w:rsid w:val="1DCE6A66"/>
    <w:rsid w:val="1DDB1964"/>
    <w:rsid w:val="1DF23C2B"/>
    <w:rsid w:val="1E053FD0"/>
    <w:rsid w:val="1E083F12"/>
    <w:rsid w:val="1E0F6543"/>
    <w:rsid w:val="1E240FE7"/>
    <w:rsid w:val="1E2F1BF7"/>
    <w:rsid w:val="1E355106"/>
    <w:rsid w:val="1E444887"/>
    <w:rsid w:val="1E553B92"/>
    <w:rsid w:val="1E563F5A"/>
    <w:rsid w:val="1E6636C0"/>
    <w:rsid w:val="1E8108B4"/>
    <w:rsid w:val="1EB211A6"/>
    <w:rsid w:val="1EBB1934"/>
    <w:rsid w:val="1EBD58A5"/>
    <w:rsid w:val="1EBD5B1B"/>
    <w:rsid w:val="1EE53BB4"/>
    <w:rsid w:val="1EFA3B49"/>
    <w:rsid w:val="1F051BDD"/>
    <w:rsid w:val="1F24547E"/>
    <w:rsid w:val="1F253AB8"/>
    <w:rsid w:val="1F262338"/>
    <w:rsid w:val="1F2C3FB9"/>
    <w:rsid w:val="1F2C7C09"/>
    <w:rsid w:val="1F2E2D68"/>
    <w:rsid w:val="1F3A17A7"/>
    <w:rsid w:val="1F3A4EBD"/>
    <w:rsid w:val="1F430292"/>
    <w:rsid w:val="1F743601"/>
    <w:rsid w:val="1F8F546B"/>
    <w:rsid w:val="1F9D5460"/>
    <w:rsid w:val="1FA51685"/>
    <w:rsid w:val="1FAB7693"/>
    <w:rsid w:val="1FC95A0C"/>
    <w:rsid w:val="1FCF51E8"/>
    <w:rsid w:val="1FEC5EA0"/>
    <w:rsid w:val="1FF27007"/>
    <w:rsid w:val="1FFA45EC"/>
    <w:rsid w:val="2011737E"/>
    <w:rsid w:val="201A557F"/>
    <w:rsid w:val="20297E56"/>
    <w:rsid w:val="20392D1D"/>
    <w:rsid w:val="20424F08"/>
    <w:rsid w:val="20557C56"/>
    <w:rsid w:val="205645BD"/>
    <w:rsid w:val="2063580D"/>
    <w:rsid w:val="20AA3D03"/>
    <w:rsid w:val="20B3720D"/>
    <w:rsid w:val="20B46DC8"/>
    <w:rsid w:val="20B67017"/>
    <w:rsid w:val="20B71B36"/>
    <w:rsid w:val="20C44543"/>
    <w:rsid w:val="20DB073B"/>
    <w:rsid w:val="20EA1739"/>
    <w:rsid w:val="20EA6D87"/>
    <w:rsid w:val="210F4811"/>
    <w:rsid w:val="211E49FC"/>
    <w:rsid w:val="212F3BE9"/>
    <w:rsid w:val="213109D0"/>
    <w:rsid w:val="21322EB2"/>
    <w:rsid w:val="21402B4C"/>
    <w:rsid w:val="21521313"/>
    <w:rsid w:val="21545709"/>
    <w:rsid w:val="2157674D"/>
    <w:rsid w:val="21622AC9"/>
    <w:rsid w:val="21674BEA"/>
    <w:rsid w:val="216C049B"/>
    <w:rsid w:val="217709B5"/>
    <w:rsid w:val="21772ED4"/>
    <w:rsid w:val="2188457E"/>
    <w:rsid w:val="218A5C1B"/>
    <w:rsid w:val="218E0AEF"/>
    <w:rsid w:val="218F5F85"/>
    <w:rsid w:val="219044DF"/>
    <w:rsid w:val="219900DC"/>
    <w:rsid w:val="21993683"/>
    <w:rsid w:val="219D0F12"/>
    <w:rsid w:val="21C216A3"/>
    <w:rsid w:val="21D075A5"/>
    <w:rsid w:val="21D20993"/>
    <w:rsid w:val="21EE2A10"/>
    <w:rsid w:val="21F506E7"/>
    <w:rsid w:val="21F90141"/>
    <w:rsid w:val="220B2A5A"/>
    <w:rsid w:val="224605A8"/>
    <w:rsid w:val="224A1E35"/>
    <w:rsid w:val="225B22E1"/>
    <w:rsid w:val="225C4E48"/>
    <w:rsid w:val="22752ABF"/>
    <w:rsid w:val="22A67C45"/>
    <w:rsid w:val="22B6102B"/>
    <w:rsid w:val="22E90191"/>
    <w:rsid w:val="22F9057D"/>
    <w:rsid w:val="22FC16F1"/>
    <w:rsid w:val="230F2405"/>
    <w:rsid w:val="231B217A"/>
    <w:rsid w:val="231E0BF0"/>
    <w:rsid w:val="23343123"/>
    <w:rsid w:val="233C3CC2"/>
    <w:rsid w:val="234A3514"/>
    <w:rsid w:val="234D573C"/>
    <w:rsid w:val="23597898"/>
    <w:rsid w:val="237F5064"/>
    <w:rsid w:val="23991D07"/>
    <w:rsid w:val="23A23633"/>
    <w:rsid w:val="23A55B09"/>
    <w:rsid w:val="23AF462B"/>
    <w:rsid w:val="23B13C21"/>
    <w:rsid w:val="23B26FEF"/>
    <w:rsid w:val="23B848E1"/>
    <w:rsid w:val="23C1333E"/>
    <w:rsid w:val="23C23826"/>
    <w:rsid w:val="23CE4C7F"/>
    <w:rsid w:val="23DB0C92"/>
    <w:rsid w:val="23E42A6A"/>
    <w:rsid w:val="23EC11F6"/>
    <w:rsid w:val="23F066B3"/>
    <w:rsid w:val="23FD7CDA"/>
    <w:rsid w:val="242D45AE"/>
    <w:rsid w:val="242E415A"/>
    <w:rsid w:val="24376F00"/>
    <w:rsid w:val="243E6A23"/>
    <w:rsid w:val="247C102C"/>
    <w:rsid w:val="249D1FD7"/>
    <w:rsid w:val="24A30D94"/>
    <w:rsid w:val="24A6688F"/>
    <w:rsid w:val="24A974B7"/>
    <w:rsid w:val="24BD0563"/>
    <w:rsid w:val="24C92917"/>
    <w:rsid w:val="24C93260"/>
    <w:rsid w:val="24D805CF"/>
    <w:rsid w:val="24E2156C"/>
    <w:rsid w:val="24E237AC"/>
    <w:rsid w:val="24E60289"/>
    <w:rsid w:val="250456CC"/>
    <w:rsid w:val="2508232E"/>
    <w:rsid w:val="25351790"/>
    <w:rsid w:val="25546282"/>
    <w:rsid w:val="255D0D5A"/>
    <w:rsid w:val="25637932"/>
    <w:rsid w:val="25676C94"/>
    <w:rsid w:val="256D36FE"/>
    <w:rsid w:val="256E70D7"/>
    <w:rsid w:val="25746D4A"/>
    <w:rsid w:val="257B3974"/>
    <w:rsid w:val="257E7E74"/>
    <w:rsid w:val="258B6369"/>
    <w:rsid w:val="258E4D2C"/>
    <w:rsid w:val="25993DE0"/>
    <w:rsid w:val="25A4324C"/>
    <w:rsid w:val="25AA5703"/>
    <w:rsid w:val="25BB5873"/>
    <w:rsid w:val="25C65BBA"/>
    <w:rsid w:val="25E00289"/>
    <w:rsid w:val="25FC343E"/>
    <w:rsid w:val="26074560"/>
    <w:rsid w:val="26110751"/>
    <w:rsid w:val="26216375"/>
    <w:rsid w:val="262470B9"/>
    <w:rsid w:val="262706E3"/>
    <w:rsid w:val="26346520"/>
    <w:rsid w:val="26406C82"/>
    <w:rsid w:val="26480208"/>
    <w:rsid w:val="264C6AD8"/>
    <w:rsid w:val="26622C1B"/>
    <w:rsid w:val="2673436C"/>
    <w:rsid w:val="2675480A"/>
    <w:rsid w:val="268F155B"/>
    <w:rsid w:val="26991365"/>
    <w:rsid w:val="269F0A47"/>
    <w:rsid w:val="26AA77CB"/>
    <w:rsid w:val="26B626B2"/>
    <w:rsid w:val="26C1552E"/>
    <w:rsid w:val="26EE50A3"/>
    <w:rsid w:val="26EF061B"/>
    <w:rsid w:val="26F438C0"/>
    <w:rsid w:val="26FD25D7"/>
    <w:rsid w:val="270F5D68"/>
    <w:rsid w:val="2714014B"/>
    <w:rsid w:val="27335121"/>
    <w:rsid w:val="27537613"/>
    <w:rsid w:val="275B0F7B"/>
    <w:rsid w:val="275C4F54"/>
    <w:rsid w:val="275F2B63"/>
    <w:rsid w:val="27A144B4"/>
    <w:rsid w:val="27B15B71"/>
    <w:rsid w:val="27BE0D88"/>
    <w:rsid w:val="27D41FB2"/>
    <w:rsid w:val="27E73F31"/>
    <w:rsid w:val="28084A4D"/>
    <w:rsid w:val="280D40E8"/>
    <w:rsid w:val="2813200D"/>
    <w:rsid w:val="28233210"/>
    <w:rsid w:val="2828474C"/>
    <w:rsid w:val="284030AD"/>
    <w:rsid w:val="284A750E"/>
    <w:rsid w:val="284F0353"/>
    <w:rsid w:val="28564385"/>
    <w:rsid w:val="28720EF4"/>
    <w:rsid w:val="28786DB3"/>
    <w:rsid w:val="2893647E"/>
    <w:rsid w:val="2899311F"/>
    <w:rsid w:val="289E416D"/>
    <w:rsid w:val="289F6570"/>
    <w:rsid w:val="28B5723D"/>
    <w:rsid w:val="28C04383"/>
    <w:rsid w:val="28C13078"/>
    <w:rsid w:val="28C44F36"/>
    <w:rsid w:val="28D22784"/>
    <w:rsid w:val="28D6484D"/>
    <w:rsid w:val="28D80B48"/>
    <w:rsid w:val="28E44670"/>
    <w:rsid w:val="290963E0"/>
    <w:rsid w:val="29154FF3"/>
    <w:rsid w:val="291C696D"/>
    <w:rsid w:val="291E0698"/>
    <w:rsid w:val="29380D3B"/>
    <w:rsid w:val="293A32D8"/>
    <w:rsid w:val="294772C9"/>
    <w:rsid w:val="294E6931"/>
    <w:rsid w:val="2965201D"/>
    <w:rsid w:val="297122C6"/>
    <w:rsid w:val="2976225F"/>
    <w:rsid w:val="29867D45"/>
    <w:rsid w:val="298D74F7"/>
    <w:rsid w:val="298F27DB"/>
    <w:rsid w:val="29980E4E"/>
    <w:rsid w:val="299E14C3"/>
    <w:rsid w:val="29AE3BED"/>
    <w:rsid w:val="29B714C6"/>
    <w:rsid w:val="29BE6EDC"/>
    <w:rsid w:val="29C7043B"/>
    <w:rsid w:val="29C7640C"/>
    <w:rsid w:val="29C87B2A"/>
    <w:rsid w:val="29CE26FE"/>
    <w:rsid w:val="29DB252D"/>
    <w:rsid w:val="29DE5069"/>
    <w:rsid w:val="29DE5E7D"/>
    <w:rsid w:val="29EA4035"/>
    <w:rsid w:val="29FA3ACC"/>
    <w:rsid w:val="2A05593B"/>
    <w:rsid w:val="2A101B8A"/>
    <w:rsid w:val="2A14286B"/>
    <w:rsid w:val="2A146EBA"/>
    <w:rsid w:val="2A163CAA"/>
    <w:rsid w:val="2A3827B7"/>
    <w:rsid w:val="2A3C14BC"/>
    <w:rsid w:val="2A452643"/>
    <w:rsid w:val="2A487550"/>
    <w:rsid w:val="2A51723E"/>
    <w:rsid w:val="2A532E71"/>
    <w:rsid w:val="2A5F7045"/>
    <w:rsid w:val="2A6176FA"/>
    <w:rsid w:val="2A6631E2"/>
    <w:rsid w:val="2A7D6CB5"/>
    <w:rsid w:val="2A7E2411"/>
    <w:rsid w:val="2A906BBC"/>
    <w:rsid w:val="2A942E05"/>
    <w:rsid w:val="2A9E5ED7"/>
    <w:rsid w:val="2AA12A8E"/>
    <w:rsid w:val="2AA255EF"/>
    <w:rsid w:val="2AAD5DC2"/>
    <w:rsid w:val="2AC148DA"/>
    <w:rsid w:val="2ADC2FFB"/>
    <w:rsid w:val="2AE61361"/>
    <w:rsid w:val="2B1D33E4"/>
    <w:rsid w:val="2B3A0A05"/>
    <w:rsid w:val="2B4412D8"/>
    <w:rsid w:val="2B4D3190"/>
    <w:rsid w:val="2B4E44EF"/>
    <w:rsid w:val="2B7941E2"/>
    <w:rsid w:val="2B7E3292"/>
    <w:rsid w:val="2B8F3093"/>
    <w:rsid w:val="2BB522E6"/>
    <w:rsid w:val="2BBC1AF4"/>
    <w:rsid w:val="2BCC2C98"/>
    <w:rsid w:val="2BDE63E0"/>
    <w:rsid w:val="2BE86C75"/>
    <w:rsid w:val="2BF14BB2"/>
    <w:rsid w:val="2C144E7B"/>
    <w:rsid w:val="2C2F5EC0"/>
    <w:rsid w:val="2C3446DE"/>
    <w:rsid w:val="2C3C640E"/>
    <w:rsid w:val="2C4A06E2"/>
    <w:rsid w:val="2C4D32E1"/>
    <w:rsid w:val="2C501832"/>
    <w:rsid w:val="2C5C3A25"/>
    <w:rsid w:val="2C610BAC"/>
    <w:rsid w:val="2C614D97"/>
    <w:rsid w:val="2C92764B"/>
    <w:rsid w:val="2CA57261"/>
    <w:rsid w:val="2CBE57B1"/>
    <w:rsid w:val="2CD247BC"/>
    <w:rsid w:val="2CD61692"/>
    <w:rsid w:val="2CE71A87"/>
    <w:rsid w:val="2CF0316C"/>
    <w:rsid w:val="2CFE4271"/>
    <w:rsid w:val="2D014448"/>
    <w:rsid w:val="2D0D31CF"/>
    <w:rsid w:val="2D1D3B29"/>
    <w:rsid w:val="2D246015"/>
    <w:rsid w:val="2D35578C"/>
    <w:rsid w:val="2D400366"/>
    <w:rsid w:val="2D484FF7"/>
    <w:rsid w:val="2D5C4DC2"/>
    <w:rsid w:val="2D600099"/>
    <w:rsid w:val="2D70348B"/>
    <w:rsid w:val="2D751A10"/>
    <w:rsid w:val="2D9466D0"/>
    <w:rsid w:val="2DA75A0A"/>
    <w:rsid w:val="2DA77794"/>
    <w:rsid w:val="2DD0179C"/>
    <w:rsid w:val="2DDC0A17"/>
    <w:rsid w:val="2DEE74C0"/>
    <w:rsid w:val="2DEF6C39"/>
    <w:rsid w:val="2DF30D1B"/>
    <w:rsid w:val="2E052F4C"/>
    <w:rsid w:val="2E10324A"/>
    <w:rsid w:val="2E126CFE"/>
    <w:rsid w:val="2E2779A0"/>
    <w:rsid w:val="2E304F81"/>
    <w:rsid w:val="2E343624"/>
    <w:rsid w:val="2E431E35"/>
    <w:rsid w:val="2E4E0C02"/>
    <w:rsid w:val="2E6A7423"/>
    <w:rsid w:val="2E6D045E"/>
    <w:rsid w:val="2E7765CF"/>
    <w:rsid w:val="2E805A3A"/>
    <w:rsid w:val="2E840BCC"/>
    <w:rsid w:val="2E9F15B2"/>
    <w:rsid w:val="2EAA40F0"/>
    <w:rsid w:val="2EC163FC"/>
    <w:rsid w:val="2ED47B38"/>
    <w:rsid w:val="2EDF69A7"/>
    <w:rsid w:val="2EE61AE3"/>
    <w:rsid w:val="2EF0022D"/>
    <w:rsid w:val="2F002F95"/>
    <w:rsid w:val="2F003571"/>
    <w:rsid w:val="2F043A62"/>
    <w:rsid w:val="2F162DA5"/>
    <w:rsid w:val="2F193771"/>
    <w:rsid w:val="2F1C0496"/>
    <w:rsid w:val="2F1D00E9"/>
    <w:rsid w:val="2F263A93"/>
    <w:rsid w:val="2F2C75C9"/>
    <w:rsid w:val="2F325019"/>
    <w:rsid w:val="2F4B42E5"/>
    <w:rsid w:val="2F591A07"/>
    <w:rsid w:val="2F6E32D2"/>
    <w:rsid w:val="2F852F3A"/>
    <w:rsid w:val="2F930BCC"/>
    <w:rsid w:val="2F96155F"/>
    <w:rsid w:val="2F983A99"/>
    <w:rsid w:val="2F9D26F4"/>
    <w:rsid w:val="2FC10916"/>
    <w:rsid w:val="2FD265A1"/>
    <w:rsid w:val="2FE62F83"/>
    <w:rsid w:val="2FF74145"/>
    <w:rsid w:val="3021372E"/>
    <w:rsid w:val="302341E8"/>
    <w:rsid w:val="3027226B"/>
    <w:rsid w:val="30283CC0"/>
    <w:rsid w:val="302C3E4D"/>
    <w:rsid w:val="303B1B3F"/>
    <w:rsid w:val="307146A6"/>
    <w:rsid w:val="307723F4"/>
    <w:rsid w:val="307C76B3"/>
    <w:rsid w:val="30870C3D"/>
    <w:rsid w:val="308946BB"/>
    <w:rsid w:val="308B1FDA"/>
    <w:rsid w:val="309F21DE"/>
    <w:rsid w:val="30AA0ADA"/>
    <w:rsid w:val="30B010CF"/>
    <w:rsid w:val="30C87931"/>
    <w:rsid w:val="30D84C8B"/>
    <w:rsid w:val="30DE3F04"/>
    <w:rsid w:val="30E51CBC"/>
    <w:rsid w:val="30E978B6"/>
    <w:rsid w:val="30FE5BAB"/>
    <w:rsid w:val="310725C5"/>
    <w:rsid w:val="310D52DB"/>
    <w:rsid w:val="312908A7"/>
    <w:rsid w:val="31291D38"/>
    <w:rsid w:val="312E33A8"/>
    <w:rsid w:val="31300CCE"/>
    <w:rsid w:val="314136B9"/>
    <w:rsid w:val="31453B49"/>
    <w:rsid w:val="31485027"/>
    <w:rsid w:val="314C6948"/>
    <w:rsid w:val="314D01A9"/>
    <w:rsid w:val="314E0216"/>
    <w:rsid w:val="314E2DB5"/>
    <w:rsid w:val="315A0B61"/>
    <w:rsid w:val="315A7F00"/>
    <w:rsid w:val="315D775E"/>
    <w:rsid w:val="31836309"/>
    <w:rsid w:val="318670F4"/>
    <w:rsid w:val="318C70BD"/>
    <w:rsid w:val="318D3D8B"/>
    <w:rsid w:val="319C4381"/>
    <w:rsid w:val="31C00C6C"/>
    <w:rsid w:val="31C0635A"/>
    <w:rsid w:val="31CC6885"/>
    <w:rsid w:val="31EE26D0"/>
    <w:rsid w:val="31F562DD"/>
    <w:rsid w:val="32000E44"/>
    <w:rsid w:val="320263E5"/>
    <w:rsid w:val="32183DD1"/>
    <w:rsid w:val="321A706F"/>
    <w:rsid w:val="32223677"/>
    <w:rsid w:val="322C388A"/>
    <w:rsid w:val="323E60FC"/>
    <w:rsid w:val="32417277"/>
    <w:rsid w:val="324319FF"/>
    <w:rsid w:val="324C5D01"/>
    <w:rsid w:val="32505506"/>
    <w:rsid w:val="325300C5"/>
    <w:rsid w:val="325C3CF0"/>
    <w:rsid w:val="326243B1"/>
    <w:rsid w:val="3273528B"/>
    <w:rsid w:val="32837BE8"/>
    <w:rsid w:val="32854795"/>
    <w:rsid w:val="328677CB"/>
    <w:rsid w:val="32872062"/>
    <w:rsid w:val="329B64B2"/>
    <w:rsid w:val="32AB5F15"/>
    <w:rsid w:val="32AF10B5"/>
    <w:rsid w:val="32B44F24"/>
    <w:rsid w:val="32B91147"/>
    <w:rsid w:val="32BE56A3"/>
    <w:rsid w:val="32DD431E"/>
    <w:rsid w:val="32E228EB"/>
    <w:rsid w:val="330028B4"/>
    <w:rsid w:val="3300380A"/>
    <w:rsid w:val="330547A2"/>
    <w:rsid w:val="331315A0"/>
    <w:rsid w:val="333A7CA6"/>
    <w:rsid w:val="333B4B38"/>
    <w:rsid w:val="333F0C18"/>
    <w:rsid w:val="33400C80"/>
    <w:rsid w:val="3344381F"/>
    <w:rsid w:val="33451C3D"/>
    <w:rsid w:val="334D6E8F"/>
    <w:rsid w:val="335541C4"/>
    <w:rsid w:val="33735C5F"/>
    <w:rsid w:val="3390201E"/>
    <w:rsid w:val="339B7E99"/>
    <w:rsid w:val="33CA63EE"/>
    <w:rsid w:val="33D85029"/>
    <w:rsid w:val="33D90895"/>
    <w:rsid w:val="33E17568"/>
    <w:rsid w:val="33E8572E"/>
    <w:rsid w:val="33ED121E"/>
    <w:rsid w:val="34030A42"/>
    <w:rsid w:val="342F3333"/>
    <w:rsid w:val="343155AF"/>
    <w:rsid w:val="34365C16"/>
    <w:rsid w:val="34427CA8"/>
    <w:rsid w:val="3445160F"/>
    <w:rsid w:val="344A3A70"/>
    <w:rsid w:val="34666656"/>
    <w:rsid w:val="347B3C36"/>
    <w:rsid w:val="348F0ED2"/>
    <w:rsid w:val="34941B7A"/>
    <w:rsid w:val="34CE0E6D"/>
    <w:rsid w:val="34D22F15"/>
    <w:rsid w:val="34F91C74"/>
    <w:rsid w:val="34FD6252"/>
    <w:rsid w:val="35057C4C"/>
    <w:rsid w:val="350E5686"/>
    <w:rsid w:val="351306A1"/>
    <w:rsid w:val="35134F5F"/>
    <w:rsid w:val="3515793F"/>
    <w:rsid w:val="35192E2F"/>
    <w:rsid w:val="35220556"/>
    <w:rsid w:val="354C1AD7"/>
    <w:rsid w:val="355405EB"/>
    <w:rsid w:val="356062F2"/>
    <w:rsid w:val="35625A1A"/>
    <w:rsid w:val="35657F42"/>
    <w:rsid w:val="35747E49"/>
    <w:rsid w:val="3576638E"/>
    <w:rsid w:val="357E5FB3"/>
    <w:rsid w:val="358E7673"/>
    <w:rsid w:val="359335DA"/>
    <w:rsid w:val="359A27A7"/>
    <w:rsid w:val="359E0201"/>
    <w:rsid w:val="35AA6D17"/>
    <w:rsid w:val="35B53AAE"/>
    <w:rsid w:val="35C03F28"/>
    <w:rsid w:val="35CF79EC"/>
    <w:rsid w:val="35D22DC1"/>
    <w:rsid w:val="35D7418B"/>
    <w:rsid w:val="35ED589A"/>
    <w:rsid w:val="35F00265"/>
    <w:rsid w:val="35F17A11"/>
    <w:rsid w:val="35FF57BF"/>
    <w:rsid w:val="35FF5E3F"/>
    <w:rsid w:val="3607327B"/>
    <w:rsid w:val="3607499B"/>
    <w:rsid w:val="36310A2C"/>
    <w:rsid w:val="36320C55"/>
    <w:rsid w:val="363475D8"/>
    <w:rsid w:val="36362BA5"/>
    <w:rsid w:val="36564702"/>
    <w:rsid w:val="366432FD"/>
    <w:rsid w:val="366A5E32"/>
    <w:rsid w:val="36704843"/>
    <w:rsid w:val="36743E79"/>
    <w:rsid w:val="36811D5C"/>
    <w:rsid w:val="36982092"/>
    <w:rsid w:val="369E6D4F"/>
    <w:rsid w:val="36A84976"/>
    <w:rsid w:val="36A909BC"/>
    <w:rsid w:val="36B04063"/>
    <w:rsid w:val="36B74B2C"/>
    <w:rsid w:val="36C22A0B"/>
    <w:rsid w:val="36CF2D96"/>
    <w:rsid w:val="36D4146F"/>
    <w:rsid w:val="36D84407"/>
    <w:rsid w:val="36F27778"/>
    <w:rsid w:val="371B60A2"/>
    <w:rsid w:val="3733358A"/>
    <w:rsid w:val="373A702F"/>
    <w:rsid w:val="37405EA9"/>
    <w:rsid w:val="374B6987"/>
    <w:rsid w:val="374E7DB8"/>
    <w:rsid w:val="3758311D"/>
    <w:rsid w:val="3770061D"/>
    <w:rsid w:val="377C37E4"/>
    <w:rsid w:val="378455B2"/>
    <w:rsid w:val="37867026"/>
    <w:rsid w:val="37945A4A"/>
    <w:rsid w:val="37B15C40"/>
    <w:rsid w:val="37C804F1"/>
    <w:rsid w:val="37D06CF3"/>
    <w:rsid w:val="37D86DFD"/>
    <w:rsid w:val="37D911DA"/>
    <w:rsid w:val="37E6170D"/>
    <w:rsid w:val="37E941CA"/>
    <w:rsid w:val="37EA0B92"/>
    <w:rsid w:val="37EB677C"/>
    <w:rsid w:val="37F56C3F"/>
    <w:rsid w:val="38000F3B"/>
    <w:rsid w:val="38035D82"/>
    <w:rsid w:val="38073B0A"/>
    <w:rsid w:val="38115241"/>
    <w:rsid w:val="381D40A8"/>
    <w:rsid w:val="38251AE0"/>
    <w:rsid w:val="38294EE4"/>
    <w:rsid w:val="38314B44"/>
    <w:rsid w:val="3843431D"/>
    <w:rsid w:val="38542997"/>
    <w:rsid w:val="38590E88"/>
    <w:rsid w:val="385A7703"/>
    <w:rsid w:val="386B0BE3"/>
    <w:rsid w:val="386D2197"/>
    <w:rsid w:val="387B4C59"/>
    <w:rsid w:val="388B5C79"/>
    <w:rsid w:val="389C2EF7"/>
    <w:rsid w:val="38A32F38"/>
    <w:rsid w:val="38C16E5A"/>
    <w:rsid w:val="38D30685"/>
    <w:rsid w:val="38D952CB"/>
    <w:rsid w:val="38DB262E"/>
    <w:rsid w:val="38E41266"/>
    <w:rsid w:val="38F512A1"/>
    <w:rsid w:val="38FD6CF2"/>
    <w:rsid w:val="392D70B2"/>
    <w:rsid w:val="39347590"/>
    <w:rsid w:val="39350A63"/>
    <w:rsid w:val="3944128E"/>
    <w:rsid w:val="3951224F"/>
    <w:rsid w:val="396A638B"/>
    <w:rsid w:val="39704F68"/>
    <w:rsid w:val="39742AED"/>
    <w:rsid w:val="397D123A"/>
    <w:rsid w:val="398120AD"/>
    <w:rsid w:val="39892581"/>
    <w:rsid w:val="399F341B"/>
    <w:rsid w:val="39B62DA4"/>
    <w:rsid w:val="39D42485"/>
    <w:rsid w:val="39D66075"/>
    <w:rsid w:val="39FC5494"/>
    <w:rsid w:val="3A186794"/>
    <w:rsid w:val="3A241712"/>
    <w:rsid w:val="3A2F1D5B"/>
    <w:rsid w:val="3A335AD6"/>
    <w:rsid w:val="3A3B14D2"/>
    <w:rsid w:val="3A4B2EB6"/>
    <w:rsid w:val="3A517046"/>
    <w:rsid w:val="3A544464"/>
    <w:rsid w:val="3A566993"/>
    <w:rsid w:val="3A861189"/>
    <w:rsid w:val="3A861764"/>
    <w:rsid w:val="3AA47E37"/>
    <w:rsid w:val="3AB1708F"/>
    <w:rsid w:val="3ABA5471"/>
    <w:rsid w:val="3ACB111F"/>
    <w:rsid w:val="3AE65BF2"/>
    <w:rsid w:val="3AE91207"/>
    <w:rsid w:val="3AF11072"/>
    <w:rsid w:val="3AFA4AA4"/>
    <w:rsid w:val="3B026AD2"/>
    <w:rsid w:val="3B120598"/>
    <w:rsid w:val="3B1C7CB7"/>
    <w:rsid w:val="3B2C3EC3"/>
    <w:rsid w:val="3B314144"/>
    <w:rsid w:val="3B397E7D"/>
    <w:rsid w:val="3B4D34BE"/>
    <w:rsid w:val="3B911428"/>
    <w:rsid w:val="3B965628"/>
    <w:rsid w:val="3B9C3C56"/>
    <w:rsid w:val="3B9E3AFD"/>
    <w:rsid w:val="3BB73492"/>
    <w:rsid w:val="3BC66ED2"/>
    <w:rsid w:val="3BD976B0"/>
    <w:rsid w:val="3BEF05F8"/>
    <w:rsid w:val="3BF76E5D"/>
    <w:rsid w:val="3C0F3ECD"/>
    <w:rsid w:val="3C1E58C2"/>
    <w:rsid w:val="3C327536"/>
    <w:rsid w:val="3C3B1EDE"/>
    <w:rsid w:val="3C4530A7"/>
    <w:rsid w:val="3C6010AA"/>
    <w:rsid w:val="3C623FEE"/>
    <w:rsid w:val="3C6E4480"/>
    <w:rsid w:val="3C70661E"/>
    <w:rsid w:val="3C7C3823"/>
    <w:rsid w:val="3C9315B5"/>
    <w:rsid w:val="3C9C4110"/>
    <w:rsid w:val="3CAF297D"/>
    <w:rsid w:val="3CBA010B"/>
    <w:rsid w:val="3CBD1455"/>
    <w:rsid w:val="3CBF2875"/>
    <w:rsid w:val="3CC33F37"/>
    <w:rsid w:val="3CC43705"/>
    <w:rsid w:val="3CC83D29"/>
    <w:rsid w:val="3CCB3422"/>
    <w:rsid w:val="3CDD3E7E"/>
    <w:rsid w:val="3CEC18EA"/>
    <w:rsid w:val="3D0157AC"/>
    <w:rsid w:val="3D1C6350"/>
    <w:rsid w:val="3D267003"/>
    <w:rsid w:val="3D4079F3"/>
    <w:rsid w:val="3D5230AF"/>
    <w:rsid w:val="3D536DE2"/>
    <w:rsid w:val="3D633473"/>
    <w:rsid w:val="3D672041"/>
    <w:rsid w:val="3D954689"/>
    <w:rsid w:val="3D9E2E9A"/>
    <w:rsid w:val="3DAB22CE"/>
    <w:rsid w:val="3DC470E9"/>
    <w:rsid w:val="3DF54CC2"/>
    <w:rsid w:val="3E146C9E"/>
    <w:rsid w:val="3E1A1A70"/>
    <w:rsid w:val="3E1F1CEC"/>
    <w:rsid w:val="3E222A4E"/>
    <w:rsid w:val="3E222C3C"/>
    <w:rsid w:val="3E2C19E3"/>
    <w:rsid w:val="3E31498A"/>
    <w:rsid w:val="3E370243"/>
    <w:rsid w:val="3E3D7061"/>
    <w:rsid w:val="3E560B08"/>
    <w:rsid w:val="3E663D34"/>
    <w:rsid w:val="3E69430B"/>
    <w:rsid w:val="3E7260D3"/>
    <w:rsid w:val="3E8C382C"/>
    <w:rsid w:val="3E9955D1"/>
    <w:rsid w:val="3EAF3384"/>
    <w:rsid w:val="3EB35C3D"/>
    <w:rsid w:val="3EBA599D"/>
    <w:rsid w:val="3EC23DD4"/>
    <w:rsid w:val="3ECB086E"/>
    <w:rsid w:val="3ED526CA"/>
    <w:rsid w:val="3EDA34E6"/>
    <w:rsid w:val="3EE14798"/>
    <w:rsid w:val="3EE649BC"/>
    <w:rsid w:val="3EE93CCF"/>
    <w:rsid w:val="3EEA6DAF"/>
    <w:rsid w:val="3EF40A4F"/>
    <w:rsid w:val="3EFF3803"/>
    <w:rsid w:val="3F0102AB"/>
    <w:rsid w:val="3F0C5AB0"/>
    <w:rsid w:val="3F170E35"/>
    <w:rsid w:val="3F1F7980"/>
    <w:rsid w:val="3F364C7A"/>
    <w:rsid w:val="3F3A74FA"/>
    <w:rsid w:val="3F3C717A"/>
    <w:rsid w:val="3F3D4BFA"/>
    <w:rsid w:val="3F6430ED"/>
    <w:rsid w:val="3F8123D7"/>
    <w:rsid w:val="3F9F6D2E"/>
    <w:rsid w:val="3FA82316"/>
    <w:rsid w:val="3FD0087C"/>
    <w:rsid w:val="3FD534EF"/>
    <w:rsid w:val="3FD56F66"/>
    <w:rsid w:val="3FDE42CB"/>
    <w:rsid w:val="3FF273F8"/>
    <w:rsid w:val="3FFE7FAF"/>
    <w:rsid w:val="400500D8"/>
    <w:rsid w:val="4016745F"/>
    <w:rsid w:val="402770B7"/>
    <w:rsid w:val="402F5207"/>
    <w:rsid w:val="40421FD9"/>
    <w:rsid w:val="404F460B"/>
    <w:rsid w:val="406E35F0"/>
    <w:rsid w:val="406E3AE7"/>
    <w:rsid w:val="40781C52"/>
    <w:rsid w:val="409175C0"/>
    <w:rsid w:val="40961583"/>
    <w:rsid w:val="409E7745"/>
    <w:rsid w:val="40A95BF3"/>
    <w:rsid w:val="40AF67FD"/>
    <w:rsid w:val="40B61D3A"/>
    <w:rsid w:val="40B713FC"/>
    <w:rsid w:val="40BA1F7A"/>
    <w:rsid w:val="40C03017"/>
    <w:rsid w:val="40CA1BA9"/>
    <w:rsid w:val="40CC484A"/>
    <w:rsid w:val="40CE3F3B"/>
    <w:rsid w:val="40D61845"/>
    <w:rsid w:val="40D66580"/>
    <w:rsid w:val="40E631DD"/>
    <w:rsid w:val="40ED46CF"/>
    <w:rsid w:val="40F20E68"/>
    <w:rsid w:val="40F656B2"/>
    <w:rsid w:val="411504E3"/>
    <w:rsid w:val="411506BC"/>
    <w:rsid w:val="411922E4"/>
    <w:rsid w:val="413A0E85"/>
    <w:rsid w:val="413B196B"/>
    <w:rsid w:val="41693468"/>
    <w:rsid w:val="416C2F7C"/>
    <w:rsid w:val="416C6648"/>
    <w:rsid w:val="418D2CAD"/>
    <w:rsid w:val="419D7A92"/>
    <w:rsid w:val="41A67A03"/>
    <w:rsid w:val="41C31FB7"/>
    <w:rsid w:val="41CF2009"/>
    <w:rsid w:val="41D8768C"/>
    <w:rsid w:val="41DD7331"/>
    <w:rsid w:val="41E9396D"/>
    <w:rsid w:val="41F66C3B"/>
    <w:rsid w:val="42004EC8"/>
    <w:rsid w:val="420800F8"/>
    <w:rsid w:val="422E5207"/>
    <w:rsid w:val="423768C2"/>
    <w:rsid w:val="42377BDF"/>
    <w:rsid w:val="427629E2"/>
    <w:rsid w:val="42853128"/>
    <w:rsid w:val="42A9027C"/>
    <w:rsid w:val="42B76B54"/>
    <w:rsid w:val="42BE73A5"/>
    <w:rsid w:val="42C02BCE"/>
    <w:rsid w:val="42C076F5"/>
    <w:rsid w:val="42C56B7F"/>
    <w:rsid w:val="42D812EB"/>
    <w:rsid w:val="42DA5AB1"/>
    <w:rsid w:val="42E54B41"/>
    <w:rsid w:val="42FE2539"/>
    <w:rsid w:val="43047F9B"/>
    <w:rsid w:val="43370120"/>
    <w:rsid w:val="434055F7"/>
    <w:rsid w:val="43573DB4"/>
    <w:rsid w:val="435E270E"/>
    <w:rsid w:val="43600854"/>
    <w:rsid w:val="436D590B"/>
    <w:rsid w:val="4384396B"/>
    <w:rsid w:val="438C1CEB"/>
    <w:rsid w:val="439E402E"/>
    <w:rsid w:val="439E5752"/>
    <w:rsid w:val="43C12E66"/>
    <w:rsid w:val="43DF0C71"/>
    <w:rsid w:val="43E178D4"/>
    <w:rsid w:val="43E41A1B"/>
    <w:rsid w:val="43F35365"/>
    <w:rsid w:val="43FB68B9"/>
    <w:rsid w:val="44055324"/>
    <w:rsid w:val="440F1AC2"/>
    <w:rsid w:val="442005A4"/>
    <w:rsid w:val="443051B0"/>
    <w:rsid w:val="44320A6D"/>
    <w:rsid w:val="443C5AFD"/>
    <w:rsid w:val="444E22A8"/>
    <w:rsid w:val="444F676E"/>
    <w:rsid w:val="44542E17"/>
    <w:rsid w:val="4486397E"/>
    <w:rsid w:val="448B0B26"/>
    <w:rsid w:val="4494246D"/>
    <w:rsid w:val="44961896"/>
    <w:rsid w:val="449F553B"/>
    <w:rsid w:val="44B434D0"/>
    <w:rsid w:val="44B505D7"/>
    <w:rsid w:val="44B724D0"/>
    <w:rsid w:val="44D36AEF"/>
    <w:rsid w:val="44D83EFF"/>
    <w:rsid w:val="44DA71EE"/>
    <w:rsid w:val="44F06C04"/>
    <w:rsid w:val="450D690B"/>
    <w:rsid w:val="450F1653"/>
    <w:rsid w:val="451812E6"/>
    <w:rsid w:val="452C38FC"/>
    <w:rsid w:val="455C7E8C"/>
    <w:rsid w:val="457058F5"/>
    <w:rsid w:val="457A72C5"/>
    <w:rsid w:val="4584138D"/>
    <w:rsid w:val="458469EB"/>
    <w:rsid w:val="45A167FA"/>
    <w:rsid w:val="45A576F9"/>
    <w:rsid w:val="45AC5F07"/>
    <w:rsid w:val="45B2487E"/>
    <w:rsid w:val="45B74BF9"/>
    <w:rsid w:val="45DA74AC"/>
    <w:rsid w:val="45E56EFD"/>
    <w:rsid w:val="46246180"/>
    <w:rsid w:val="463041C5"/>
    <w:rsid w:val="4635038D"/>
    <w:rsid w:val="46417CCD"/>
    <w:rsid w:val="46546EBA"/>
    <w:rsid w:val="467528A2"/>
    <w:rsid w:val="467D1DDE"/>
    <w:rsid w:val="468B5DAA"/>
    <w:rsid w:val="468E607B"/>
    <w:rsid w:val="46A0008C"/>
    <w:rsid w:val="46A30104"/>
    <w:rsid w:val="46AA68D4"/>
    <w:rsid w:val="46B2799E"/>
    <w:rsid w:val="46B606C3"/>
    <w:rsid w:val="46BA7686"/>
    <w:rsid w:val="46BC6688"/>
    <w:rsid w:val="46BC68D1"/>
    <w:rsid w:val="46C43BD8"/>
    <w:rsid w:val="46D23EFB"/>
    <w:rsid w:val="46D3115A"/>
    <w:rsid w:val="46DD5D67"/>
    <w:rsid w:val="46E1781B"/>
    <w:rsid w:val="46EB1BB6"/>
    <w:rsid w:val="46FA2EAA"/>
    <w:rsid w:val="46FC0B29"/>
    <w:rsid w:val="470D04F6"/>
    <w:rsid w:val="4726228A"/>
    <w:rsid w:val="472911C4"/>
    <w:rsid w:val="47320639"/>
    <w:rsid w:val="47447E63"/>
    <w:rsid w:val="47486A36"/>
    <w:rsid w:val="47726779"/>
    <w:rsid w:val="47732C75"/>
    <w:rsid w:val="47797FE9"/>
    <w:rsid w:val="478E31C1"/>
    <w:rsid w:val="479322FA"/>
    <w:rsid w:val="47AC5E21"/>
    <w:rsid w:val="47B831CA"/>
    <w:rsid w:val="47B92178"/>
    <w:rsid w:val="47CE427E"/>
    <w:rsid w:val="47D2561B"/>
    <w:rsid w:val="47D64C33"/>
    <w:rsid w:val="47E95351"/>
    <w:rsid w:val="47F2366B"/>
    <w:rsid w:val="47FA656A"/>
    <w:rsid w:val="48116D16"/>
    <w:rsid w:val="48270E43"/>
    <w:rsid w:val="483900F5"/>
    <w:rsid w:val="48487479"/>
    <w:rsid w:val="484D59FE"/>
    <w:rsid w:val="48515951"/>
    <w:rsid w:val="48635481"/>
    <w:rsid w:val="487249F7"/>
    <w:rsid w:val="487C519E"/>
    <w:rsid w:val="489F7DE8"/>
    <w:rsid w:val="48A14936"/>
    <w:rsid w:val="48A34E45"/>
    <w:rsid w:val="48AC2FFE"/>
    <w:rsid w:val="48AE1B17"/>
    <w:rsid w:val="48DE4CC3"/>
    <w:rsid w:val="48EF41E9"/>
    <w:rsid w:val="48F47BD3"/>
    <w:rsid w:val="48F56861"/>
    <w:rsid w:val="49015E19"/>
    <w:rsid w:val="49017040"/>
    <w:rsid w:val="49127C44"/>
    <w:rsid w:val="491A1AAF"/>
    <w:rsid w:val="491D43DC"/>
    <w:rsid w:val="49753D38"/>
    <w:rsid w:val="498E1A9B"/>
    <w:rsid w:val="49984051"/>
    <w:rsid w:val="499D6A06"/>
    <w:rsid w:val="49A54762"/>
    <w:rsid w:val="49A75881"/>
    <w:rsid w:val="49BF6B71"/>
    <w:rsid w:val="49D45C6E"/>
    <w:rsid w:val="49D854B6"/>
    <w:rsid w:val="49EB0F4D"/>
    <w:rsid w:val="4A05703B"/>
    <w:rsid w:val="4A1A0686"/>
    <w:rsid w:val="4A376221"/>
    <w:rsid w:val="4A4C164D"/>
    <w:rsid w:val="4A736944"/>
    <w:rsid w:val="4AA91743"/>
    <w:rsid w:val="4ABC21D5"/>
    <w:rsid w:val="4ABE5B3A"/>
    <w:rsid w:val="4ACD6B89"/>
    <w:rsid w:val="4AED787D"/>
    <w:rsid w:val="4AF61A0C"/>
    <w:rsid w:val="4AFC45FD"/>
    <w:rsid w:val="4AFF3012"/>
    <w:rsid w:val="4AFF7970"/>
    <w:rsid w:val="4B247955"/>
    <w:rsid w:val="4B260C1D"/>
    <w:rsid w:val="4B272DC4"/>
    <w:rsid w:val="4B360988"/>
    <w:rsid w:val="4B3800E9"/>
    <w:rsid w:val="4B3E6730"/>
    <w:rsid w:val="4B4C5FFD"/>
    <w:rsid w:val="4B5A08EA"/>
    <w:rsid w:val="4B681825"/>
    <w:rsid w:val="4B7A328D"/>
    <w:rsid w:val="4B7D6ED4"/>
    <w:rsid w:val="4B82481F"/>
    <w:rsid w:val="4B9B74CA"/>
    <w:rsid w:val="4BA44398"/>
    <w:rsid w:val="4BA73EAA"/>
    <w:rsid w:val="4BAD40BA"/>
    <w:rsid w:val="4BB55A99"/>
    <w:rsid w:val="4BB937F6"/>
    <w:rsid w:val="4BBC3012"/>
    <w:rsid w:val="4BC10391"/>
    <w:rsid w:val="4BC468C7"/>
    <w:rsid w:val="4BD148BC"/>
    <w:rsid w:val="4BD74E03"/>
    <w:rsid w:val="4BD87EA2"/>
    <w:rsid w:val="4BDE19D8"/>
    <w:rsid w:val="4BF53AB2"/>
    <w:rsid w:val="4C114435"/>
    <w:rsid w:val="4C267B77"/>
    <w:rsid w:val="4C2A0202"/>
    <w:rsid w:val="4C3239AB"/>
    <w:rsid w:val="4C3A1B0F"/>
    <w:rsid w:val="4C3E1A46"/>
    <w:rsid w:val="4C482B96"/>
    <w:rsid w:val="4C4F7043"/>
    <w:rsid w:val="4C5F3227"/>
    <w:rsid w:val="4C68724A"/>
    <w:rsid w:val="4C7A146E"/>
    <w:rsid w:val="4C93693B"/>
    <w:rsid w:val="4CB454C2"/>
    <w:rsid w:val="4CC07657"/>
    <w:rsid w:val="4CD463A8"/>
    <w:rsid w:val="4CD636E1"/>
    <w:rsid w:val="4CDD248F"/>
    <w:rsid w:val="4CEE138A"/>
    <w:rsid w:val="4CFF4B8B"/>
    <w:rsid w:val="4D111C06"/>
    <w:rsid w:val="4D153518"/>
    <w:rsid w:val="4D18397E"/>
    <w:rsid w:val="4D361EB0"/>
    <w:rsid w:val="4D596507"/>
    <w:rsid w:val="4D6C40DA"/>
    <w:rsid w:val="4D781F53"/>
    <w:rsid w:val="4D7B7458"/>
    <w:rsid w:val="4D9134FB"/>
    <w:rsid w:val="4D977380"/>
    <w:rsid w:val="4DA47562"/>
    <w:rsid w:val="4DAD0B7D"/>
    <w:rsid w:val="4DB86B1C"/>
    <w:rsid w:val="4DD55B2C"/>
    <w:rsid w:val="4DD916DA"/>
    <w:rsid w:val="4DE3370C"/>
    <w:rsid w:val="4DFD1CC9"/>
    <w:rsid w:val="4E0055B4"/>
    <w:rsid w:val="4E035C14"/>
    <w:rsid w:val="4E0F7D9B"/>
    <w:rsid w:val="4E11080A"/>
    <w:rsid w:val="4E165397"/>
    <w:rsid w:val="4E1A07AF"/>
    <w:rsid w:val="4E34103A"/>
    <w:rsid w:val="4E346080"/>
    <w:rsid w:val="4E355EB9"/>
    <w:rsid w:val="4E36569A"/>
    <w:rsid w:val="4E4156AA"/>
    <w:rsid w:val="4E69157D"/>
    <w:rsid w:val="4E6A3E8A"/>
    <w:rsid w:val="4E6D5613"/>
    <w:rsid w:val="4E857374"/>
    <w:rsid w:val="4E8E528D"/>
    <w:rsid w:val="4E8E6798"/>
    <w:rsid w:val="4E8F13F8"/>
    <w:rsid w:val="4E950099"/>
    <w:rsid w:val="4E9D70DC"/>
    <w:rsid w:val="4EAB761B"/>
    <w:rsid w:val="4EC13CB8"/>
    <w:rsid w:val="4EE12A17"/>
    <w:rsid w:val="4F023276"/>
    <w:rsid w:val="4F065E54"/>
    <w:rsid w:val="4F0C76C4"/>
    <w:rsid w:val="4F2047C1"/>
    <w:rsid w:val="4F45018B"/>
    <w:rsid w:val="4F5265C5"/>
    <w:rsid w:val="4F6C24BD"/>
    <w:rsid w:val="4F7D603F"/>
    <w:rsid w:val="4F8627FB"/>
    <w:rsid w:val="4FAA5B08"/>
    <w:rsid w:val="4FC52E7C"/>
    <w:rsid w:val="4FCF416D"/>
    <w:rsid w:val="4FD23C6E"/>
    <w:rsid w:val="4FD74DA7"/>
    <w:rsid w:val="4FDC3B1B"/>
    <w:rsid w:val="4FE538EE"/>
    <w:rsid w:val="4FEC7766"/>
    <w:rsid w:val="4FFB60DD"/>
    <w:rsid w:val="4FFF0121"/>
    <w:rsid w:val="50005D14"/>
    <w:rsid w:val="50111BC2"/>
    <w:rsid w:val="50194255"/>
    <w:rsid w:val="503241CC"/>
    <w:rsid w:val="503A2686"/>
    <w:rsid w:val="50437846"/>
    <w:rsid w:val="50723F4B"/>
    <w:rsid w:val="50727272"/>
    <w:rsid w:val="50774934"/>
    <w:rsid w:val="50815758"/>
    <w:rsid w:val="509B3E9C"/>
    <w:rsid w:val="50B3372E"/>
    <w:rsid w:val="50BF13AF"/>
    <w:rsid w:val="50C26E13"/>
    <w:rsid w:val="50C614C6"/>
    <w:rsid w:val="50D86F3A"/>
    <w:rsid w:val="50DB4DE1"/>
    <w:rsid w:val="50EB081B"/>
    <w:rsid w:val="50F330E0"/>
    <w:rsid w:val="51044BD4"/>
    <w:rsid w:val="51372737"/>
    <w:rsid w:val="51527456"/>
    <w:rsid w:val="5169182A"/>
    <w:rsid w:val="51715258"/>
    <w:rsid w:val="51801237"/>
    <w:rsid w:val="51892DE1"/>
    <w:rsid w:val="5192220E"/>
    <w:rsid w:val="519A039C"/>
    <w:rsid w:val="519C4D87"/>
    <w:rsid w:val="519F5DF6"/>
    <w:rsid w:val="51A3267D"/>
    <w:rsid w:val="51A54036"/>
    <w:rsid w:val="51A62F29"/>
    <w:rsid w:val="51B66D4E"/>
    <w:rsid w:val="51BE62B1"/>
    <w:rsid w:val="51D2251D"/>
    <w:rsid w:val="51E27B3E"/>
    <w:rsid w:val="51EC4BDD"/>
    <w:rsid w:val="51FE1764"/>
    <w:rsid w:val="521558E7"/>
    <w:rsid w:val="521A11ED"/>
    <w:rsid w:val="52287A6E"/>
    <w:rsid w:val="524248AB"/>
    <w:rsid w:val="524B01E7"/>
    <w:rsid w:val="524E378D"/>
    <w:rsid w:val="525F2D7B"/>
    <w:rsid w:val="52602064"/>
    <w:rsid w:val="52702F60"/>
    <w:rsid w:val="52713294"/>
    <w:rsid w:val="527E51CF"/>
    <w:rsid w:val="52A61F88"/>
    <w:rsid w:val="52AD5E2B"/>
    <w:rsid w:val="52B97A22"/>
    <w:rsid w:val="52CB76AD"/>
    <w:rsid w:val="52D32DA2"/>
    <w:rsid w:val="52FF0B9F"/>
    <w:rsid w:val="53024E02"/>
    <w:rsid w:val="53145947"/>
    <w:rsid w:val="531702B4"/>
    <w:rsid w:val="53273D9C"/>
    <w:rsid w:val="532D05E0"/>
    <w:rsid w:val="533B77B0"/>
    <w:rsid w:val="533F4536"/>
    <w:rsid w:val="53465A46"/>
    <w:rsid w:val="535213CD"/>
    <w:rsid w:val="53687C4C"/>
    <w:rsid w:val="537122FA"/>
    <w:rsid w:val="537D7930"/>
    <w:rsid w:val="53894B59"/>
    <w:rsid w:val="538B0112"/>
    <w:rsid w:val="538E725C"/>
    <w:rsid w:val="53982194"/>
    <w:rsid w:val="539B6065"/>
    <w:rsid w:val="53A079DF"/>
    <w:rsid w:val="53AB02C5"/>
    <w:rsid w:val="53B03AFF"/>
    <w:rsid w:val="53C76A09"/>
    <w:rsid w:val="53CC046C"/>
    <w:rsid w:val="53D96DBA"/>
    <w:rsid w:val="53E836DC"/>
    <w:rsid w:val="53FC08AC"/>
    <w:rsid w:val="53FE5903"/>
    <w:rsid w:val="54070B65"/>
    <w:rsid w:val="540C2229"/>
    <w:rsid w:val="540C5A02"/>
    <w:rsid w:val="541B6D92"/>
    <w:rsid w:val="542811FB"/>
    <w:rsid w:val="54356FA1"/>
    <w:rsid w:val="54413138"/>
    <w:rsid w:val="544979A1"/>
    <w:rsid w:val="544B56E0"/>
    <w:rsid w:val="544F4551"/>
    <w:rsid w:val="54622BB7"/>
    <w:rsid w:val="547A0B7B"/>
    <w:rsid w:val="54807052"/>
    <w:rsid w:val="54873C64"/>
    <w:rsid w:val="54A10984"/>
    <w:rsid w:val="54A33843"/>
    <w:rsid w:val="54AB746C"/>
    <w:rsid w:val="54BA7B0F"/>
    <w:rsid w:val="54BC0A6D"/>
    <w:rsid w:val="54C25D78"/>
    <w:rsid w:val="54C26B95"/>
    <w:rsid w:val="54CA4808"/>
    <w:rsid w:val="54CC0A10"/>
    <w:rsid w:val="54D45C2B"/>
    <w:rsid w:val="54D838DF"/>
    <w:rsid w:val="54DD25DA"/>
    <w:rsid w:val="54EE0758"/>
    <w:rsid w:val="54F21199"/>
    <w:rsid w:val="55156E6F"/>
    <w:rsid w:val="55287578"/>
    <w:rsid w:val="554028FD"/>
    <w:rsid w:val="554D43A8"/>
    <w:rsid w:val="55511911"/>
    <w:rsid w:val="55530036"/>
    <w:rsid w:val="55566B53"/>
    <w:rsid w:val="55573AD9"/>
    <w:rsid w:val="555D4ADC"/>
    <w:rsid w:val="55680229"/>
    <w:rsid w:val="55806349"/>
    <w:rsid w:val="55A2468A"/>
    <w:rsid w:val="55A75606"/>
    <w:rsid w:val="55AA1DCC"/>
    <w:rsid w:val="55B51E72"/>
    <w:rsid w:val="55B624AF"/>
    <w:rsid w:val="55B72317"/>
    <w:rsid w:val="55C45CA8"/>
    <w:rsid w:val="55C66002"/>
    <w:rsid w:val="55CA789D"/>
    <w:rsid w:val="55D03625"/>
    <w:rsid w:val="55DF6C3E"/>
    <w:rsid w:val="55EB6565"/>
    <w:rsid w:val="55FC7816"/>
    <w:rsid w:val="56102936"/>
    <w:rsid w:val="5611051F"/>
    <w:rsid w:val="56116E3C"/>
    <w:rsid w:val="5612208B"/>
    <w:rsid w:val="561712E9"/>
    <w:rsid w:val="561A4278"/>
    <w:rsid w:val="56200E67"/>
    <w:rsid w:val="562041FB"/>
    <w:rsid w:val="56283E29"/>
    <w:rsid w:val="562C7B75"/>
    <w:rsid w:val="563D19C8"/>
    <w:rsid w:val="56427B16"/>
    <w:rsid w:val="56537465"/>
    <w:rsid w:val="56545DE3"/>
    <w:rsid w:val="566078FF"/>
    <w:rsid w:val="56612AF2"/>
    <w:rsid w:val="566B62B3"/>
    <w:rsid w:val="56726CAF"/>
    <w:rsid w:val="56771F3A"/>
    <w:rsid w:val="56796D6B"/>
    <w:rsid w:val="567A1E21"/>
    <w:rsid w:val="568674F9"/>
    <w:rsid w:val="56A71EF5"/>
    <w:rsid w:val="56BD7703"/>
    <w:rsid w:val="56BD7FCA"/>
    <w:rsid w:val="56BE6947"/>
    <w:rsid w:val="56C026CD"/>
    <w:rsid w:val="56C05DCD"/>
    <w:rsid w:val="56C11469"/>
    <w:rsid w:val="56C804DB"/>
    <w:rsid w:val="56CE4A87"/>
    <w:rsid w:val="56E831A3"/>
    <w:rsid w:val="56F907B3"/>
    <w:rsid w:val="57032B1B"/>
    <w:rsid w:val="57057469"/>
    <w:rsid w:val="57066D19"/>
    <w:rsid w:val="570C4AE6"/>
    <w:rsid w:val="5712069D"/>
    <w:rsid w:val="57122D85"/>
    <w:rsid w:val="573356F2"/>
    <w:rsid w:val="57342DAE"/>
    <w:rsid w:val="57391BC7"/>
    <w:rsid w:val="573D72DC"/>
    <w:rsid w:val="573F3395"/>
    <w:rsid w:val="575829D6"/>
    <w:rsid w:val="57594CD9"/>
    <w:rsid w:val="57595ED2"/>
    <w:rsid w:val="576839E7"/>
    <w:rsid w:val="576D4221"/>
    <w:rsid w:val="57787FDD"/>
    <w:rsid w:val="57793ED6"/>
    <w:rsid w:val="577E726B"/>
    <w:rsid w:val="57852F40"/>
    <w:rsid w:val="57947046"/>
    <w:rsid w:val="57987DD4"/>
    <w:rsid w:val="579E657C"/>
    <w:rsid w:val="57A72A06"/>
    <w:rsid w:val="57B412F8"/>
    <w:rsid w:val="57C06D0F"/>
    <w:rsid w:val="57D367F9"/>
    <w:rsid w:val="57D46449"/>
    <w:rsid w:val="57E27CD4"/>
    <w:rsid w:val="58070714"/>
    <w:rsid w:val="580B1C9E"/>
    <w:rsid w:val="581B2CD4"/>
    <w:rsid w:val="581D1822"/>
    <w:rsid w:val="583B5543"/>
    <w:rsid w:val="584F64CE"/>
    <w:rsid w:val="58666E5B"/>
    <w:rsid w:val="588076B5"/>
    <w:rsid w:val="58896B4C"/>
    <w:rsid w:val="588B3186"/>
    <w:rsid w:val="58971450"/>
    <w:rsid w:val="589E630C"/>
    <w:rsid w:val="58B01932"/>
    <w:rsid w:val="58BB45FF"/>
    <w:rsid w:val="58C62B58"/>
    <w:rsid w:val="58D270F7"/>
    <w:rsid w:val="58FA1D89"/>
    <w:rsid w:val="58FB7B70"/>
    <w:rsid w:val="59481DDC"/>
    <w:rsid w:val="59482C48"/>
    <w:rsid w:val="59554FEC"/>
    <w:rsid w:val="596C35C7"/>
    <w:rsid w:val="597170AA"/>
    <w:rsid w:val="597474CE"/>
    <w:rsid w:val="597B287E"/>
    <w:rsid w:val="59836FF2"/>
    <w:rsid w:val="59960225"/>
    <w:rsid w:val="59A45C5B"/>
    <w:rsid w:val="59A76531"/>
    <w:rsid w:val="59BF6791"/>
    <w:rsid w:val="59D304F8"/>
    <w:rsid w:val="59F216EE"/>
    <w:rsid w:val="59F36784"/>
    <w:rsid w:val="59F915B9"/>
    <w:rsid w:val="5A146E4E"/>
    <w:rsid w:val="5A1D0200"/>
    <w:rsid w:val="5A207907"/>
    <w:rsid w:val="5A3E4763"/>
    <w:rsid w:val="5A494DD3"/>
    <w:rsid w:val="5A554C83"/>
    <w:rsid w:val="5A5B1F7C"/>
    <w:rsid w:val="5A5F6EFC"/>
    <w:rsid w:val="5A6900DB"/>
    <w:rsid w:val="5A9E76FC"/>
    <w:rsid w:val="5A9F65EB"/>
    <w:rsid w:val="5AAE487E"/>
    <w:rsid w:val="5AAE66A0"/>
    <w:rsid w:val="5ABC5E04"/>
    <w:rsid w:val="5AD40CC4"/>
    <w:rsid w:val="5B125C86"/>
    <w:rsid w:val="5B1E4B5D"/>
    <w:rsid w:val="5B20177C"/>
    <w:rsid w:val="5B2D1D8E"/>
    <w:rsid w:val="5B2D6DA9"/>
    <w:rsid w:val="5B407334"/>
    <w:rsid w:val="5B431227"/>
    <w:rsid w:val="5B8C7005"/>
    <w:rsid w:val="5BAF0BE9"/>
    <w:rsid w:val="5BB04CB0"/>
    <w:rsid w:val="5BB1235F"/>
    <w:rsid w:val="5BB6420F"/>
    <w:rsid w:val="5BC86E46"/>
    <w:rsid w:val="5BC933E8"/>
    <w:rsid w:val="5BDE751B"/>
    <w:rsid w:val="5BE82AB0"/>
    <w:rsid w:val="5BEF1961"/>
    <w:rsid w:val="5BF84B2A"/>
    <w:rsid w:val="5C012825"/>
    <w:rsid w:val="5C182F1B"/>
    <w:rsid w:val="5C26561D"/>
    <w:rsid w:val="5C496A4B"/>
    <w:rsid w:val="5C5B2435"/>
    <w:rsid w:val="5C611080"/>
    <w:rsid w:val="5C6E40D8"/>
    <w:rsid w:val="5C7A0526"/>
    <w:rsid w:val="5C7E1928"/>
    <w:rsid w:val="5C813EAD"/>
    <w:rsid w:val="5C8231F7"/>
    <w:rsid w:val="5C8D30BC"/>
    <w:rsid w:val="5CA5105D"/>
    <w:rsid w:val="5CA76EEA"/>
    <w:rsid w:val="5CB15402"/>
    <w:rsid w:val="5CB85B41"/>
    <w:rsid w:val="5CB9171F"/>
    <w:rsid w:val="5CB93BD0"/>
    <w:rsid w:val="5CC1464D"/>
    <w:rsid w:val="5CD449C8"/>
    <w:rsid w:val="5CD77F8F"/>
    <w:rsid w:val="5CE662A8"/>
    <w:rsid w:val="5CE92FAC"/>
    <w:rsid w:val="5CEA770B"/>
    <w:rsid w:val="5CEC7D56"/>
    <w:rsid w:val="5CF13AF2"/>
    <w:rsid w:val="5CFE757D"/>
    <w:rsid w:val="5D024229"/>
    <w:rsid w:val="5D04533B"/>
    <w:rsid w:val="5D0E25F0"/>
    <w:rsid w:val="5D45447F"/>
    <w:rsid w:val="5D46737C"/>
    <w:rsid w:val="5D6D7849"/>
    <w:rsid w:val="5D7138F5"/>
    <w:rsid w:val="5D780581"/>
    <w:rsid w:val="5D7B500F"/>
    <w:rsid w:val="5DA65615"/>
    <w:rsid w:val="5DB87DA1"/>
    <w:rsid w:val="5DC13A63"/>
    <w:rsid w:val="5DC42414"/>
    <w:rsid w:val="5DC56ADF"/>
    <w:rsid w:val="5DC81582"/>
    <w:rsid w:val="5DCE4B75"/>
    <w:rsid w:val="5DD96FB6"/>
    <w:rsid w:val="5DDC43B5"/>
    <w:rsid w:val="5DEF2531"/>
    <w:rsid w:val="5DF016D2"/>
    <w:rsid w:val="5DF26889"/>
    <w:rsid w:val="5E04630A"/>
    <w:rsid w:val="5E194A1C"/>
    <w:rsid w:val="5E3331ED"/>
    <w:rsid w:val="5E475E47"/>
    <w:rsid w:val="5E495096"/>
    <w:rsid w:val="5E4A09B6"/>
    <w:rsid w:val="5E61498E"/>
    <w:rsid w:val="5E637AE5"/>
    <w:rsid w:val="5E67215A"/>
    <w:rsid w:val="5E771F38"/>
    <w:rsid w:val="5E7B7E06"/>
    <w:rsid w:val="5E7C1305"/>
    <w:rsid w:val="5EA34F20"/>
    <w:rsid w:val="5EA5530B"/>
    <w:rsid w:val="5EAD39B4"/>
    <w:rsid w:val="5EC65C94"/>
    <w:rsid w:val="5EC91F4D"/>
    <w:rsid w:val="5ECF603A"/>
    <w:rsid w:val="5ED5198C"/>
    <w:rsid w:val="5ED86DAC"/>
    <w:rsid w:val="5EDB12E2"/>
    <w:rsid w:val="5EEB4428"/>
    <w:rsid w:val="5EFB32D4"/>
    <w:rsid w:val="5F063CA8"/>
    <w:rsid w:val="5F11517A"/>
    <w:rsid w:val="5F1542AB"/>
    <w:rsid w:val="5F1B74B7"/>
    <w:rsid w:val="5F223F31"/>
    <w:rsid w:val="5F304395"/>
    <w:rsid w:val="5F3A64AD"/>
    <w:rsid w:val="5F3C3B94"/>
    <w:rsid w:val="5F486780"/>
    <w:rsid w:val="5F54062F"/>
    <w:rsid w:val="5F67293A"/>
    <w:rsid w:val="5F6E5B19"/>
    <w:rsid w:val="5F7A4551"/>
    <w:rsid w:val="5F7E6FBB"/>
    <w:rsid w:val="5F8379B7"/>
    <w:rsid w:val="5F8B2665"/>
    <w:rsid w:val="5F926F9A"/>
    <w:rsid w:val="5F930745"/>
    <w:rsid w:val="5FA85114"/>
    <w:rsid w:val="5FCA5103"/>
    <w:rsid w:val="5FDD0633"/>
    <w:rsid w:val="5FEF18A9"/>
    <w:rsid w:val="60000CAF"/>
    <w:rsid w:val="60064F26"/>
    <w:rsid w:val="60210522"/>
    <w:rsid w:val="6021580D"/>
    <w:rsid w:val="603563B6"/>
    <w:rsid w:val="60552D4F"/>
    <w:rsid w:val="60576B96"/>
    <w:rsid w:val="606519E6"/>
    <w:rsid w:val="6083496A"/>
    <w:rsid w:val="6088315D"/>
    <w:rsid w:val="60907A86"/>
    <w:rsid w:val="609D393F"/>
    <w:rsid w:val="60A9338D"/>
    <w:rsid w:val="60AD3C3E"/>
    <w:rsid w:val="60B531CB"/>
    <w:rsid w:val="60B85E7F"/>
    <w:rsid w:val="60C24BFB"/>
    <w:rsid w:val="60CA51E0"/>
    <w:rsid w:val="60D0373E"/>
    <w:rsid w:val="60F15F71"/>
    <w:rsid w:val="610416ED"/>
    <w:rsid w:val="61101A17"/>
    <w:rsid w:val="611729A2"/>
    <w:rsid w:val="61261405"/>
    <w:rsid w:val="61411A85"/>
    <w:rsid w:val="61480E2B"/>
    <w:rsid w:val="614E6B7E"/>
    <w:rsid w:val="615901DF"/>
    <w:rsid w:val="615B3718"/>
    <w:rsid w:val="616D3334"/>
    <w:rsid w:val="6172529D"/>
    <w:rsid w:val="61844944"/>
    <w:rsid w:val="619762AA"/>
    <w:rsid w:val="61A31024"/>
    <w:rsid w:val="61B02C07"/>
    <w:rsid w:val="61B71215"/>
    <w:rsid w:val="61C37DAF"/>
    <w:rsid w:val="61C72C71"/>
    <w:rsid w:val="61D6303B"/>
    <w:rsid w:val="61DD7EAF"/>
    <w:rsid w:val="61E6327B"/>
    <w:rsid w:val="61EA6F23"/>
    <w:rsid w:val="61EF4C39"/>
    <w:rsid w:val="620A257E"/>
    <w:rsid w:val="6212688F"/>
    <w:rsid w:val="622B58E4"/>
    <w:rsid w:val="622D3B08"/>
    <w:rsid w:val="622E047C"/>
    <w:rsid w:val="62335D72"/>
    <w:rsid w:val="6235628D"/>
    <w:rsid w:val="623C10CC"/>
    <w:rsid w:val="624550F7"/>
    <w:rsid w:val="624C0693"/>
    <w:rsid w:val="624F5A05"/>
    <w:rsid w:val="62534E89"/>
    <w:rsid w:val="625C2BF5"/>
    <w:rsid w:val="62635CB2"/>
    <w:rsid w:val="6279096D"/>
    <w:rsid w:val="6279199C"/>
    <w:rsid w:val="629E17B2"/>
    <w:rsid w:val="62A57C4E"/>
    <w:rsid w:val="62AF5712"/>
    <w:rsid w:val="62B000B2"/>
    <w:rsid w:val="62B37519"/>
    <w:rsid w:val="62B419C8"/>
    <w:rsid w:val="62CF2914"/>
    <w:rsid w:val="62DD3FB2"/>
    <w:rsid w:val="62E658F3"/>
    <w:rsid w:val="62E9072E"/>
    <w:rsid w:val="62ED1021"/>
    <w:rsid w:val="630721FA"/>
    <w:rsid w:val="631B12FE"/>
    <w:rsid w:val="631C71B3"/>
    <w:rsid w:val="63343EC4"/>
    <w:rsid w:val="633F06A2"/>
    <w:rsid w:val="634363B4"/>
    <w:rsid w:val="634F68D8"/>
    <w:rsid w:val="63865D94"/>
    <w:rsid w:val="63967A9D"/>
    <w:rsid w:val="63A31776"/>
    <w:rsid w:val="63AF0E28"/>
    <w:rsid w:val="63B019C5"/>
    <w:rsid w:val="63BB7D52"/>
    <w:rsid w:val="63C130CC"/>
    <w:rsid w:val="63CB4250"/>
    <w:rsid w:val="63D52C19"/>
    <w:rsid w:val="63D92EB4"/>
    <w:rsid w:val="63EA73A4"/>
    <w:rsid w:val="64020711"/>
    <w:rsid w:val="64170232"/>
    <w:rsid w:val="641A4F53"/>
    <w:rsid w:val="643D708A"/>
    <w:rsid w:val="64422124"/>
    <w:rsid w:val="64486578"/>
    <w:rsid w:val="64610954"/>
    <w:rsid w:val="646D7A5D"/>
    <w:rsid w:val="647834B0"/>
    <w:rsid w:val="64837602"/>
    <w:rsid w:val="648D12C0"/>
    <w:rsid w:val="64937045"/>
    <w:rsid w:val="64941D03"/>
    <w:rsid w:val="64962ADB"/>
    <w:rsid w:val="64980B03"/>
    <w:rsid w:val="64A34C18"/>
    <w:rsid w:val="64AA481D"/>
    <w:rsid w:val="64B35F14"/>
    <w:rsid w:val="64CA33BB"/>
    <w:rsid w:val="64CD6291"/>
    <w:rsid w:val="64E0471D"/>
    <w:rsid w:val="64F17FB6"/>
    <w:rsid w:val="64F31ABC"/>
    <w:rsid w:val="64F804B6"/>
    <w:rsid w:val="651C1580"/>
    <w:rsid w:val="652D1A5C"/>
    <w:rsid w:val="65507504"/>
    <w:rsid w:val="65594D61"/>
    <w:rsid w:val="655B19F7"/>
    <w:rsid w:val="656806A0"/>
    <w:rsid w:val="656A595B"/>
    <w:rsid w:val="658B105D"/>
    <w:rsid w:val="659A6C82"/>
    <w:rsid w:val="65A167D8"/>
    <w:rsid w:val="65C544D3"/>
    <w:rsid w:val="65CA722B"/>
    <w:rsid w:val="65F92235"/>
    <w:rsid w:val="6600404B"/>
    <w:rsid w:val="660E2891"/>
    <w:rsid w:val="660E3893"/>
    <w:rsid w:val="66143F57"/>
    <w:rsid w:val="662C7273"/>
    <w:rsid w:val="662D4297"/>
    <w:rsid w:val="66300A4F"/>
    <w:rsid w:val="66345C6B"/>
    <w:rsid w:val="663900B7"/>
    <w:rsid w:val="663B021F"/>
    <w:rsid w:val="663D17F4"/>
    <w:rsid w:val="66416332"/>
    <w:rsid w:val="664307D5"/>
    <w:rsid w:val="6647313A"/>
    <w:rsid w:val="66614EFB"/>
    <w:rsid w:val="666D7837"/>
    <w:rsid w:val="66700C45"/>
    <w:rsid w:val="668A43C5"/>
    <w:rsid w:val="669048D1"/>
    <w:rsid w:val="6691102F"/>
    <w:rsid w:val="6698335F"/>
    <w:rsid w:val="66A93263"/>
    <w:rsid w:val="66B92679"/>
    <w:rsid w:val="66C45095"/>
    <w:rsid w:val="66CD7AAE"/>
    <w:rsid w:val="66D04754"/>
    <w:rsid w:val="66D16BDD"/>
    <w:rsid w:val="66D51432"/>
    <w:rsid w:val="67121AD9"/>
    <w:rsid w:val="671E7365"/>
    <w:rsid w:val="672047BB"/>
    <w:rsid w:val="67430785"/>
    <w:rsid w:val="674D1DF9"/>
    <w:rsid w:val="67572A37"/>
    <w:rsid w:val="67593B39"/>
    <w:rsid w:val="675C5D7F"/>
    <w:rsid w:val="67601FF9"/>
    <w:rsid w:val="67660009"/>
    <w:rsid w:val="67751995"/>
    <w:rsid w:val="67794398"/>
    <w:rsid w:val="6779465F"/>
    <w:rsid w:val="678B5A6D"/>
    <w:rsid w:val="678F3DBF"/>
    <w:rsid w:val="6791224B"/>
    <w:rsid w:val="67952D6B"/>
    <w:rsid w:val="67A74DC8"/>
    <w:rsid w:val="67BB1188"/>
    <w:rsid w:val="67D95EDF"/>
    <w:rsid w:val="67DB707C"/>
    <w:rsid w:val="6809510D"/>
    <w:rsid w:val="6812150A"/>
    <w:rsid w:val="68230C9B"/>
    <w:rsid w:val="682F3E5E"/>
    <w:rsid w:val="68310E26"/>
    <w:rsid w:val="68390BE3"/>
    <w:rsid w:val="683A5046"/>
    <w:rsid w:val="68657AF4"/>
    <w:rsid w:val="6867650B"/>
    <w:rsid w:val="68817AEA"/>
    <w:rsid w:val="68835019"/>
    <w:rsid w:val="6884144A"/>
    <w:rsid w:val="68856EDC"/>
    <w:rsid w:val="688827FE"/>
    <w:rsid w:val="68950E1B"/>
    <w:rsid w:val="68A0612E"/>
    <w:rsid w:val="68A608B5"/>
    <w:rsid w:val="68B975C4"/>
    <w:rsid w:val="68BA0C3B"/>
    <w:rsid w:val="68BE3ED0"/>
    <w:rsid w:val="68C14ED1"/>
    <w:rsid w:val="68C479BD"/>
    <w:rsid w:val="68C47A98"/>
    <w:rsid w:val="68C55EB8"/>
    <w:rsid w:val="68CA1534"/>
    <w:rsid w:val="68FA271B"/>
    <w:rsid w:val="68FA6404"/>
    <w:rsid w:val="69136ABD"/>
    <w:rsid w:val="69354D32"/>
    <w:rsid w:val="693B677C"/>
    <w:rsid w:val="693D5B9E"/>
    <w:rsid w:val="694D7787"/>
    <w:rsid w:val="695140B5"/>
    <w:rsid w:val="6961623D"/>
    <w:rsid w:val="69674FF3"/>
    <w:rsid w:val="69675EF1"/>
    <w:rsid w:val="6995609F"/>
    <w:rsid w:val="69977381"/>
    <w:rsid w:val="69986DB3"/>
    <w:rsid w:val="699D520F"/>
    <w:rsid w:val="69B36B8F"/>
    <w:rsid w:val="69C77D00"/>
    <w:rsid w:val="69CD5473"/>
    <w:rsid w:val="69D41B2A"/>
    <w:rsid w:val="69F02037"/>
    <w:rsid w:val="69FA34D4"/>
    <w:rsid w:val="69FC2AE6"/>
    <w:rsid w:val="6A0002E0"/>
    <w:rsid w:val="6A185A9B"/>
    <w:rsid w:val="6A2B6F13"/>
    <w:rsid w:val="6A367908"/>
    <w:rsid w:val="6A375CA7"/>
    <w:rsid w:val="6A3D0BD8"/>
    <w:rsid w:val="6A47607F"/>
    <w:rsid w:val="6A4F363B"/>
    <w:rsid w:val="6A4F56D5"/>
    <w:rsid w:val="6A550DB3"/>
    <w:rsid w:val="6A5D47C9"/>
    <w:rsid w:val="6A5D4F3E"/>
    <w:rsid w:val="6A655E11"/>
    <w:rsid w:val="6A704584"/>
    <w:rsid w:val="6A714EB0"/>
    <w:rsid w:val="6A793241"/>
    <w:rsid w:val="6A7E54D8"/>
    <w:rsid w:val="6A8240B1"/>
    <w:rsid w:val="6A940E3D"/>
    <w:rsid w:val="6A960D3F"/>
    <w:rsid w:val="6AAB52E9"/>
    <w:rsid w:val="6AB516ED"/>
    <w:rsid w:val="6AC135EB"/>
    <w:rsid w:val="6AC1707A"/>
    <w:rsid w:val="6AC20E07"/>
    <w:rsid w:val="6AD2059E"/>
    <w:rsid w:val="6AD5667B"/>
    <w:rsid w:val="6AD96DFF"/>
    <w:rsid w:val="6AE80D42"/>
    <w:rsid w:val="6AEC7965"/>
    <w:rsid w:val="6AF31995"/>
    <w:rsid w:val="6AF80245"/>
    <w:rsid w:val="6AF80A6F"/>
    <w:rsid w:val="6AF911E0"/>
    <w:rsid w:val="6B021795"/>
    <w:rsid w:val="6B0C7FB7"/>
    <w:rsid w:val="6B186DAE"/>
    <w:rsid w:val="6B35765E"/>
    <w:rsid w:val="6B362ECF"/>
    <w:rsid w:val="6B3F7D17"/>
    <w:rsid w:val="6B7169CB"/>
    <w:rsid w:val="6B761001"/>
    <w:rsid w:val="6B864C3E"/>
    <w:rsid w:val="6B8C7201"/>
    <w:rsid w:val="6B9775A7"/>
    <w:rsid w:val="6B9E6D88"/>
    <w:rsid w:val="6BA87479"/>
    <w:rsid w:val="6BBA4E12"/>
    <w:rsid w:val="6BCA1DAB"/>
    <w:rsid w:val="6BCC34D2"/>
    <w:rsid w:val="6BCD6443"/>
    <w:rsid w:val="6BE00AAC"/>
    <w:rsid w:val="6BEB35A9"/>
    <w:rsid w:val="6BEE1809"/>
    <w:rsid w:val="6BF30CA7"/>
    <w:rsid w:val="6BFA11B1"/>
    <w:rsid w:val="6BFB4313"/>
    <w:rsid w:val="6C02655E"/>
    <w:rsid w:val="6C0B617C"/>
    <w:rsid w:val="6C0C053C"/>
    <w:rsid w:val="6C0F0F2A"/>
    <w:rsid w:val="6C1312E9"/>
    <w:rsid w:val="6C190AFF"/>
    <w:rsid w:val="6C195FC7"/>
    <w:rsid w:val="6C252569"/>
    <w:rsid w:val="6C277C70"/>
    <w:rsid w:val="6C312954"/>
    <w:rsid w:val="6C37643E"/>
    <w:rsid w:val="6C383229"/>
    <w:rsid w:val="6C3D50F4"/>
    <w:rsid w:val="6C557DFC"/>
    <w:rsid w:val="6C78161F"/>
    <w:rsid w:val="6C7950C8"/>
    <w:rsid w:val="6C7C2B64"/>
    <w:rsid w:val="6C800E41"/>
    <w:rsid w:val="6C820AA8"/>
    <w:rsid w:val="6C932900"/>
    <w:rsid w:val="6C9D732F"/>
    <w:rsid w:val="6C9E30F3"/>
    <w:rsid w:val="6CB82C48"/>
    <w:rsid w:val="6CC12A94"/>
    <w:rsid w:val="6CD16534"/>
    <w:rsid w:val="6CDC5E27"/>
    <w:rsid w:val="6CE303A9"/>
    <w:rsid w:val="6CEA6D00"/>
    <w:rsid w:val="6CFA192C"/>
    <w:rsid w:val="6D0541AE"/>
    <w:rsid w:val="6D351C0E"/>
    <w:rsid w:val="6D3A43AA"/>
    <w:rsid w:val="6D6D5C4B"/>
    <w:rsid w:val="6D7D14BF"/>
    <w:rsid w:val="6D9909EB"/>
    <w:rsid w:val="6DB43B05"/>
    <w:rsid w:val="6DB75ADB"/>
    <w:rsid w:val="6DBA2F52"/>
    <w:rsid w:val="6DBA61F5"/>
    <w:rsid w:val="6DCB100E"/>
    <w:rsid w:val="6DD540D4"/>
    <w:rsid w:val="6DD94931"/>
    <w:rsid w:val="6DD94BF2"/>
    <w:rsid w:val="6DDA7A2F"/>
    <w:rsid w:val="6DDB4755"/>
    <w:rsid w:val="6DE6288A"/>
    <w:rsid w:val="6DE71555"/>
    <w:rsid w:val="6DF7196B"/>
    <w:rsid w:val="6E062704"/>
    <w:rsid w:val="6E13734A"/>
    <w:rsid w:val="6E2C7E25"/>
    <w:rsid w:val="6E3230B6"/>
    <w:rsid w:val="6E417AF7"/>
    <w:rsid w:val="6E5A2E80"/>
    <w:rsid w:val="6E631DBA"/>
    <w:rsid w:val="6E635BA5"/>
    <w:rsid w:val="6E6C51E6"/>
    <w:rsid w:val="6E760BB3"/>
    <w:rsid w:val="6E7A00B8"/>
    <w:rsid w:val="6E7B7F2D"/>
    <w:rsid w:val="6E7D245F"/>
    <w:rsid w:val="6E9343C4"/>
    <w:rsid w:val="6E9A4F2D"/>
    <w:rsid w:val="6EA93605"/>
    <w:rsid w:val="6EB23D3B"/>
    <w:rsid w:val="6EB6782D"/>
    <w:rsid w:val="6ED63DFB"/>
    <w:rsid w:val="6EDC1551"/>
    <w:rsid w:val="6EE8656E"/>
    <w:rsid w:val="6EE94BE9"/>
    <w:rsid w:val="6EE97495"/>
    <w:rsid w:val="6F0768ED"/>
    <w:rsid w:val="6F0E20F6"/>
    <w:rsid w:val="6F151480"/>
    <w:rsid w:val="6F1A287A"/>
    <w:rsid w:val="6F1F5650"/>
    <w:rsid w:val="6F28036B"/>
    <w:rsid w:val="6F322B3C"/>
    <w:rsid w:val="6F351740"/>
    <w:rsid w:val="6F410C8C"/>
    <w:rsid w:val="6F5143BB"/>
    <w:rsid w:val="6F67154E"/>
    <w:rsid w:val="6F6D36D3"/>
    <w:rsid w:val="6F7029B4"/>
    <w:rsid w:val="6F7640EF"/>
    <w:rsid w:val="6F77073C"/>
    <w:rsid w:val="6F92269E"/>
    <w:rsid w:val="6FAD572A"/>
    <w:rsid w:val="6FB969B2"/>
    <w:rsid w:val="6FC90A0B"/>
    <w:rsid w:val="6FD95D43"/>
    <w:rsid w:val="6FDB3D85"/>
    <w:rsid w:val="6FE42F4F"/>
    <w:rsid w:val="6FF458DC"/>
    <w:rsid w:val="6FF86E93"/>
    <w:rsid w:val="700E4ECA"/>
    <w:rsid w:val="70184495"/>
    <w:rsid w:val="70275408"/>
    <w:rsid w:val="70303805"/>
    <w:rsid w:val="703C515A"/>
    <w:rsid w:val="7040781C"/>
    <w:rsid w:val="704845E9"/>
    <w:rsid w:val="705D1AB8"/>
    <w:rsid w:val="707D4838"/>
    <w:rsid w:val="70A1038A"/>
    <w:rsid w:val="70A205D0"/>
    <w:rsid w:val="70A756E7"/>
    <w:rsid w:val="70AB23BB"/>
    <w:rsid w:val="70AF6FFF"/>
    <w:rsid w:val="70B272E5"/>
    <w:rsid w:val="70BC3320"/>
    <w:rsid w:val="70C8064B"/>
    <w:rsid w:val="70E9502E"/>
    <w:rsid w:val="70F156B7"/>
    <w:rsid w:val="71091301"/>
    <w:rsid w:val="711138BE"/>
    <w:rsid w:val="711437F1"/>
    <w:rsid w:val="71210ED3"/>
    <w:rsid w:val="712B3B05"/>
    <w:rsid w:val="712B5C14"/>
    <w:rsid w:val="71310C59"/>
    <w:rsid w:val="7139027D"/>
    <w:rsid w:val="713C63F5"/>
    <w:rsid w:val="71411FD0"/>
    <w:rsid w:val="71421DFE"/>
    <w:rsid w:val="71461A10"/>
    <w:rsid w:val="71574772"/>
    <w:rsid w:val="715B3881"/>
    <w:rsid w:val="715E5655"/>
    <w:rsid w:val="715E66CB"/>
    <w:rsid w:val="719119DA"/>
    <w:rsid w:val="719D7ED8"/>
    <w:rsid w:val="719E489D"/>
    <w:rsid w:val="71B52AC1"/>
    <w:rsid w:val="71B76AB3"/>
    <w:rsid w:val="71D76C59"/>
    <w:rsid w:val="71EE35A0"/>
    <w:rsid w:val="71F93A60"/>
    <w:rsid w:val="720537CA"/>
    <w:rsid w:val="72077F03"/>
    <w:rsid w:val="720E69A0"/>
    <w:rsid w:val="722802B5"/>
    <w:rsid w:val="727549FF"/>
    <w:rsid w:val="72757389"/>
    <w:rsid w:val="72816057"/>
    <w:rsid w:val="728269FA"/>
    <w:rsid w:val="72832248"/>
    <w:rsid w:val="72914252"/>
    <w:rsid w:val="72993969"/>
    <w:rsid w:val="729A0A14"/>
    <w:rsid w:val="729C657B"/>
    <w:rsid w:val="72A20E4A"/>
    <w:rsid w:val="72A677BC"/>
    <w:rsid w:val="72A83AA6"/>
    <w:rsid w:val="72AE07DD"/>
    <w:rsid w:val="72BF1CE1"/>
    <w:rsid w:val="72C74270"/>
    <w:rsid w:val="72DB6911"/>
    <w:rsid w:val="72DF6382"/>
    <w:rsid w:val="72E94D4D"/>
    <w:rsid w:val="72EB2F1A"/>
    <w:rsid w:val="72ED13D1"/>
    <w:rsid w:val="72F2473D"/>
    <w:rsid w:val="72F35C55"/>
    <w:rsid w:val="72F52339"/>
    <w:rsid w:val="72FE766F"/>
    <w:rsid w:val="730E4F07"/>
    <w:rsid w:val="731143AC"/>
    <w:rsid w:val="731C6472"/>
    <w:rsid w:val="731F24F9"/>
    <w:rsid w:val="733467F9"/>
    <w:rsid w:val="7348642B"/>
    <w:rsid w:val="7393239B"/>
    <w:rsid w:val="739F1C5A"/>
    <w:rsid w:val="73A350F2"/>
    <w:rsid w:val="73A737AF"/>
    <w:rsid w:val="73B2647C"/>
    <w:rsid w:val="73BF79FD"/>
    <w:rsid w:val="73D3438E"/>
    <w:rsid w:val="73DB6981"/>
    <w:rsid w:val="73FF34E7"/>
    <w:rsid w:val="74090509"/>
    <w:rsid w:val="74123BB0"/>
    <w:rsid w:val="741257F7"/>
    <w:rsid w:val="74137A68"/>
    <w:rsid w:val="741B3BD3"/>
    <w:rsid w:val="742E645C"/>
    <w:rsid w:val="74305145"/>
    <w:rsid w:val="74372F7F"/>
    <w:rsid w:val="74480E08"/>
    <w:rsid w:val="745A18ED"/>
    <w:rsid w:val="7465252D"/>
    <w:rsid w:val="74663A1A"/>
    <w:rsid w:val="74672FC0"/>
    <w:rsid w:val="747A19E5"/>
    <w:rsid w:val="748915EC"/>
    <w:rsid w:val="749F793A"/>
    <w:rsid w:val="74B93BC3"/>
    <w:rsid w:val="74BD1F21"/>
    <w:rsid w:val="74D71B46"/>
    <w:rsid w:val="74DF7750"/>
    <w:rsid w:val="74EC0C68"/>
    <w:rsid w:val="74EC45FF"/>
    <w:rsid w:val="750E0FF3"/>
    <w:rsid w:val="7513273D"/>
    <w:rsid w:val="75202BF2"/>
    <w:rsid w:val="752D6026"/>
    <w:rsid w:val="75302FA9"/>
    <w:rsid w:val="753605DA"/>
    <w:rsid w:val="75544963"/>
    <w:rsid w:val="75597AE2"/>
    <w:rsid w:val="755D538B"/>
    <w:rsid w:val="75621259"/>
    <w:rsid w:val="75755565"/>
    <w:rsid w:val="757A1C0A"/>
    <w:rsid w:val="757B4C92"/>
    <w:rsid w:val="759C1CCB"/>
    <w:rsid w:val="75A97258"/>
    <w:rsid w:val="75BB0D7A"/>
    <w:rsid w:val="75C30333"/>
    <w:rsid w:val="75DB42CD"/>
    <w:rsid w:val="75DB5C60"/>
    <w:rsid w:val="75E94FE3"/>
    <w:rsid w:val="75EF68F9"/>
    <w:rsid w:val="76047E3F"/>
    <w:rsid w:val="76093E92"/>
    <w:rsid w:val="76110152"/>
    <w:rsid w:val="762A6B88"/>
    <w:rsid w:val="76440332"/>
    <w:rsid w:val="764F3EAF"/>
    <w:rsid w:val="76550301"/>
    <w:rsid w:val="766131E5"/>
    <w:rsid w:val="766A0B4F"/>
    <w:rsid w:val="766E189A"/>
    <w:rsid w:val="76790543"/>
    <w:rsid w:val="767B4926"/>
    <w:rsid w:val="76861A7C"/>
    <w:rsid w:val="76965F4B"/>
    <w:rsid w:val="7698763F"/>
    <w:rsid w:val="76AA5F56"/>
    <w:rsid w:val="76CE1732"/>
    <w:rsid w:val="76D13EC5"/>
    <w:rsid w:val="76EF3D3A"/>
    <w:rsid w:val="76F26983"/>
    <w:rsid w:val="76FC3314"/>
    <w:rsid w:val="770179FF"/>
    <w:rsid w:val="770C6008"/>
    <w:rsid w:val="771468E1"/>
    <w:rsid w:val="771A63A5"/>
    <w:rsid w:val="771F283A"/>
    <w:rsid w:val="77324B48"/>
    <w:rsid w:val="77342C74"/>
    <w:rsid w:val="77392263"/>
    <w:rsid w:val="7740560C"/>
    <w:rsid w:val="774919D9"/>
    <w:rsid w:val="77511550"/>
    <w:rsid w:val="775177CA"/>
    <w:rsid w:val="77543D60"/>
    <w:rsid w:val="77D72F9C"/>
    <w:rsid w:val="77E223D3"/>
    <w:rsid w:val="77FD1949"/>
    <w:rsid w:val="78052C4F"/>
    <w:rsid w:val="781E071D"/>
    <w:rsid w:val="781E16DA"/>
    <w:rsid w:val="78207581"/>
    <w:rsid w:val="782B1496"/>
    <w:rsid w:val="78503046"/>
    <w:rsid w:val="785C58BD"/>
    <w:rsid w:val="78606C12"/>
    <w:rsid w:val="786B097A"/>
    <w:rsid w:val="786B7919"/>
    <w:rsid w:val="786D436D"/>
    <w:rsid w:val="78711A35"/>
    <w:rsid w:val="787D1B14"/>
    <w:rsid w:val="788E69D6"/>
    <w:rsid w:val="78975CEE"/>
    <w:rsid w:val="78B34431"/>
    <w:rsid w:val="78B77B6A"/>
    <w:rsid w:val="78BB2D88"/>
    <w:rsid w:val="78C301F6"/>
    <w:rsid w:val="78E75D73"/>
    <w:rsid w:val="78F10906"/>
    <w:rsid w:val="78F31168"/>
    <w:rsid w:val="78F65FF2"/>
    <w:rsid w:val="78F7045B"/>
    <w:rsid w:val="78FD41A4"/>
    <w:rsid w:val="790A12A6"/>
    <w:rsid w:val="79210197"/>
    <w:rsid w:val="792A6CB1"/>
    <w:rsid w:val="79321AE6"/>
    <w:rsid w:val="7945613F"/>
    <w:rsid w:val="79475963"/>
    <w:rsid w:val="79503677"/>
    <w:rsid w:val="79514D85"/>
    <w:rsid w:val="79681C50"/>
    <w:rsid w:val="797C695F"/>
    <w:rsid w:val="797C72D1"/>
    <w:rsid w:val="79823214"/>
    <w:rsid w:val="799A4DE9"/>
    <w:rsid w:val="79A664DB"/>
    <w:rsid w:val="79BD73F0"/>
    <w:rsid w:val="79CE6EA1"/>
    <w:rsid w:val="79CF1766"/>
    <w:rsid w:val="79EC51DC"/>
    <w:rsid w:val="79FE2C78"/>
    <w:rsid w:val="7A0429E3"/>
    <w:rsid w:val="7A066594"/>
    <w:rsid w:val="7A13587B"/>
    <w:rsid w:val="7A1D2227"/>
    <w:rsid w:val="7A2C652E"/>
    <w:rsid w:val="7A36754C"/>
    <w:rsid w:val="7A375C81"/>
    <w:rsid w:val="7A3947E2"/>
    <w:rsid w:val="7A5840FE"/>
    <w:rsid w:val="7A5860BC"/>
    <w:rsid w:val="7A724CF2"/>
    <w:rsid w:val="7A9452B2"/>
    <w:rsid w:val="7A99415C"/>
    <w:rsid w:val="7AA13B8F"/>
    <w:rsid w:val="7AB3098C"/>
    <w:rsid w:val="7AB61C7E"/>
    <w:rsid w:val="7ACA2A4C"/>
    <w:rsid w:val="7ACD1D2D"/>
    <w:rsid w:val="7AE80FCC"/>
    <w:rsid w:val="7AE96304"/>
    <w:rsid w:val="7B1304F0"/>
    <w:rsid w:val="7B212E8E"/>
    <w:rsid w:val="7B2E60A4"/>
    <w:rsid w:val="7B385F51"/>
    <w:rsid w:val="7B3867F0"/>
    <w:rsid w:val="7B47148D"/>
    <w:rsid w:val="7B6D3428"/>
    <w:rsid w:val="7B746C85"/>
    <w:rsid w:val="7B936D7B"/>
    <w:rsid w:val="7B9D2C18"/>
    <w:rsid w:val="7BA051AE"/>
    <w:rsid w:val="7BA30EB5"/>
    <w:rsid w:val="7BAF522F"/>
    <w:rsid w:val="7BBA51EB"/>
    <w:rsid w:val="7BDC6552"/>
    <w:rsid w:val="7BE43B01"/>
    <w:rsid w:val="7BE72B8F"/>
    <w:rsid w:val="7BF63B61"/>
    <w:rsid w:val="7BF9483A"/>
    <w:rsid w:val="7C076ADA"/>
    <w:rsid w:val="7C0A338D"/>
    <w:rsid w:val="7C0B254F"/>
    <w:rsid w:val="7C0D65C4"/>
    <w:rsid w:val="7C1B3D80"/>
    <w:rsid w:val="7C1C10A6"/>
    <w:rsid w:val="7C1E14F6"/>
    <w:rsid w:val="7C1E4E75"/>
    <w:rsid w:val="7C202354"/>
    <w:rsid w:val="7C256A85"/>
    <w:rsid w:val="7C2C733F"/>
    <w:rsid w:val="7C3511F1"/>
    <w:rsid w:val="7C417A1A"/>
    <w:rsid w:val="7C462FD1"/>
    <w:rsid w:val="7C466504"/>
    <w:rsid w:val="7C4E3D9F"/>
    <w:rsid w:val="7C532582"/>
    <w:rsid w:val="7C544857"/>
    <w:rsid w:val="7C667938"/>
    <w:rsid w:val="7C7259B4"/>
    <w:rsid w:val="7C926B62"/>
    <w:rsid w:val="7C941D9F"/>
    <w:rsid w:val="7C9E7A00"/>
    <w:rsid w:val="7CA939E5"/>
    <w:rsid w:val="7CB449CE"/>
    <w:rsid w:val="7CB52666"/>
    <w:rsid w:val="7CBA371F"/>
    <w:rsid w:val="7CE156DA"/>
    <w:rsid w:val="7CE24B0E"/>
    <w:rsid w:val="7D0C151B"/>
    <w:rsid w:val="7D0E4F87"/>
    <w:rsid w:val="7D183F21"/>
    <w:rsid w:val="7D25142D"/>
    <w:rsid w:val="7D262D92"/>
    <w:rsid w:val="7D2960B6"/>
    <w:rsid w:val="7D2C496A"/>
    <w:rsid w:val="7D3323D5"/>
    <w:rsid w:val="7D35348B"/>
    <w:rsid w:val="7D512CD2"/>
    <w:rsid w:val="7D522331"/>
    <w:rsid w:val="7D5C7887"/>
    <w:rsid w:val="7D6B189D"/>
    <w:rsid w:val="7DAC0DD7"/>
    <w:rsid w:val="7DCB3D7C"/>
    <w:rsid w:val="7DE332CB"/>
    <w:rsid w:val="7DEC38C1"/>
    <w:rsid w:val="7DED067B"/>
    <w:rsid w:val="7E041DAD"/>
    <w:rsid w:val="7E0531D9"/>
    <w:rsid w:val="7E2D6E7C"/>
    <w:rsid w:val="7E3805CD"/>
    <w:rsid w:val="7E3947AA"/>
    <w:rsid w:val="7E3C41C5"/>
    <w:rsid w:val="7E3D23AA"/>
    <w:rsid w:val="7E534248"/>
    <w:rsid w:val="7E6126DB"/>
    <w:rsid w:val="7E7214DC"/>
    <w:rsid w:val="7E9005C7"/>
    <w:rsid w:val="7E9605C0"/>
    <w:rsid w:val="7EA27301"/>
    <w:rsid w:val="7EA276B5"/>
    <w:rsid w:val="7EA5171B"/>
    <w:rsid w:val="7EA80AF3"/>
    <w:rsid w:val="7EAB2553"/>
    <w:rsid w:val="7EAE6D18"/>
    <w:rsid w:val="7EC86B24"/>
    <w:rsid w:val="7ED06219"/>
    <w:rsid w:val="7EE07FC9"/>
    <w:rsid w:val="7EE17F8F"/>
    <w:rsid w:val="7EEB3921"/>
    <w:rsid w:val="7EF57698"/>
    <w:rsid w:val="7EFA2974"/>
    <w:rsid w:val="7EFE5FC2"/>
    <w:rsid w:val="7F013DD3"/>
    <w:rsid w:val="7F1C2EF4"/>
    <w:rsid w:val="7F1C782A"/>
    <w:rsid w:val="7F25127C"/>
    <w:rsid w:val="7F3900E6"/>
    <w:rsid w:val="7F456216"/>
    <w:rsid w:val="7F4F4425"/>
    <w:rsid w:val="7F5E6515"/>
    <w:rsid w:val="7F681462"/>
    <w:rsid w:val="7F751663"/>
    <w:rsid w:val="7F791185"/>
    <w:rsid w:val="7F8339F4"/>
    <w:rsid w:val="7F860582"/>
    <w:rsid w:val="7F93453E"/>
    <w:rsid w:val="7FA4265B"/>
    <w:rsid w:val="7FB47634"/>
    <w:rsid w:val="7FC22B2C"/>
    <w:rsid w:val="7FCB0502"/>
    <w:rsid w:val="7FCC1A71"/>
    <w:rsid w:val="7FD96C3A"/>
    <w:rsid w:val="7FDA01A5"/>
    <w:rsid w:val="7FDF7637"/>
    <w:rsid w:val="7FE44DEC"/>
    <w:rsid w:val="7FE57388"/>
    <w:rsid w:val="7FE913DF"/>
    <w:rsid w:val="7FEA5D95"/>
    <w:rsid w:val="7FEC11AC"/>
    <w:rsid w:val="7FF4483D"/>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keepNext/>
      <w:keepLines/>
      <w:autoSpaceDE w:val="0"/>
      <w:autoSpaceDN w:val="0"/>
      <w:adjustRightInd w:val="0"/>
      <w:spacing w:line="300" w:lineRule="auto"/>
      <w:jc w:val="center"/>
      <w:outlineLvl w:val="1"/>
    </w:pPr>
    <w:rPr>
      <w:rFonts w:ascii="Arial" w:hAnsi="Arial" w:eastAsia="黑体"/>
      <w:b/>
      <w:sz w:val="30"/>
    </w:rPr>
  </w:style>
  <w:style w:type="paragraph" w:styleId="4">
    <w:name w:val="heading 3"/>
    <w:basedOn w:val="1"/>
    <w:next w:val="1"/>
    <w:autoRedefine/>
    <w:qFormat/>
    <w:uiPriority w:val="0"/>
    <w:pPr>
      <w:keepNext/>
      <w:keepLines/>
      <w:widowControl/>
      <w:spacing w:before="260" w:after="260" w:line="416" w:lineRule="auto"/>
      <w:outlineLvl w:val="2"/>
    </w:pPr>
    <w:rPr>
      <w:b/>
      <w:bCs/>
      <w:sz w:val="32"/>
      <w:szCs w:val="32"/>
    </w:rPr>
  </w:style>
  <w:style w:type="paragraph" w:styleId="5">
    <w:name w:val="heading 4"/>
    <w:basedOn w:val="1"/>
    <w:next w:val="1"/>
    <w:autoRedefine/>
    <w:qFormat/>
    <w:uiPriority w:val="1"/>
    <w:pPr>
      <w:outlineLvl w:val="3"/>
    </w:pPr>
    <w:rPr>
      <w:rFonts w:ascii="黑体" w:hAnsi="黑体" w:eastAsia="黑体"/>
      <w:sz w:val="32"/>
      <w:szCs w:val="32"/>
    </w:rPr>
  </w:style>
  <w:style w:type="paragraph" w:styleId="6">
    <w:name w:val="heading 5"/>
    <w:basedOn w:val="1"/>
    <w:next w:val="1"/>
    <w:autoRedefine/>
    <w:qFormat/>
    <w:uiPriority w:val="1"/>
    <w:pPr>
      <w:outlineLvl w:val="4"/>
    </w:pPr>
    <w:rPr>
      <w:rFonts w:ascii="宋体" w:hAnsi="宋体" w:cs="宋体"/>
      <w:b/>
      <w:bCs/>
      <w:sz w:val="28"/>
      <w:szCs w:val="28"/>
      <w:lang w:val="zh-CN" w:bidi="zh-CN"/>
    </w:rPr>
  </w:style>
  <w:style w:type="paragraph" w:styleId="7">
    <w:name w:val="heading 6"/>
    <w:basedOn w:val="1"/>
    <w:next w:val="1"/>
    <w:autoRedefine/>
    <w:qFormat/>
    <w:uiPriority w:val="1"/>
    <w:pPr>
      <w:ind w:left="306"/>
      <w:outlineLvl w:val="5"/>
    </w:pPr>
    <w:rPr>
      <w:rFonts w:ascii="MS UI Gothic" w:hAnsi="MS UI Gothic" w:eastAsia="MS UI Gothic" w:cs="MS UI Gothic"/>
      <w:b/>
      <w:bCs/>
      <w:sz w:val="24"/>
      <w:lang w:val="zh-CN" w:bidi="zh-CN"/>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autoRedefine/>
    <w:qFormat/>
    <w:uiPriority w:val="0"/>
    <w:pPr>
      <w:ind w:left="420" w:leftChars="200"/>
    </w:pPr>
  </w:style>
  <w:style w:type="paragraph" w:styleId="9">
    <w:name w:val="Normal Indent"/>
    <w:basedOn w:val="1"/>
    <w:next w:val="10"/>
    <w:autoRedefine/>
    <w:qFormat/>
    <w:uiPriority w:val="0"/>
    <w:pPr>
      <w:widowControl/>
      <w:spacing w:line="360" w:lineRule="atLeast"/>
      <w:ind w:firstLine="200" w:firstLineChars="200"/>
    </w:pPr>
    <w:rPr>
      <w:sz w:val="24"/>
      <w:szCs w:val="20"/>
    </w:rPr>
  </w:style>
  <w:style w:type="paragraph" w:styleId="10">
    <w:name w:val="toc 4"/>
    <w:basedOn w:val="1"/>
    <w:next w:val="1"/>
    <w:autoRedefine/>
    <w:qFormat/>
    <w:uiPriority w:val="99"/>
    <w:pPr>
      <w:ind w:left="1260" w:leftChars="600"/>
    </w:pPr>
    <w:rPr>
      <w:sz w:val="24"/>
    </w:rPr>
  </w:style>
  <w:style w:type="paragraph" w:styleId="11">
    <w:name w:val="annotation text"/>
    <w:basedOn w:val="1"/>
    <w:autoRedefine/>
    <w:qFormat/>
    <w:uiPriority w:val="0"/>
    <w:pPr>
      <w:jc w:val="left"/>
    </w:pPr>
  </w:style>
  <w:style w:type="paragraph" w:styleId="12">
    <w:name w:val="Body Text"/>
    <w:basedOn w:val="1"/>
    <w:next w:val="1"/>
    <w:link w:val="65"/>
    <w:autoRedefine/>
    <w:qFormat/>
    <w:uiPriority w:val="0"/>
    <w:pPr>
      <w:spacing w:after="120"/>
    </w:pPr>
  </w:style>
  <w:style w:type="paragraph" w:styleId="13">
    <w:name w:val="Body Text Indent"/>
    <w:basedOn w:val="1"/>
    <w:next w:val="14"/>
    <w:autoRedefine/>
    <w:qFormat/>
    <w:uiPriority w:val="0"/>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Block Text"/>
    <w:basedOn w:val="1"/>
    <w:autoRedefine/>
    <w:qFormat/>
    <w:uiPriority w:val="0"/>
    <w:pPr>
      <w:spacing w:beforeLines="50" w:afterLines="50"/>
      <w:ind w:left="426" w:right="-11" w:hanging="426" w:hangingChars="203"/>
    </w:pPr>
    <w:rPr>
      <w:rFonts w:eastAsia="楷体_GB2312"/>
    </w:rPr>
  </w:style>
  <w:style w:type="paragraph" w:styleId="16">
    <w:name w:val="toc 3"/>
    <w:basedOn w:val="1"/>
    <w:next w:val="1"/>
    <w:autoRedefine/>
    <w:qFormat/>
    <w:uiPriority w:val="0"/>
    <w:pPr>
      <w:widowControl/>
      <w:spacing w:after="100" w:line="276" w:lineRule="auto"/>
      <w:ind w:left="440"/>
      <w:jc w:val="left"/>
    </w:pPr>
    <w:rPr>
      <w:rFonts w:ascii="Calibri" w:hAnsi="Calibri"/>
      <w:kern w:val="0"/>
      <w:sz w:val="22"/>
      <w:szCs w:val="22"/>
    </w:rPr>
  </w:style>
  <w:style w:type="paragraph" w:styleId="17">
    <w:name w:val="Plain Text"/>
    <w:basedOn w:val="1"/>
    <w:next w:val="2"/>
    <w:link w:val="75"/>
    <w:autoRedefine/>
    <w:qFormat/>
    <w:uiPriority w:val="0"/>
    <w:rPr>
      <w:rFonts w:ascii="宋体" w:hAnsi="Courier New" w:cs="Courier New"/>
      <w:szCs w:val="21"/>
    </w:rPr>
  </w:style>
  <w:style w:type="paragraph" w:styleId="18">
    <w:name w:val="Date"/>
    <w:basedOn w:val="1"/>
    <w:next w:val="1"/>
    <w:link w:val="79"/>
    <w:autoRedefine/>
    <w:qFormat/>
    <w:uiPriority w:val="0"/>
    <w:pPr>
      <w:ind w:left="100" w:leftChars="2500"/>
    </w:pPr>
  </w:style>
  <w:style w:type="paragraph" w:styleId="19">
    <w:name w:val="Body Text Indent 2"/>
    <w:basedOn w:val="1"/>
    <w:link w:val="71"/>
    <w:autoRedefine/>
    <w:qFormat/>
    <w:uiPriority w:val="0"/>
    <w:pPr>
      <w:spacing w:line="440" w:lineRule="exact"/>
      <w:ind w:firstLine="560"/>
      <w:jc w:val="left"/>
    </w:pPr>
    <w:rPr>
      <w:rFonts w:ascii="Batang" w:hAnsi="Batang" w:eastAsia="方正仿宋简体"/>
      <w:sz w:val="28"/>
      <w:szCs w:val="20"/>
    </w:rPr>
  </w:style>
  <w:style w:type="paragraph" w:styleId="20">
    <w:name w:val="Balloon Text"/>
    <w:basedOn w:val="1"/>
    <w:link w:val="77"/>
    <w:autoRedefine/>
    <w:qFormat/>
    <w:uiPriority w:val="0"/>
    <w:rPr>
      <w:sz w:val="18"/>
      <w:szCs w:val="18"/>
    </w:rPr>
  </w:style>
  <w:style w:type="paragraph" w:styleId="21">
    <w:name w:val="footer"/>
    <w:basedOn w:val="1"/>
    <w:link w:val="78"/>
    <w:autoRedefine/>
    <w:qFormat/>
    <w:uiPriority w:val="0"/>
    <w:pPr>
      <w:tabs>
        <w:tab w:val="center" w:pos="4153"/>
        <w:tab w:val="right" w:pos="8306"/>
      </w:tabs>
      <w:snapToGrid w:val="0"/>
      <w:jc w:val="left"/>
    </w:pPr>
    <w:rPr>
      <w:sz w:val="18"/>
      <w:szCs w:val="18"/>
    </w:rPr>
  </w:style>
  <w:style w:type="paragraph" w:styleId="22">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widowControl/>
      <w:tabs>
        <w:tab w:val="right" w:leader="dot" w:pos="8280"/>
      </w:tabs>
      <w:spacing w:after="100" w:line="360" w:lineRule="auto"/>
      <w:jc w:val="left"/>
    </w:pPr>
    <w:rPr>
      <w:rFonts w:ascii="Calibri" w:hAnsi="Calibri"/>
      <w:kern w:val="0"/>
      <w:sz w:val="22"/>
      <w:szCs w:val="22"/>
    </w:rPr>
  </w:style>
  <w:style w:type="paragraph" w:styleId="24">
    <w:name w:val="Subtitle"/>
    <w:basedOn w:val="1"/>
    <w:next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5">
    <w:name w:val="toc 6"/>
    <w:basedOn w:val="1"/>
    <w:next w:val="1"/>
    <w:autoRedefine/>
    <w:qFormat/>
    <w:uiPriority w:val="0"/>
    <w:pPr>
      <w:ind w:left="1400"/>
    </w:pPr>
    <w:rPr>
      <w:rFonts w:ascii="Calibri"/>
      <w:sz w:val="18"/>
      <w:szCs w:val="18"/>
    </w:rPr>
  </w:style>
  <w:style w:type="paragraph" w:styleId="26">
    <w:name w:val="Body Text Indent 3"/>
    <w:basedOn w:val="1"/>
    <w:autoRedefine/>
    <w:qFormat/>
    <w:uiPriority w:val="0"/>
    <w:pPr>
      <w:spacing w:before="200"/>
      <w:ind w:left="632" w:leftChars="100" w:hanging="422" w:hangingChars="200"/>
    </w:pPr>
    <w:rPr>
      <w:b/>
      <w:bCs/>
    </w:rPr>
  </w:style>
  <w:style w:type="paragraph" w:styleId="27">
    <w:name w:val="table of figures"/>
    <w:basedOn w:val="1"/>
    <w:next w:val="1"/>
    <w:autoRedefine/>
    <w:qFormat/>
    <w:uiPriority w:val="0"/>
    <w:pPr>
      <w:ind w:left="200" w:leftChars="200" w:hanging="200" w:hangingChars="200"/>
    </w:pPr>
  </w:style>
  <w:style w:type="paragraph" w:styleId="28">
    <w:name w:val="toc 2"/>
    <w:basedOn w:val="1"/>
    <w:next w:val="1"/>
    <w:autoRedefine/>
    <w:qFormat/>
    <w:uiPriority w:val="0"/>
    <w:pPr>
      <w:widowControl/>
      <w:spacing w:after="100" w:line="276" w:lineRule="auto"/>
      <w:ind w:left="220"/>
      <w:jc w:val="left"/>
    </w:pPr>
    <w:rPr>
      <w:rFonts w:ascii="Calibri" w:hAnsi="Calibri"/>
      <w:kern w:val="0"/>
      <w:sz w:val="22"/>
      <w:szCs w:val="22"/>
    </w:rPr>
  </w:style>
  <w:style w:type="paragraph" w:styleId="29">
    <w:name w:val="Body Text 2"/>
    <w:basedOn w:val="1"/>
    <w:autoRedefine/>
    <w:unhideWhenUsed/>
    <w:qFormat/>
    <w:uiPriority w:val="99"/>
    <w:pPr>
      <w:spacing w:after="120" w:line="480" w:lineRule="auto"/>
    </w:pPr>
  </w:style>
  <w:style w:type="paragraph" w:styleId="30">
    <w:name w:val="Message Header"/>
    <w:basedOn w:val="5"/>
    <w:next w:val="5"/>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1"/>
    </w:rPr>
  </w:style>
  <w:style w:type="paragraph" w:styleId="31">
    <w:name w:val="Normal (Web)"/>
    <w:basedOn w:val="1"/>
    <w:next w:val="10"/>
    <w:autoRedefine/>
    <w:qFormat/>
    <w:uiPriority w:val="0"/>
    <w:pPr>
      <w:spacing w:before="100" w:beforeAutospacing="1" w:after="100" w:afterAutospacing="1"/>
      <w:jc w:val="left"/>
    </w:pPr>
    <w:rPr>
      <w:kern w:val="0"/>
      <w:sz w:val="24"/>
    </w:rPr>
  </w:style>
  <w:style w:type="paragraph" w:styleId="32">
    <w:name w:val="Title"/>
    <w:basedOn w:val="1"/>
    <w:next w:val="1"/>
    <w:link w:val="105"/>
    <w:qFormat/>
    <w:uiPriority w:val="0"/>
    <w:pPr>
      <w:widowControl w:val="0"/>
      <w:adjustRightInd/>
      <w:snapToGrid/>
      <w:spacing w:line="560" w:lineRule="exact"/>
      <w:jc w:val="center"/>
      <w:outlineLvl w:val="0"/>
    </w:pPr>
    <w:rPr>
      <w:rFonts w:ascii="Cambria" w:hAnsi="Cambria" w:eastAsia="黑体" w:cs="Times New Roman"/>
      <w:b/>
      <w:bCs/>
      <w:kern w:val="2"/>
      <w:sz w:val="32"/>
      <w:szCs w:val="32"/>
    </w:rPr>
  </w:style>
  <w:style w:type="paragraph" w:styleId="33">
    <w:name w:val="Body Text First Indent"/>
    <w:basedOn w:val="12"/>
    <w:next w:val="25"/>
    <w:link w:val="64"/>
    <w:autoRedefine/>
    <w:qFormat/>
    <w:uiPriority w:val="0"/>
    <w:pPr>
      <w:ind w:firstLine="420" w:firstLineChars="100"/>
    </w:pPr>
  </w:style>
  <w:style w:type="paragraph" w:styleId="34">
    <w:name w:val="Body Text First Indent 2"/>
    <w:basedOn w:val="13"/>
    <w:autoRedefine/>
    <w:qFormat/>
    <w:uiPriority w:val="0"/>
    <w:pPr>
      <w:ind w:firstLine="420" w:firstLineChars="20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0"/>
    <w:rPr>
      <w:rFonts w:ascii="Times New Roman" w:hAnsi="Times New Roman" w:eastAsia="宋体" w:cs="Times New Roman"/>
      <w:b/>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hint="eastAsia" w:ascii="微软雅黑" w:hAnsi="微软雅黑" w:eastAsia="微软雅黑" w:cs="微软雅黑"/>
      <w:color w:val="02396F"/>
      <w:u w:val="single"/>
    </w:rPr>
  </w:style>
  <w:style w:type="character" w:styleId="41">
    <w:name w:val="Emphasis"/>
    <w:basedOn w:val="37"/>
    <w:autoRedefine/>
    <w:qFormat/>
    <w:uiPriority w:val="0"/>
    <w:rPr>
      <w:rFonts w:ascii="Times New Roman" w:hAnsi="Times New Roman" w:eastAsia="宋体" w:cs="Times New Roman"/>
    </w:rPr>
  </w:style>
  <w:style w:type="character" w:styleId="42">
    <w:name w:val="HTML Definition"/>
    <w:basedOn w:val="37"/>
    <w:autoRedefine/>
    <w:qFormat/>
    <w:uiPriority w:val="0"/>
  </w:style>
  <w:style w:type="character" w:styleId="43">
    <w:name w:val="HTML Variable"/>
    <w:basedOn w:val="37"/>
    <w:autoRedefine/>
    <w:qFormat/>
    <w:uiPriority w:val="0"/>
  </w:style>
  <w:style w:type="character" w:styleId="44">
    <w:name w:val="Hyperlink"/>
    <w:basedOn w:val="37"/>
    <w:autoRedefine/>
    <w:qFormat/>
    <w:uiPriority w:val="0"/>
    <w:rPr>
      <w:rFonts w:ascii="Times New Roman" w:hAnsi="Times New Roman" w:eastAsia="宋体" w:cs="Times New Roman"/>
      <w:color w:val="0000FF"/>
      <w:u w:val="single"/>
    </w:rPr>
  </w:style>
  <w:style w:type="character" w:styleId="45">
    <w:name w:val="HTML Code"/>
    <w:basedOn w:val="37"/>
    <w:autoRedefine/>
    <w:qFormat/>
    <w:uiPriority w:val="0"/>
    <w:rPr>
      <w:rFonts w:ascii="Courier New" w:hAnsi="Courier New"/>
      <w:sz w:val="20"/>
    </w:rPr>
  </w:style>
  <w:style w:type="character" w:styleId="46">
    <w:name w:val="HTML Cite"/>
    <w:basedOn w:val="37"/>
    <w:autoRedefine/>
    <w:qFormat/>
    <w:uiPriority w:val="0"/>
  </w:style>
  <w:style w:type="paragraph" w:customStyle="1" w:styleId="47">
    <w:name w:val="正文缩进1"/>
    <w:basedOn w:val="1"/>
    <w:autoRedefine/>
    <w:qFormat/>
    <w:uiPriority w:val="0"/>
    <w:pPr>
      <w:ind w:firstLine="420" w:firstLineChars="200"/>
    </w:pPr>
  </w:style>
  <w:style w:type="paragraph" w:customStyle="1" w:styleId="48">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49">
    <w:name w:val="首行缩进"/>
    <w:basedOn w:val="1"/>
    <w:autoRedefine/>
    <w:qFormat/>
    <w:uiPriority w:val="0"/>
    <w:pPr>
      <w:ind w:firstLine="480"/>
    </w:pPr>
    <w:rPr>
      <w:lang w:val="zh-CN"/>
    </w:rPr>
  </w:style>
  <w:style w:type="paragraph" w:customStyle="1" w:styleId="50">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1">
    <w:name w:val="表格文字"/>
    <w:next w:val="12"/>
    <w:autoRedefine/>
    <w:qFormat/>
    <w:uiPriority w:val="0"/>
    <w:pPr>
      <w:widowControl w:val="0"/>
      <w:autoSpaceDE w:val="0"/>
      <w:autoSpaceDN w:val="0"/>
      <w:adjustRightInd w:val="0"/>
      <w:spacing w:line="420" w:lineRule="atLeast"/>
      <w:jc w:val="both"/>
      <w:textAlignment w:val="baseline"/>
    </w:pPr>
    <w:rPr>
      <w:rFonts w:ascii="Times New Roman" w:hAnsi="Times New Roman" w:eastAsia="宋体" w:cs="Times New Roman"/>
      <w:color w:val="000000"/>
      <w:sz w:val="21"/>
      <w:szCs w:val="24"/>
      <w:lang w:val="en-US" w:eastAsia="zh-CN" w:bidi="ar-SA"/>
    </w:rPr>
  </w:style>
  <w:style w:type="paragraph" w:customStyle="1" w:styleId="52">
    <w:name w:val="List Paragraph1"/>
    <w:basedOn w:val="1"/>
    <w:autoRedefine/>
    <w:qFormat/>
    <w:uiPriority w:val="0"/>
    <w:pPr>
      <w:ind w:firstLine="420" w:firstLineChars="200"/>
    </w:pPr>
    <w:rPr>
      <w:rFonts w:ascii="Calibri" w:hAnsi="Calibri" w:cs="黑体"/>
    </w:rPr>
  </w:style>
  <w:style w:type="paragraph" w:customStyle="1" w:styleId="53">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5">
    <w:name w:val="p0"/>
    <w:basedOn w:val="1"/>
    <w:autoRedefine/>
    <w:qFormat/>
    <w:uiPriority w:val="0"/>
    <w:pPr>
      <w:widowControl/>
    </w:pPr>
    <w:rPr>
      <w:kern w:val="0"/>
      <w:szCs w:val="21"/>
    </w:rPr>
  </w:style>
  <w:style w:type="paragraph" w:customStyle="1" w:styleId="56">
    <w:name w:val="列出段落2"/>
    <w:basedOn w:val="1"/>
    <w:autoRedefine/>
    <w:qFormat/>
    <w:uiPriority w:val="0"/>
    <w:pPr>
      <w:ind w:firstLine="420" w:firstLineChars="200"/>
    </w:pPr>
  </w:style>
  <w:style w:type="paragraph" w:customStyle="1" w:styleId="5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styleId="58">
    <w:name w:val="List Paragraph"/>
    <w:basedOn w:val="1"/>
    <w:autoRedefine/>
    <w:qFormat/>
    <w:uiPriority w:val="1"/>
    <w:pPr>
      <w:ind w:left="306" w:hanging="242"/>
    </w:pPr>
    <w:rPr>
      <w:rFonts w:ascii="MS UI Gothic" w:hAnsi="MS UI Gothic" w:eastAsia="MS UI Gothic" w:cs="MS UI Gothic"/>
      <w:lang w:val="zh-CN" w:bidi="zh-CN"/>
    </w:rPr>
  </w:style>
  <w:style w:type="paragraph" w:customStyle="1" w:styleId="59">
    <w:name w:val="Table Paragraph"/>
    <w:basedOn w:val="1"/>
    <w:autoRedefine/>
    <w:qFormat/>
    <w:uiPriority w:val="1"/>
    <w:rPr>
      <w:rFonts w:ascii="宋体" w:hAnsi="宋体" w:cs="宋体"/>
      <w:lang w:val="zh-CN" w:bidi="zh-CN"/>
    </w:rPr>
  </w:style>
  <w:style w:type="paragraph" w:customStyle="1" w:styleId="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正文-公1"/>
    <w:basedOn w:val="1"/>
    <w:next w:val="22"/>
    <w:autoRedefine/>
    <w:qFormat/>
    <w:uiPriority w:val="99"/>
    <w:pPr>
      <w:ind w:firstLine="200" w:firstLineChars="200"/>
    </w:pPr>
    <w:rPr>
      <w:rFonts w:ascii="Calibri" w:hAnsi="Calibri"/>
    </w:rPr>
  </w:style>
  <w:style w:type="paragraph" w:customStyle="1" w:styleId="62">
    <w:name w:val="列出段落1"/>
    <w:basedOn w:val="1"/>
    <w:autoRedefine/>
    <w:qFormat/>
    <w:uiPriority w:val="0"/>
    <w:pPr>
      <w:widowControl/>
      <w:spacing w:line="360" w:lineRule="auto"/>
      <w:ind w:firstLine="420" w:firstLineChars="200"/>
    </w:pPr>
    <w:rPr>
      <w:sz w:val="28"/>
    </w:rPr>
  </w:style>
  <w:style w:type="character" w:customStyle="1" w:styleId="63">
    <w:name w:val="zh"/>
    <w:basedOn w:val="37"/>
    <w:autoRedefine/>
    <w:qFormat/>
    <w:uiPriority w:val="0"/>
  </w:style>
  <w:style w:type="character" w:customStyle="1" w:styleId="64">
    <w:name w:val="正文首行缩进 Char"/>
    <w:basedOn w:val="65"/>
    <w:link w:val="33"/>
    <w:autoRedefine/>
    <w:qFormat/>
    <w:uiPriority w:val="0"/>
    <w:rPr>
      <w:rFonts w:ascii="Times New Roman" w:hAnsi="Times New Roman" w:eastAsia="宋体" w:cs="Times New Roman"/>
      <w:kern w:val="2"/>
      <w:sz w:val="21"/>
      <w:szCs w:val="24"/>
    </w:rPr>
  </w:style>
  <w:style w:type="character" w:customStyle="1" w:styleId="65">
    <w:name w:val="正文文本 Char"/>
    <w:basedOn w:val="37"/>
    <w:link w:val="12"/>
    <w:autoRedefine/>
    <w:qFormat/>
    <w:uiPriority w:val="0"/>
    <w:rPr>
      <w:rFonts w:ascii="Times New Roman" w:hAnsi="Times New Roman" w:eastAsia="宋体" w:cs="Times New Roman"/>
      <w:kern w:val="2"/>
      <w:sz w:val="21"/>
      <w:szCs w:val="24"/>
    </w:rPr>
  </w:style>
  <w:style w:type="character" w:customStyle="1" w:styleId="66">
    <w:name w:val="gpa"/>
    <w:basedOn w:val="37"/>
    <w:autoRedefine/>
    <w:qFormat/>
    <w:uiPriority w:val="0"/>
    <w:rPr>
      <w:rFonts w:ascii="Arial" w:hAnsi="Arial" w:cs="Arial"/>
      <w:sz w:val="15"/>
      <w:szCs w:val="15"/>
    </w:rPr>
  </w:style>
  <w:style w:type="character" w:customStyle="1" w:styleId="67">
    <w:name w:val="纯文本 Char1"/>
    <w:basedOn w:val="37"/>
    <w:autoRedefine/>
    <w:qFormat/>
    <w:uiPriority w:val="0"/>
    <w:rPr>
      <w:rFonts w:ascii="宋体" w:hAnsi="Courier New" w:eastAsia="宋体" w:cs="Courier New"/>
      <w:szCs w:val="21"/>
    </w:rPr>
  </w:style>
  <w:style w:type="character" w:customStyle="1" w:styleId="68">
    <w:name w:val="selected"/>
    <w:basedOn w:val="37"/>
    <w:autoRedefine/>
    <w:qFormat/>
    <w:uiPriority w:val="0"/>
    <w:rPr>
      <w:shd w:val="clear" w:color="auto" w:fill="B00006"/>
    </w:rPr>
  </w:style>
  <w:style w:type="character" w:customStyle="1" w:styleId="69">
    <w:name w:val="页眉 Char"/>
    <w:basedOn w:val="37"/>
    <w:link w:val="22"/>
    <w:autoRedefine/>
    <w:qFormat/>
    <w:uiPriority w:val="0"/>
    <w:rPr>
      <w:rFonts w:ascii="Times New Roman" w:hAnsi="Times New Roman" w:eastAsia="宋体" w:cs="Times New Roman"/>
      <w:sz w:val="18"/>
      <w:szCs w:val="18"/>
    </w:rPr>
  </w:style>
  <w:style w:type="character" w:customStyle="1" w:styleId="70">
    <w:name w:val="cfdate"/>
    <w:basedOn w:val="37"/>
    <w:autoRedefine/>
    <w:qFormat/>
    <w:uiPriority w:val="0"/>
    <w:rPr>
      <w:color w:val="333333"/>
      <w:sz w:val="18"/>
      <w:szCs w:val="18"/>
    </w:rPr>
  </w:style>
  <w:style w:type="character" w:customStyle="1" w:styleId="71">
    <w:name w:val="正文文本缩进 2 Char"/>
    <w:basedOn w:val="37"/>
    <w:link w:val="19"/>
    <w:autoRedefine/>
    <w:qFormat/>
    <w:uiPriority w:val="0"/>
    <w:rPr>
      <w:rFonts w:ascii="Batang" w:hAnsi="Batang" w:eastAsia="方正仿宋简体" w:cs="Times New Roman"/>
      <w:sz w:val="28"/>
      <w:szCs w:val="20"/>
    </w:rPr>
  </w:style>
  <w:style w:type="character" w:customStyle="1" w:styleId="72">
    <w:name w:val="bsharetext"/>
    <w:basedOn w:val="37"/>
    <w:autoRedefine/>
    <w:qFormat/>
    <w:uiPriority w:val="0"/>
  </w:style>
  <w:style w:type="character" w:customStyle="1" w:styleId="73">
    <w:name w:val="font11"/>
    <w:basedOn w:val="37"/>
    <w:autoRedefine/>
    <w:qFormat/>
    <w:uiPriority w:val="0"/>
    <w:rPr>
      <w:rFonts w:hint="eastAsia" w:ascii="宋体" w:hAnsi="宋体" w:eastAsia="宋体" w:cs="宋体"/>
      <w:color w:val="000000"/>
      <w:sz w:val="21"/>
      <w:szCs w:val="21"/>
      <w:u w:val="none"/>
    </w:rPr>
  </w:style>
  <w:style w:type="character" w:customStyle="1" w:styleId="74">
    <w:name w:val="apple-converted-space"/>
    <w:basedOn w:val="37"/>
    <w:autoRedefine/>
    <w:qFormat/>
    <w:uiPriority w:val="0"/>
    <w:rPr>
      <w:rFonts w:ascii="Times New Roman" w:hAnsi="Times New Roman" w:eastAsia="宋体" w:cs="Times New Roman"/>
    </w:rPr>
  </w:style>
  <w:style w:type="character" w:customStyle="1" w:styleId="75">
    <w:name w:val="纯文本 Char"/>
    <w:basedOn w:val="37"/>
    <w:link w:val="17"/>
    <w:autoRedefine/>
    <w:qFormat/>
    <w:uiPriority w:val="0"/>
    <w:rPr>
      <w:rFonts w:ascii="宋体" w:hAnsi="Courier New" w:eastAsia="宋体" w:cs="Courier New"/>
      <w:szCs w:val="21"/>
    </w:rPr>
  </w:style>
  <w:style w:type="character" w:customStyle="1" w:styleId="76">
    <w:name w:val="redfilefwwh"/>
    <w:basedOn w:val="37"/>
    <w:autoRedefine/>
    <w:qFormat/>
    <w:uiPriority w:val="0"/>
    <w:rPr>
      <w:color w:val="BA2636"/>
      <w:sz w:val="18"/>
      <w:szCs w:val="18"/>
    </w:rPr>
  </w:style>
  <w:style w:type="character" w:customStyle="1" w:styleId="77">
    <w:name w:val="批注框文本 Char"/>
    <w:basedOn w:val="37"/>
    <w:link w:val="20"/>
    <w:autoRedefine/>
    <w:qFormat/>
    <w:uiPriority w:val="0"/>
    <w:rPr>
      <w:rFonts w:ascii="Times New Roman" w:hAnsi="Times New Roman" w:eastAsia="宋体" w:cs="Times New Roman"/>
      <w:kern w:val="2"/>
      <w:sz w:val="18"/>
      <w:szCs w:val="18"/>
    </w:rPr>
  </w:style>
  <w:style w:type="character" w:customStyle="1" w:styleId="78">
    <w:name w:val="页脚 Char"/>
    <w:basedOn w:val="37"/>
    <w:link w:val="21"/>
    <w:autoRedefine/>
    <w:qFormat/>
    <w:uiPriority w:val="0"/>
    <w:rPr>
      <w:rFonts w:ascii="Times New Roman" w:hAnsi="Times New Roman" w:eastAsia="宋体" w:cs="Times New Roman"/>
      <w:sz w:val="18"/>
      <w:szCs w:val="18"/>
    </w:rPr>
  </w:style>
  <w:style w:type="character" w:customStyle="1" w:styleId="79">
    <w:name w:val="日期 Char"/>
    <w:basedOn w:val="37"/>
    <w:link w:val="18"/>
    <w:autoRedefine/>
    <w:qFormat/>
    <w:uiPriority w:val="0"/>
    <w:rPr>
      <w:rFonts w:ascii="Times New Roman" w:hAnsi="Times New Roman" w:eastAsia="宋体" w:cs="Times New Roman"/>
      <w:szCs w:val="24"/>
    </w:rPr>
  </w:style>
  <w:style w:type="character" w:customStyle="1" w:styleId="80">
    <w:name w:val="redfilenumber"/>
    <w:basedOn w:val="37"/>
    <w:autoRedefine/>
    <w:qFormat/>
    <w:uiPriority w:val="0"/>
    <w:rPr>
      <w:color w:val="BA2636"/>
      <w:sz w:val="18"/>
      <w:szCs w:val="18"/>
    </w:rPr>
  </w:style>
  <w:style w:type="character" w:customStyle="1" w:styleId="81">
    <w:name w:val="标题 1 Char"/>
    <w:basedOn w:val="37"/>
    <w:link w:val="2"/>
    <w:autoRedefine/>
    <w:qFormat/>
    <w:uiPriority w:val="0"/>
    <w:rPr>
      <w:rFonts w:ascii="Times New Roman" w:hAnsi="Times New Roman" w:eastAsia="宋体" w:cs="Times New Roman"/>
      <w:b/>
      <w:bCs/>
      <w:kern w:val="44"/>
      <w:sz w:val="32"/>
      <w:szCs w:val="44"/>
    </w:rPr>
  </w:style>
  <w:style w:type="character" w:customStyle="1" w:styleId="82">
    <w:name w:val="qxdate"/>
    <w:basedOn w:val="37"/>
    <w:autoRedefine/>
    <w:qFormat/>
    <w:uiPriority w:val="0"/>
    <w:rPr>
      <w:color w:val="333333"/>
      <w:sz w:val="18"/>
      <w:szCs w:val="18"/>
    </w:rPr>
  </w:style>
  <w:style w:type="character" w:customStyle="1" w:styleId="83">
    <w:name w:val="gjfg"/>
    <w:basedOn w:val="37"/>
    <w:autoRedefine/>
    <w:qFormat/>
    <w:uiPriority w:val="0"/>
  </w:style>
  <w:style w:type="character" w:customStyle="1" w:styleId="84">
    <w:name w:val="font01"/>
    <w:basedOn w:val="37"/>
    <w:autoRedefine/>
    <w:qFormat/>
    <w:uiPriority w:val="0"/>
    <w:rPr>
      <w:rFonts w:ascii="Calibri" w:hAnsi="Calibri" w:eastAsia="宋体" w:cs="Calibri"/>
      <w:color w:val="000000"/>
      <w:sz w:val="20"/>
      <w:szCs w:val="20"/>
      <w:u w:val="none"/>
    </w:rPr>
  </w:style>
  <w:style w:type="character" w:customStyle="1" w:styleId="85">
    <w:name w:val="displayarti"/>
    <w:basedOn w:val="37"/>
    <w:autoRedefine/>
    <w:qFormat/>
    <w:uiPriority w:val="0"/>
    <w:rPr>
      <w:color w:val="FFFFFF"/>
      <w:shd w:val="clear" w:color="auto" w:fill="A00000"/>
    </w:rPr>
  </w:style>
  <w:style w:type="character" w:customStyle="1" w:styleId="86">
    <w:name w:val="case3"/>
    <w:basedOn w:val="37"/>
    <w:autoRedefine/>
    <w:qFormat/>
    <w:uiPriority w:val="0"/>
    <w:rPr>
      <w:rFonts w:ascii="Times New Roman" w:hAnsi="Times New Roman" w:eastAsia="宋体" w:cs="Times New Roman"/>
    </w:rPr>
  </w:style>
  <w:style w:type="character" w:customStyle="1" w:styleId="87">
    <w:name w:val="font31"/>
    <w:basedOn w:val="37"/>
    <w:autoRedefine/>
    <w:qFormat/>
    <w:uiPriority w:val="0"/>
    <w:rPr>
      <w:rFonts w:hint="eastAsia" w:ascii="宋体" w:hAnsi="宋体" w:eastAsia="宋体" w:cs="宋体"/>
      <w:color w:val="000000"/>
      <w:sz w:val="20"/>
      <w:szCs w:val="20"/>
      <w:u w:val="none"/>
    </w:rPr>
  </w:style>
  <w:style w:type="character" w:customStyle="1" w:styleId="88">
    <w:name w:val="font61"/>
    <w:basedOn w:val="37"/>
    <w:autoRedefine/>
    <w:qFormat/>
    <w:uiPriority w:val="0"/>
    <w:rPr>
      <w:rFonts w:hint="eastAsia" w:ascii="微软雅黑" w:hAnsi="微软雅黑" w:eastAsia="微软雅黑" w:cs="微软雅黑"/>
      <w:color w:val="000000"/>
      <w:sz w:val="22"/>
      <w:szCs w:val="22"/>
      <w:u w:val="none"/>
    </w:rPr>
  </w:style>
  <w:style w:type="character" w:customStyle="1" w:styleId="89">
    <w:name w:val="ll-span1"/>
    <w:basedOn w:val="37"/>
    <w:autoRedefine/>
    <w:qFormat/>
    <w:uiPriority w:val="0"/>
  </w:style>
  <w:style w:type="character" w:customStyle="1" w:styleId="90">
    <w:name w:val="font121"/>
    <w:basedOn w:val="37"/>
    <w:autoRedefine/>
    <w:qFormat/>
    <w:uiPriority w:val="0"/>
    <w:rPr>
      <w:rFonts w:hint="eastAsia" w:ascii="微软雅黑" w:hAnsi="微软雅黑" w:eastAsia="微软雅黑" w:cs="微软雅黑"/>
      <w:color w:val="000000"/>
      <w:sz w:val="18"/>
      <w:szCs w:val="18"/>
      <w:u w:val="none"/>
    </w:rPr>
  </w:style>
  <w:style w:type="character" w:customStyle="1" w:styleId="91">
    <w:name w:val="font71"/>
    <w:basedOn w:val="37"/>
    <w:autoRedefine/>
    <w:qFormat/>
    <w:uiPriority w:val="0"/>
    <w:rPr>
      <w:rFonts w:hint="eastAsia" w:ascii="宋体" w:hAnsi="宋体" w:eastAsia="宋体" w:cs="宋体"/>
      <w:color w:val="000000"/>
      <w:sz w:val="18"/>
      <w:szCs w:val="18"/>
      <w:u w:val="none"/>
    </w:rPr>
  </w:style>
  <w:style w:type="character" w:customStyle="1" w:styleId="92">
    <w:name w:val="font21"/>
    <w:basedOn w:val="37"/>
    <w:autoRedefine/>
    <w:qFormat/>
    <w:uiPriority w:val="0"/>
    <w:rPr>
      <w:rFonts w:hint="eastAsia" w:ascii="宋体" w:hAnsi="宋体" w:eastAsia="宋体" w:cs="宋体"/>
      <w:color w:val="000000"/>
      <w:sz w:val="28"/>
      <w:szCs w:val="28"/>
      <w:u w:val="none"/>
    </w:rPr>
  </w:style>
  <w:style w:type="paragraph" w:customStyle="1" w:styleId="93">
    <w:name w:val="列出段落11"/>
    <w:basedOn w:val="1"/>
    <w:autoRedefine/>
    <w:qFormat/>
    <w:uiPriority w:val="0"/>
    <w:pPr>
      <w:ind w:firstLine="420" w:firstLineChars="200"/>
    </w:pPr>
  </w:style>
  <w:style w:type="paragraph" w:customStyle="1" w:styleId="94">
    <w:name w:val="Body text|2"/>
    <w:basedOn w:val="1"/>
    <w:autoRedefine/>
    <w:qFormat/>
    <w:uiPriority w:val="0"/>
    <w:pPr>
      <w:spacing w:after="300"/>
      <w:jc w:val="center"/>
    </w:pPr>
    <w:rPr>
      <w:rFonts w:ascii="宋体" w:hAnsi="宋体" w:cs="宋体"/>
      <w:b/>
      <w:bCs/>
      <w:sz w:val="28"/>
      <w:szCs w:val="28"/>
      <w:lang w:val="zh-TW" w:eastAsia="zh-TW" w:bidi="zh-TW"/>
    </w:rPr>
  </w:style>
  <w:style w:type="paragraph" w:customStyle="1" w:styleId="95">
    <w:name w:val="Other|1"/>
    <w:basedOn w:val="1"/>
    <w:autoRedefine/>
    <w:qFormat/>
    <w:uiPriority w:val="0"/>
    <w:pPr>
      <w:spacing w:line="311" w:lineRule="exact"/>
    </w:pPr>
    <w:rPr>
      <w:rFonts w:ascii="宋体" w:hAnsi="宋体" w:cs="宋体"/>
      <w:sz w:val="20"/>
      <w:szCs w:val="20"/>
      <w:lang w:val="zh-TW" w:eastAsia="zh-TW" w:bidi="zh-TW"/>
    </w:rPr>
  </w:style>
  <w:style w:type="paragraph" w:customStyle="1" w:styleId="96">
    <w:name w:val="Body text|1"/>
    <w:basedOn w:val="1"/>
    <w:autoRedefine/>
    <w:qFormat/>
    <w:uiPriority w:val="0"/>
    <w:pPr>
      <w:spacing w:line="418" w:lineRule="auto"/>
      <w:ind w:firstLine="400"/>
    </w:pPr>
    <w:rPr>
      <w:rFonts w:ascii="宋体" w:hAnsi="宋体" w:cs="宋体"/>
      <w:sz w:val="20"/>
      <w:szCs w:val="20"/>
      <w:lang w:val="zh-TW" w:eastAsia="zh-TW" w:bidi="zh-TW"/>
    </w:rPr>
  </w:style>
  <w:style w:type="character" w:customStyle="1" w:styleId="97">
    <w:name w:val="font91"/>
    <w:basedOn w:val="37"/>
    <w:autoRedefine/>
    <w:qFormat/>
    <w:uiPriority w:val="0"/>
    <w:rPr>
      <w:rFonts w:hint="eastAsia" w:ascii="微软雅黑" w:hAnsi="微软雅黑" w:eastAsia="微软雅黑" w:cs="微软雅黑"/>
      <w:b/>
      <w:bCs/>
      <w:color w:val="000000"/>
      <w:sz w:val="20"/>
      <w:szCs w:val="20"/>
      <w:u w:val="none"/>
    </w:rPr>
  </w:style>
  <w:style w:type="table" w:customStyle="1" w:styleId="98">
    <w:name w:val="Table Normal"/>
    <w:autoRedefine/>
    <w:semiHidden/>
    <w:unhideWhenUsed/>
    <w:qFormat/>
    <w:uiPriority w:val="0"/>
    <w:tblPr>
      <w:tblCellMar>
        <w:top w:w="0" w:type="dxa"/>
        <w:left w:w="0" w:type="dxa"/>
        <w:bottom w:w="0" w:type="dxa"/>
        <w:right w:w="0" w:type="dxa"/>
      </w:tblCellMar>
    </w:tblPr>
  </w:style>
  <w:style w:type="paragraph" w:customStyle="1" w:styleId="99">
    <w:name w:val="Body Text First Indent 21"/>
    <w:basedOn w:val="1"/>
    <w:autoRedefine/>
    <w:qFormat/>
    <w:uiPriority w:val="0"/>
    <w:pPr>
      <w:spacing w:after="120"/>
      <w:ind w:left="200" w:leftChars="200" w:firstLine="420"/>
      <w:jc w:val="both"/>
    </w:pPr>
    <w:rPr>
      <w:rFonts w:ascii="仿宋_GB2312" w:eastAsia="仿宋_GB2312" w:cs="仿宋_GB2312"/>
      <w:kern w:val="2"/>
      <w:sz w:val="32"/>
      <w:szCs w:val="32"/>
      <w:lang w:eastAsia="zh-CN"/>
    </w:rPr>
  </w:style>
  <w:style w:type="paragraph" w:customStyle="1" w:styleId="100">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sz w:val="24"/>
      <w:szCs w:val="20"/>
    </w:rPr>
  </w:style>
  <w:style w:type="paragraph" w:customStyle="1" w:styleId="10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02">
    <w:name w:val="协议段落"/>
    <w:basedOn w:val="1"/>
    <w:autoRedefine/>
    <w:qFormat/>
    <w:uiPriority w:val="0"/>
    <w:pPr>
      <w:ind w:firstLine="480" w:firstLineChars="200"/>
    </w:pPr>
    <w:rPr>
      <w:rFonts w:ascii="宋体"/>
      <w:sz w:val="24"/>
      <w:szCs w:val="24"/>
    </w:rPr>
  </w:style>
  <w:style w:type="paragraph" w:customStyle="1" w:styleId="103">
    <w:name w:val="格式条款-1"/>
    <w:basedOn w:val="1"/>
    <w:autoRedefine/>
    <w:qFormat/>
    <w:uiPriority w:val="0"/>
    <w:pPr>
      <w:tabs>
        <w:tab w:val="left" w:pos="735"/>
      </w:tabs>
    </w:pPr>
    <w:rPr>
      <w:rFonts w:ascii="宋体"/>
      <w:sz w:val="24"/>
      <w:szCs w:val="24"/>
    </w:rPr>
  </w:style>
  <w:style w:type="paragraph" w:customStyle="1" w:styleId="104">
    <w:name w:val="格式条款-2"/>
    <w:basedOn w:val="1"/>
    <w:autoRedefine/>
    <w:qFormat/>
    <w:uiPriority w:val="0"/>
    <w:pPr>
      <w:tabs>
        <w:tab w:val="left" w:pos="735"/>
      </w:tabs>
    </w:pPr>
    <w:rPr>
      <w:rFonts w:ascii="宋体" w:hAnsi="宋体"/>
      <w:sz w:val="24"/>
      <w:szCs w:val="24"/>
    </w:rPr>
  </w:style>
  <w:style w:type="character" w:customStyle="1" w:styleId="105">
    <w:name w:val="标题 Char"/>
    <w:basedOn w:val="37"/>
    <w:link w:val="32"/>
    <w:autoRedefine/>
    <w:qFormat/>
    <w:uiPriority w:val="0"/>
    <w:rPr>
      <w:rFonts w:ascii="Cambria" w:hAnsi="Cambria" w:eastAsia="黑体" w:cs="Times New Roman"/>
      <w:b/>
      <w:bCs/>
      <w:kern w:val="2"/>
      <w:sz w:val="32"/>
      <w:szCs w:val="32"/>
    </w:rPr>
  </w:style>
  <w:style w:type="paragraph" w:customStyle="1" w:styleId="106">
    <w:name w:val="一级条标题"/>
    <w:next w:val="107"/>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0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8">
    <w:name w:val="二级条标题"/>
    <w:basedOn w:val="106"/>
    <w:next w:val="107"/>
    <w:qFormat/>
    <w:uiPriority w:val="0"/>
    <w:pPr>
      <w:numPr>
        <w:ilvl w:val="2"/>
      </w:numPr>
      <w:spacing w:before="50" w:after="50"/>
      <w:outlineLvl w:val="3"/>
    </w:pPr>
  </w:style>
  <w:style w:type="paragraph" w:customStyle="1" w:styleId="10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二级无"/>
    <w:basedOn w:val="108"/>
    <w:autoRedefine/>
    <w:qFormat/>
    <w:uiPriority w:val="0"/>
    <w:pPr>
      <w:spacing w:before="0" w:beforeLines="0" w:after="0" w:afterLines="0"/>
      <w:ind w:left="0" w:firstLine="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71</Pages>
  <Words>26573</Words>
  <Characters>28799</Characters>
  <Lines>311</Lines>
  <Paragraphs>87</Paragraphs>
  <TotalTime>2</TotalTime>
  <ScaleCrop>false</ScaleCrop>
  <LinksUpToDate>false</LinksUpToDate>
  <CharactersWithSpaces>29375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2021-05-20T10:52:00Z</dcterms:created>
  <dc:creator>Administrator</dc:creator>
  <cp:lastModifiedBy>晴天</cp:lastModifiedBy>
  <cp:lastPrinted>2023-08-04T08:11:00Z</cp:lastPrinted>
  <dcterms:modified xsi:type="dcterms:W3CDTF">2025-09-23T07:22:34Z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455B838F8DD94800BDBEB6D24FB552A8_13</vt:lpwstr>
  </property>
  <property fmtid="{D5CDD505-2E9C-101B-9397-08002B2CF9AE}" pid="4" name="KSOTemplateDocerSaveRecord">
    <vt:lpwstr>eyJoZGlkIjoiOWY2YTM2MjcyN2NhMWUxOTFmODhjOTZiOGU3Mjk5NDQiLCJ1c2VySWQiOiI0NDYxMjU5NzgifQ==</vt:lpwstr>
  </property>
</Properties>
</file>