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（对不依照本条例的规定计算办学结余或者确定取得回报的比例的行为的处罚）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8225520</w:t>
      </w:r>
      <w:bookmarkStart w:id="0" w:name="_GoBack"/>
      <w:bookmarkEnd w:id="0"/>
      <w:r>
        <w:rPr>
          <w:rFonts w:hint="eastAsia"/>
          <w:szCs w:val="21"/>
          <w:lang w:val="en-US" w:eastAsia="zh-CN"/>
        </w:rPr>
        <w:t>（民办教育）,8234388（财务），8234488（安全）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1F432D5"/>
    <w:rsid w:val="08140857"/>
    <w:rsid w:val="09610CFC"/>
    <w:rsid w:val="22A56EDD"/>
    <w:rsid w:val="3C150FBD"/>
    <w:rsid w:val="570C4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7A2BFF87A6524C96BD0D416F138BBBDB_12</vt:lpwstr>
  </property>
</Properties>
</file>