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（对未依照《中华人民共和国会计法》和国家统一的会计制度进行会计核算、编制财务会计报告，财务、资产管理混乱的行为的处罚）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822855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0（民办教育）,8234388（财务），8234488（安全）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8140857"/>
    <w:rsid w:val="09610CFC"/>
    <w:rsid w:val="0D6C4333"/>
    <w:rsid w:val="20F03F01"/>
    <w:rsid w:val="22A56EDD"/>
    <w:rsid w:val="25F27C91"/>
    <w:rsid w:val="3C150FBD"/>
    <w:rsid w:val="452E2BBF"/>
    <w:rsid w:val="45A425FD"/>
    <w:rsid w:val="570C4365"/>
    <w:rsid w:val="5F3327F7"/>
    <w:rsid w:val="63DE0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C3BEAB8FE2894FCF9E1B0382700E94D2_12</vt:lpwstr>
  </property>
</Properties>
</file>