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spacing w:before="5"/>
        <w:rPr>
          <w:rFonts w:ascii="宋体"/>
          <w:sz w:val="21"/>
        </w:rPr>
      </w:pPr>
    </w:p>
    <w:p>
      <w:pPr>
        <w:pStyle w:val="style0"/>
        <w:spacing w:before="75"/>
        <w:ind w:left="0" w:right="147" w:firstLine="0"/>
        <w:jc w:val="center"/>
        <w:rPr>
          <w:rFonts w:ascii="方正小标宋简体" w:cs="方正小标宋简体" w:eastAsia="方正小标宋简体" w:hAnsi="方正小标宋简体" w:hint="eastAsia"/>
          <w:sz w:val="44"/>
          <w:szCs w:val="44"/>
        </w:rPr>
      </w:pPr>
      <w:r>
        <w:rPr>
          <w:rFonts w:ascii="方正小标宋简体" w:cs="方正小标宋简体" w:eastAsia="方正小标宋简体" w:hAnsi="方正小标宋简体" w:hint="eastAsia"/>
          <w:sz w:val="44"/>
          <w:szCs w:val="44"/>
        </w:rPr>
        <w:t>六盘水市钟山区大丫口水运司旧城改造项目房屋征收补偿方案</w:t>
      </w:r>
    </w:p>
    <w:p>
      <w:pPr>
        <w:pStyle w:val="style2"/>
        <w:spacing w:before="117"/>
        <w:ind w:right="148"/>
        <w:jc w:val="center"/>
        <w:rPr>
          <w:rFonts w:ascii="楷体" w:eastAsia="楷体" w:hint="eastAsia"/>
        </w:rPr>
      </w:pPr>
      <w:r>
        <w:rPr>
          <w:rFonts w:ascii="楷体" w:eastAsia="楷体" w:hint="eastAsia"/>
        </w:rPr>
        <w:t>（</w:t>
      </w:r>
      <w:r>
        <w:rPr>
          <w:rFonts w:ascii="楷体" w:eastAsia="楷体" w:hint="eastAsia"/>
          <w:lang w:val="en-US" w:eastAsia="zh-CN"/>
        </w:rPr>
        <w:t>征求意见</w:t>
      </w:r>
      <w:r>
        <w:rPr>
          <w:rFonts w:ascii="楷体" w:eastAsia="楷体" w:hint="eastAsia"/>
        </w:rPr>
        <w:t>稿）</w:t>
      </w:r>
    </w:p>
    <w:p>
      <w:pPr>
        <w:pStyle w:val="style66"/>
        <w:rPr>
          <w:rFonts w:ascii="楷体"/>
          <w:sz w:val="40"/>
        </w:rPr>
      </w:pPr>
    </w:p>
    <w:p>
      <w:pPr>
        <w:pStyle w:val="style3"/>
        <w:spacing w:lineRule="auto" w:line="338"/>
        <w:ind w:right="158"/>
        <w:jc w:val="both"/>
        <w:rPr>
          <w:rFonts w:ascii="仿宋" w:cs="仿宋" w:eastAsia="仿宋" w:hAnsi="仿宋"/>
          <w:sz w:val="31"/>
          <w:szCs w:val="31"/>
          <w:lang w:val="zh-CN" w:bidi="zh-CN" w:eastAsia="zh-CN"/>
        </w:rPr>
      </w:pPr>
      <w:r>
        <w:rPr>
          <w:rFonts w:ascii="仿宋" w:cs="仿宋" w:eastAsia="仿宋" w:hAnsi="仿宋"/>
          <w:sz w:val="31"/>
          <w:szCs w:val="31"/>
          <w:lang w:val="zh-CN" w:bidi="zh-CN" w:eastAsia="zh-CN"/>
        </w:rPr>
        <w:t>为实施大丫口水运司旧城改造，改善六盘水火车站周边人居环境，钟山区人民政府决定对大丫口水运司旧城改造项目房屋实施征收。根据国务院《国有土地上房屋征收与补偿条例》（国务院第 590 号令）和住建部《国有土地上房屋征收评估办法》等相关法律、法规的规定，结合被征收范围内实际情况， 制定本方案。</w:t>
      </w:r>
    </w:p>
    <w:p>
      <w:pPr>
        <w:pStyle w:val="style66"/>
        <w:spacing w:before="8"/>
        <w:rPr>
          <w:rFonts w:ascii="仿宋_GB2312"/>
          <w:sz w:val="45"/>
        </w:rPr>
      </w:pPr>
    </w:p>
    <w:p>
      <w:pPr>
        <w:pStyle w:val="style66"/>
        <w:tabs>
          <w:tab w:val="left" w:leader="none" w:pos="1288"/>
        </w:tabs>
        <w:spacing w:before="1"/>
        <w:ind w:right="156"/>
        <w:jc w:val="center"/>
        <w:rPr>
          <w:rFonts w:ascii="黑体" w:eastAsia="黑体" w:hint="eastAsia"/>
        </w:rPr>
      </w:pPr>
      <w:r>
        <w:rPr>
          <w:rFonts w:ascii="黑体" w:eastAsia="黑体" w:hint="eastAsia"/>
          <w:spacing w:val="9"/>
        </w:rPr>
        <w:t>第</w:t>
      </w:r>
      <w:r>
        <w:rPr>
          <w:rFonts w:ascii="黑体" w:eastAsia="黑体" w:hint="eastAsia"/>
          <w:spacing w:val="11"/>
        </w:rPr>
        <w:t>一</w:t>
      </w:r>
      <w:r>
        <w:rPr>
          <w:rFonts w:ascii="黑体" w:eastAsia="黑体" w:hint="eastAsia"/>
        </w:rPr>
        <w:t>章</w:t>
      </w:r>
      <w:r>
        <w:rPr>
          <w:rFonts w:ascii="黑体" w:eastAsia="黑体" w:hint="eastAsia"/>
        </w:rPr>
        <w:tab/>
      </w:r>
      <w:r>
        <w:rPr>
          <w:rFonts w:ascii="黑体" w:eastAsia="黑体" w:hint="eastAsia"/>
          <w:spacing w:val="9"/>
        </w:rPr>
        <w:t>房</w:t>
      </w:r>
      <w:r>
        <w:rPr>
          <w:rFonts w:ascii="黑体" w:eastAsia="黑体" w:hint="eastAsia"/>
          <w:spacing w:val="11"/>
        </w:rPr>
        <w:t>屋</w:t>
      </w:r>
      <w:r>
        <w:rPr>
          <w:rFonts w:ascii="黑体" w:eastAsia="黑体" w:hint="eastAsia"/>
          <w:spacing w:val="9"/>
        </w:rPr>
        <w:t>征收</w:t>
      </w:r>
      <w:r>
        <w:rPr>
          <w:rFonts w:ascii="黑体" w:eastAsia="黑体" w:hint="eastAsia"/>
          <w:spacing w:val="11"/>
        </w:rPr>
        <w:t>范</w:t>
      </w:r>
      <w:r>
        <w:rPr>
          <w:rFonts w:ascii="黑体" w:eastAsia="黑体" w:hint="eastAsia"/>
          <w:spacing w:val="9"/>
        </w:rPr>
        <w:t>围、</w:t>
      </w:r>
      <w:r>
        <w:rPr>
          <w:rFonts w:ascii="黑体" w:eastAsia="黑体" w:hint="eastAsia"/>
          <w:spacing w:val="11"/>
        </w:rPr>
        <w:t>征</w:t>
      </w:r>
      <w:r>
        <w:rPr>
          <w:rFonts w:ascii="黑体" w:eastAsia="黑体" w:hint="eastAsia"/>
          <w:spacing w:val="9"/>
        </w:rPr>
        <w:t>收人</w:t>
      </w:r>
      <w:r>
        <w:rPr>
          <w:rFonts w:ascii="黑体" w:eastAsia="黑体" w:hint="eastAsia"/>
          <w:spacing w:val="11"/>
        </w:rPr>
        <w:t>及</w:t>
      </w:r>
      <w:r>
        <w:rPr>
          <w:rFonts w:ascii="黑体" w:eastAsia="黑体" w:hint="eastAsia"/>
          <w:spacing w:val="9"/>
        </w:rPr>
        <w:t>签约</w:t>
      </w:r>
      <w:r>
        <w:rPr>
          <w:rFonts w:ascii="黑体" w:eastAsia="黑体" w:hint="eastAsia"/>
          <w:spacing w:val="11"/>
        </w:rPr>
        <w:t>期</w:t>
      </w:r>
      <w:r>
        <w:rPr>
          <w:rFonts w:ascii="黑体" w:eastAsia="黑体" w:hint="eastAsia"/>
        </w:rPr>
        <w:t>限</w:t>
      </w:r>
    </w:p>
    <w:p>
      <w:pPr>
        <w:pStyle w:val="style66"/>
        <w:rPr>
          <w:rFonts w:ascii="黑体"/>
          <w:sz w:val="30"/>
        </w:rPr>
      </w:pPr>
    </w:p>
    <w:p>
      <w:pPr>
        <w:pStyle w:val="style66"/>
        <w:spacing w:before="6"/>
        <w:rPr>
          <w:rFonts w:ascii="黑体"/>
          <w:sz w:val="28"/>
        </w:rPr>
      </w:pPr>
    </w:p>
    <w:p>
      <w:pPr>
        <w:pStyle w:val="style3"/>
        <w:spacing w:lineRule="auto" w:line="338"/>
        <w:ind w:right="158"/>
        <w:jc w:val="both"/>
        <w:rPr>
          <w:rFonts w:ascii="仿宋" w:cs="仿宋" w:eastAsia="仿宋" w:hAnsi="仿宋"/>
          <w:sz w:val="31"/>
          <w:szCs w:val="31"/>
          <w:lang w:val="zh-CN" w:bidi="zh-CN" w:eastAsia="zh-CN"/>
        </w:rPr>
      </w:pPr>
      <w:r>
        <w:rPr>
          <w:rFonts w:ascii="黑体" w:eastAsia="黑体" w:hint="eastAsia"/>
          <w:sz w:val="31"/>
        </w:rPr>
        <w:t>一、房屋征收范围</w:t>
      </w:r>
      <w:r>
        <w:rPr>
          <w:rFonts w:ascii="仿宋" w:eastAsia="仿宋" w:hint="eastAsia"/>
          <w:sz w:val="31"/>
        </w:rPr>
        <w:t>：</w:t>
      </w:r>
      <w:r>
        <w:rPr>
          <w:rFonts w:ascii="仿宋" w:cs="仿宋" w:eastAsia="仿宋" w:hAnsi="仿宋"/>
          <w:sz w:val="31"/>
          <w:szCs w:val="31"/>
          <w:lang w:val="zh-CN" w:bidi="zh-CN" w:eastAsia="zh-CN"/>
        </w:rPr>
        <w:t>征收范围为大丫口水运司旧城</w:t>
      </w:r>
      <w:r>
        <w:rPr>
          <w:rFonts w:ascii="仿宋" w:cs="仿宋" w:eastAsia="仿宋" w:hAnsi="仿宋" w:hint="eastAsia"/>
          <w:sz w:val="31"/>
          <w:szCs w:val="31"/>
          <w:lang w:val="en-US" w:bidi="zh-CN" w:eastAsia="zh-CN"/>
        </w:rPr>
        <w:t>改造</w:t>
      </w:r>
      <w:r>
        <w:rPr>
          <w:rFonts w:ascii="仿宋" w:cs="仿宋" w:eastAsia="仿宋" w:hAnsi="仿宋"/>
          <w:sz w:val="31"/>
          <w:szCs w:val="31"/>
          <w:lang w:val="zh-CN" w:bidi="zh-CN" w:eastAsia="zh-CN"/>
        </w:rPr>
        <w:t>范围内</w:t>
      </w:r>
      <w:r>
        <w:rPr>
          <w:rFonts w:ascii="仿宋" w:cs="仿宋" w:eastAsia="仿宋" w:hAnsi="仿宋" w:hint="eastAsia"/>
          <w:sz w:val="31"/>
          <w:szCs w:val="31"/>
          <w:lang w:val="zh-CN" w:bidi="zh-CN" w:eastAsia="zh-CN"/>
        </w:rPr>
        <w:t>，</w:t>
      </w:r>
      <w:r>
        <w:rPr>
          <w:rFonts w:ascii="仿宋" w:cs="仿宋" w:eastAsia="仿宋" w:hAnsi="仿宋" w:hint="eastAsia"/>
          <w:sz w:val="31"/>
          <w:szCs w:val="31"/>
          <w:lang w:val="en-US" w:bidi="zh-CN" w:eastAsia="zh-CN"/>
        </w:rPr>
        <w:t>一期已收储地块以南，幸福新苑以北，汪水路以西，山体以东</w:t>
      </w:r>
      <w:r>
        <w:rPr>
          <w:rFonts w:ascii="仿宋" w:cs="仿宋" w:eastAsia="仿宋" w:hAnsi="仿宋"/>
          <w:sz w:val="31"/>
          <w:szCs w:val="31"/>
          <w:lang w:val="zh-CN" w:bidi="zh-CN" w:eastAsia="zh-CN"/>
        </w:rPr>
        <w:t>范围内涉及的房屋、建（构）筑物及附属设施。（详见征收红线图）</w:t>
      </w:r>
    </w:p>
    <w:p>
      <w:pPr>
        <w:pStyle w:val="style66"/>
        <w:spacing w:before="8"/>
        <w:ind w:left="767"/>
        <w:rPr>
          <w:rFonts w:ascii="黑体" w:eastAsia="黑体" w:hint="eastAsia"/>
        </w:rPr>
      </w:pPr>
      <w:r>
        <w:rPr>
          <w:rFonts w:ascii="黑体" w:eastAsia="黑体" w:hint="eastAsia"/>
        </w:rPr>
        <w:t>二、房屋征收主体、征收部门和征收实施单位</w:t>
      </w:r>
    </w:p>
    <w:p>
      <w:pPr>
        <w:pStyle w:val="style66"/>
        <w:spacing w:before="182"/>
        <w:ind w:left="767"/>
        <w:rPr/>
      </w:pPr>
      <w:r>
        <w:t>房屋征收主体：六盘水市钟山区人民政府。</w:t>
      </w:r>
    </w:p>
    <w:p>
      <w:pPr>
        <w:pStyle w:val="style66"/>
        <w:spacing w:before="181"/>
        <w:ind w:left="767"/>
        <w:rPr/>
      </w:pPr>
      <w:r>
        <w:t>房屋征收部门：六盘水市钟山区住房和城乡建设局。</w:t>
      </w:r>
    </w:p>
    <w:p>
      <w:pPr>
        <w:pStyle w:val="style0"/>
        <w:spacing w:before="171"/>
        <w:ind w:left="767" w:right="0" w:firstLine="0"/>
        <w:jc w:val="left"/>
        <w:rPr>
          <w:rFonts w:ascii="仿宋_GB2312" w:eastAsia="仿宋_GB2312" w:hint="eastAsia"/>
          <w:sz w:val="32"/>
        </w:rPr>
      </w:pPr>
      <w:r>
        <w:rPr>
          <w:sz w:val="31"/>
        </w:rPr>
        <w:t>房屋征收实施单位：</w:t>
      </w:r>
      <w:r>
        <w:rPr>
          <w:rFonts w:ascii="仿宋_GB2312" w:eastAsia="仿宋_GB2312" w:hint="eastAsia"/>
          <w:sz w:val="32"/>
        </w:rPr>
        <w:t>六盘水市钟山区人民政府红岩街道办事</w:t>
      </w:r>
    </w:p>
    <w:p>
      <w:pPr>
        <w:pStyle w:val="style66"/>
        <w:spacing w:before="12"/>
        <w:rPr>
          <w:rFonts w:ascii="仿宋_GB2312"/>
          <w:sz w:val="8"/>
        </w:rPr>
      </w:pPr>
    </w:p>
    <w:p>
      <w:pPr>
        <w:pStyle w:val="style3"/>
        <w:spacing w:before="54"/>
        <w:ind w:firstLine="0"/>
        <w:rPr/>
      </w:pPr>
      <w:r>
        <w:t>处。</w:t>
      </w:r>
    </w:p>
    <w:p>
      <w:pPr>
        <w:pStyle w:val="style0"/>
        <w:spacing w:after="0"/>
        <w:rPr/>
        <w:sectPr>
          <w:footerReference w:type="default" r:id="rId2"/>
          <w:pgSz w:w="11910" w:h="16840" w:orient="portrait"/>
          <w:pgMar w:top="1580" w:right="1200" w:bottom="1200" w:left="1460" w:header="0" w:footer="1002" w:gutter="0"/>
          <w:pgNumType w:start="1"/>
          <w:cols w:space="720" w:num="1"/>
        </w:sectPr>
      </w:pPr>
    </w:p>
    <w:p>
      <w:pPr>
        <w:pStyle w:val="style66"/>
        <w:rPr>
          <w:rFonts w:ascii="仿宋_GB2312"/>
          <w:sz w:val="20"/>
        </w:rPr>
      </w:pPr>
    </w:p>
    <w:p>
      <w:pPr>
        <w:pStyle w:val="style66"/>
        <w:spacing w:before="5"/>
        <w:rPr>
          <w:rFonts w:ascii="仿宋_GB2312"/>
          <w:sz w:val="26"/>
        </w:rPr>
      </w:pPr>
    </w:p>
    <w:p>
      <w:pPr>
        <w:pStyle w:val="style66"/>
        <w:spacing w:before="57"/>
        <w:ind w:left="767"/>
        <w:rPr>
          <w:rFonts w:ascii="黑体" w:eastAsia="黑体" w:hint="eastAsia"/>
        </w:rPr>
      </w:pPr>
      <w:r>
        <w:rPr>
          <w:rFonts w:ascii="黑体" w:eastAsia="黑体" w:hint="eastAsia"/>
        </w:rPr>
        <w:t>三、签约期限及搬迁期限</w:t>
      </w:r>
    </w:p>
    <w:p>
      <w:pPr>
        <w:pStyle w:val="style66"/>
        <w:spacing w:before="181"/>
        <w:ind w:left="767"/>
        <w:rPr>
          <w:rFonts w:ascii="楷体" w:eastAsia="楷体" w:hint="eastAsia"/>
        </w:rPr>
      </w:pPr>
      <w:r>
        <w:rPr>
          <w:rFonts w:ascii="楷体" w:eastAsia="楷体" w:hint="eastAsia"/>
        </w:rPr>
        <w:t>（一）签约期限</w:t>
      </w:r>
    </w:p>
    <w:p>
      <w:pPr>
        <w:pStyle w:val="style3"/>
        <w:tabs>
          <w:tab w:val="left" w:leader="none" w:pos="5291"/>
          <w:tab w:val="left" w:leader="none" w:pos="6092"/>
        </w:tabs>
        <w:spacing w:before="171" w:lineRule="auto" w:line="338"/>
        <w:ind w:right="114"/>
        <w:rPr>
          <w:highlight w:val="none"/>
        </w:rPr>
      </w:pPr>
      <w:r>
        <w:rPr>
          <w:highlight w:val="none"/>
        </w:rPr>
        <w:t>签约期限为</w:t>
      </w:r>
      <w:r>
        <w:rPr>
          <w:color w:val="0000ff"/>
          <w:spacing w:val="-81"/>
          <w:highlight w:val="none"/>
        </w:rPr>
        <w:t xml:space="preserve"> </w:t>
      </w:r>
      <w:r>
        <w:rPr>
          <w:rFonts w:ascii="Times New Roman" w:eastAsia="宋体" w:hint="eastAsia"/>
          <w:color w:val="0000ff"/>
          <w:spacing w:val="-1"/>
          <w:highlight w:val="none"/>
          <w:lang w:val="en-US" w:eastAsia="zh-CN"/>
        </w:rPr>
        <w:t>25</w:t>
      </w:r>
      <w:r>
        <w:rPr>
          <w:color w:val="0000ff"/>
          <w:highlight w:val="none"/>
        </w:rPr>
        <w:t>天</w:t>
      </w:r>
      <w:r>
        <w:rPr>
          <w:color w:val="0000ff"/>
          <w:spacing w:val="-115"/>
          <w:highlight w:val="none"/>
        </w:rPr>
        <w:t>，</w:t>
      </w:r>
      <w:r>
        <w:rPr>
          <w:highlight w:val="none"/>
        </w:rPr>
        <w:t>自</w:t>
      </w:r>
      <w:r>
        <w:rPr>
          <w:spacing w:val="-81"/>
          <w:highlight w:val="none"/>
        </w:rPr>
        <w:t xml:space="preserve"> </w:t>
      </w:r>
      <w:r>
        <w:rPr>
          <w:rFonts w:ascii="Times New Roman" w:eastAsia="Times New Roman"/>
          <w:highlight w:val="none"/>
        </w:rPr>
        <w:t>202</w:t>
      </w:r>
      <w:r>
        <w:rPr>
          <w:rFonts w:ascii="Times New Roman" w:eastAsia="宋体" w:hint="eastAsia"/>
          <w:highlight w:val="none"/>
          <w:lang w:val="en-US" w:eastAsia="zh-CN"/>
        </w:rPr>
        <w:t>3</w:t>
      </w:r>
      <w:r>
        <w:rPr>
          <w:rFonts w:ascii="Times New Roman" w:eastAsia="Times New Roman"/>
          <w:spacing w:val="-1"/>
          <w:highlight w:val="none"/>
        </w:rPr>
        <w:t xml:space="preserve"> </w:t>
      </w:r>
      <w:r>
        <w:rPr>
          <w:highlight w:val="none"/>
        </w:rPr>
        <w:t>年</w:t>
      </w:r>
      <w:r>
        <w:rPr>
          <w:highlight w:val="none"/>
        </w:rPr>
        <w:tab/>
      </w:r>
      <w:r>
        <w:rPr>
          <w:highlight w:val="none"/>
        </w:rPr>
        <w:t>月</w:t>
      </w:r>
      <w:r>
        <w:rPr>
          <w:highlight w:val="none"/>
        </w:rPr>
        <w:tab/>
      </w:r>
      <w:r>
        <w:rPr>
          <w:highlight w:val="none"/>
        </w:rPr>
        <w:t>日至</w:t>
      </w:r>
      <w:r>
        <w:rPr>
          <w:spacing w:val="-80"/>
          <w:highlight w:val="none"/>
        </w:rPr>
        <w:t xml:space="preserve"> </w:t>
      </w:r>
      <w:r>
        <w:rPr>
          <w:rFonts w:ascii="Times New Roman" w:eastAsia="Times New Roman"/>
          <w:highlight w:val="none"/>
        </w:rPr>
        <w:t>202</w:t>
      </w:r>
      <w:r>
        <w:rPr>
          <w:rFonts w:ascii="Times New Roman" w:eastAsia="宋体" w:hint="eastAsia"/>
          <w:highlight w:val="none"/>
          <w:lang w:val="en-US" w:eastAsia="zh-CN"/>
        </w:rPr>
        <w:t>3</w:t>
      </w:r>
      <w:r>
        <w:rPr>
          <w:rFonts w:ascii="Times New Roman" w:eastAsia="Times New Roman"/>
          <w:spacing w:val="-1"/>
          <w:highlight w:val="none"/>
        </w:rPr>
        <w:t xml:space="preserve"> </w:t>
      </w:r>
      <w:r>
        <w:rPr>
          <w:highlight w:val="none"/>
        </w:rPr>
        <w:t>年</w:t>
      </w:r>
      <w:r>
        <w:rPr>
          <w:spacing w:val="-1"/>
          <w:highlight w:val="none"/>
        </w:rPr>
        <w:t xml:space="preserve"> </w:t>
      </w:r>
      <w:r>
        <w:rPr>
          <w:highlight w:val="none"/>
        </w:rPr>
        <w:t>月</w:t>
      </w:r>
      <w:r>
        <w:rPr>
          <w:spacing w:val="-2"/>
          <w:highlight w:val="none"/>
        </w:rPr>
        <w:t xml:space="preserve"> </w:t>
      </w:r>
      <w:r>
        <w:rPr>
          <w:highlight w:val="none"/>
        </w:rPr>
        <w:t>日</w:t>
      </w:r>
      <w:r>
        <w:rPr>
          <w:spacing w:val="-16"/>
          <w:highlight w:val="none"/>
        </w:rPr>
        <w:t>。</w:t>
      </w:r>
      <w:r>
        <w:rPr>
          <w:highlight w:val="none"/>
        </w:rPr>
        <w:t>签约期限内未签约的，一律不给予任何奖励。</w:t>
      </w:r>
    </w:p>
    <w:p>
      <w:pPr>
        <w:pStyle w:val="style0"/>
        <w:spacing w:before="1" w:lineRule="auto" w:line="338"/>
        <w:ind w:left="126" w:right="114" w:firstLine="640"/>
        <w:jc w:val="left"/>
        <w:rPr>
          <w:rFonts w:ascii="仿宋_GB2312" w:eastAsia="仿宋_GB2312" w:hint="eastAsia"/>
          <w:sz w:val="32"/>
          <w:highlight w:val="none"/>
        </w:rPr>
      </w:pPr>
      <w:r>
        <w:rPr>
          <w:rFonts w:ascii="仿宋_GB2312" w:eastAsia="仿宋_GB2312" w:hint="eastAsia"/>
          <w:spacing w:val="-12"/>
          <w:sz w:val="32"/>
          <w:highlight w:val="none"/>
        </w:rPr>
        <w:t>一类签约期限：签约时间为</w:t>
      </w:r>
      <w:r>
        <w:rPr>
          <w:rFonts w:ascii="Times New Roman" w:eastAsia="Times New Roman"/>
          <w:sz w:val="32"/>
          <w:highlight w:val="none"/>
        </w:rPr>
        <w:t>202</w:t>
      </w:r>
      <w:r>
        <w:rPr>
          <w:rFonts w:ascii="Times New Roman" w:eastAsia="宋体" w:hint="eastAsia"/>
          <w:sz w:val="32"/>
          <w:highlight w:val="none"/>
          <w:lang w:val="en-US" w:eastAsia="zh-CN"/>
        </w:rPr>
        <w:t>3</w:t>
      </w:r>
      <w:r>
        <w:rPr>
          <w:rFonts w:ascii="Times New Roman" w:eastAsia="Times New Roman"/>
          <w:sz w:val="32"/>
          <w:highlight w:val="none"/>
        </w:rPr>
        <w:t xml:space="preserve"> </w:t>
      </w:r>
      <w:r>
        <w:rPr>
          <w:rFonts w:ascii="仿宋_GB2312" w:eastAsia="仿宋_GB2312" w:hint="eastAsia"/>
          <w:spacing w:val="6"/>
          <w:sz w:val="32"/>
          <w:highlight w:val="none"/>
        </w:rPr>
        <w:t>年 月 日至</w:t>
      </w:r>
      <w:r>
        <w:rPr>
          <w:rFonts w:ascii="Times New Roman" w:eastAsia="Times New Roman"/>
          <w:sz w:val="32"/>
          <w:highlight w:val="none"/>
        </w:rPr>
        <w:t>202</w:t>
      </w:r>
      <w:r>
        <w:rPr>
          <w:rFonts w:ascii="Times New Roman" w:eastAsia="宋体" w:hint="eastAsia"/>
          <w:sz w:val="32"/>
          <w:highlight w:val="none"/>
          <w:lang w:val="en-US" w:eastAsia="zh-CN"/>
        </w:rPr>
        <w:t>3</w:t>
      </w:r>
      <w:r>
        <w:rPr>
          <w:rFonts w:ascii="Times New Roman" w:eastAsia="Times New Roman"/>
          <w:sz w:val="32"/>
          <w:highlight w:val="none"/>
        </w:rPr>
        <w:t xml:space="preserve"> </w:t>
      </w:r>
      <w:r>
        <w:rPr>
          <w:rFonts w:ascii="仿宋_GB2312" w:eastAsia="仿宋_GB2312" w:hint="eastAsia"/>
          <w:spacing w:val="-2"/>
          <w:sz w:val="32"/>
          <w:highlight w:val="none"/>
        </w:rPr>
        <w:t xml:space="preserve">年 月 日， </w:t>
      </w:r>
      <w:r>
        <w:rPr>
          <w:rFonts w:ascii="仿宋_GB2312" w:eastAsia="仿宋_GB2312" w:hint="eastAsia"/>
          <w:spacing w:val="-41"/>
          <w:sz w:val="32"/>
          <w:highlight w:val="none"/>
        </w:rPr>
        <w:t xml:space="preserve">共 </w:t>
      </w:r>
      <w:r>
        <w:rPr>
          <w:rFonts w:ascii="Times New Roman" w:eastAsia="宋体" w:hint="eastAsia"/>
          <w:color w:val="0000ff"/>
          <w:sz w:val="32"/>
          <w:highlight w:val="none"/>
          <w:lang w:val="en-US" w:eastAsia="zh-CN"/>
        </w:rPr>
        <w:t>20</w:t>
      </w:r>
      <w:r>
        <w:rPr>
          <w:rFonts w:ascii="仿宋_GB2312" w:eastAsia="仿宋_GB2312" w:hint="eastAsia"/>
          <w:sz w:val="32"/>
          <w:highlight w:val="none"/>
        </w:rPr>
        <w:t>天。</w:t>
      </w:r>
    </w:p>
    <w:p>
      <w:pPr>
        <w:pStyle w:val="style0"/>
        <w:spacing w:before="0" w:lineRule="auto" w:line="336"/>
        <w:ind w:left="126" w:right="114" w:firstLine="640"/>
        <w:jc w:val="left"/>
        <w:rPr>
          <w:rFonts w:ascii="仿宋_GB2312" w:eastAsia="仿宋_GB2312" w:hint="eastAsia"/>
          <w:sz w:val="32"/>
          <w:highlight w:val="none"/>
        </w:rPr>
      </w:pPr>
      <w:r>
        <w:rPr>
          <w:rFonts w:ascii="仿宋_GB2312" w:eastAsia="仿宋_GB2312" w:hint="eastAsia"/>
          <w:spacing w:val="-12"/>
          <w:sz w:val="32"/>
          <w:highlight w:val="none"/>
        </w:rPr>
        <w:t>二类签约期限：签约时间为</w:t>
      </w:r>
      <w:r>
        <w:rPr>
          <w:rFonts w:ascii="Times New Roman" w:eastAsia="Times New Roman"/>
          <w:sz w:val="32"/>
          <w:highlight w:val="none"/>
        </w:rPr>
        <w:t>202</w:t>
      </w:r>
      <w:r>
        <w:rPr>
          <w:rFonts w:ascii="Times New Roman" w:eastAsia="宋体" w:hint="eastAsia"/>
          <w:sz w:val="32"/>
          <w:highlight w:val="none"/>
          <w:lang w:val="en-US" w:eastAsia="zh-CN"/>
        </w:rPr>
        <w:t>3</w:t>
      </w:r>
      <w:r>
        <w:rPr>
          <w:rFonts w:ascii="Times New Roman" w:eastAsia="Times New Roman"/>
          <w:sz w:val="32"/>
          <w:highlight w:val="none"/>
        </w:rPr>
        <w:t xml:space="preserve"> </w:t>
      </w:r>
      <w:r>
        <w:rPr>
          <w:rFonts w:ascii="仿宋_GB2312" w:eastAsia="仿宋_GB2312" w:hint="eastAsia"/>
          <w:spacing w:val="6"/>
          <w:sz w:val="32"/>
          <w:highlight w:val="none"/>
        </w:rPr>
        <w:t>年 月 日至</w:t>
      </w:r>
      <w:r>
        <w:rPr>
          <w:rFonts w:ascii="Times New Roman" w:eastAsia="Times New Roman"/>
          <w:sz w:val="32"/>
          <w:highlight w:val="none"/>
        </w:rPr>
        <w:t>202</w:t>
      </w:r>
      <w:r>
        <w:rPr>
          <w:rFonts w:ascii="Times New Roman" w:eastAsia="宋体" w:hint="eastAsia"/>
          <w:sz w:val="32"/>
          <w:highlight w:val="none"/>
          <w:lang w:val="en-US" w:eastAsia="zh-CN"/>
        </w:rPr>
        <w:t>3</w:t>
      </w:r>
      <w:r>
        <w:rPr>
          <w:rFonts w:ascii="Times New Roman" w:eastAsia="Times New Roman"/>
          <w:sz w:val="32"/>
          <w:highlight w:val="none"/>
        </w:rPr>
        <w:t xml:space="preserve"> </w:t>
      </w:r>
      <w:r>
        <w:rPr>
          <w:rFonts w:ascii="仿宋_GB2312" w:eastAsia="仿宋_GB2312" w:hint="eastAsia"/>
          <w:spacing w:val="-2"/>
          <w:sz w:val="32"/>
          <w:highlight w:val="none"/>
        </w:rPr>
        <w:t xml:space="preserve">年 月 日， </w:t>
      </w:r>
      <w:r>
        <w:rPr>
          <w:rFonts w:ascii="仿宋_GB2312" w:eastAsia="仿宋_GB2312" w:hint="eastAsia"/>
          <w:spacing w:val="-41"/>
          <w:sz w:val="32"/>
          <w:highlight w:val="none"/>
        </w:rPr>
        <w:t>共</w:t>
      </w:r>
      <w:r>
        <w:rPr>
          <w:rFonts w:ascii="仿宋_GB2312" w:eastAsia="仿宋_GB2312" w:hint="eastAsia"/>
          <w:color w:val="0000ff"/>
          <w:spacing w:val="-41"/>
          <w:sz w:val="32"/>
          <w:highlight w:val="none"/>
        </w:rPr>
        <w:t xml:space="preserve"> </w:t>
      </w:r>
      <w:r>
        <w:rPr>
          <w:rFonts w:ascii="Times New Roman" w:eastAsia="宋体" w:hint="eastAsia"/>
          <w:color w:val="0000ff"/>
          <w:sz w:val="32"/>
          <w:highlight w:val="none"/>
          <w:lang w:val="en-US" w:eastAsia="zh-CN"/>
        </w:rPr>
        <w:t>5</w:t>
      </w:r>
      <w:r>
        <w:rPr>
          <w:rFonts w:ascii="Times New Roman" w:eastAsia="Times New Roman"/>
          <w:color w:val="0000ff"/>
          <w:sz w:val="32"/>
          <w:highlight w:val="none"/>
        </w:rPr>
        <w:t xml:space="preserve"> </w:t>
      </w:r>
      <w:r>
        <w:rPr>
          <w:rFonts w:ascii="仿宋_GB2312" w:eastAsia="仿宋_GB2312" w:hint="eastAsia"/>
          <w:sz w:val="32"/>
          <w:highlight w:val="none"/>
        </w:rPr>
        <w:t>天。</w:t>
      </w:r>
    </w:p>
    <w:p>
      <w:pPr>
        <w:pStyle w:val="style66"/>
        <w:spacing w:before="17"/>
        <w:ind w:left="757"/>
        <w:rPr>
          <w:rFonts w:ascii="楷体" w:eastAsia="楷体" w:hint="eastAsia"/>
        </w:rPr>
      </w:pPr>
      <w:r>
        <w:rPr>
          <w:rFonts w:ascii="楷体" w:eastAsia="楷体" w:hint="eastAsia"/>
        </w:rPr>
        <w:t>（二）搬迁腾房期限</w:t>
      </w:r>
    </w:p>
    <w:p>
      <w:pPr>
        <w:pStyle w:val="style66"/>
        <w:spacing w:before="181" w:lineRule="auto" w:line="348"/>
        <w:ind w:left="126" w:right="278" w:firstLine="640"/>
        <w:jc w:val="both"/>
        <w:rPr/>
      </w:pPr>
      <w:r>
        <w:t xml:space="preserve">房屋征收补偿合同签订后，被征收人应及时腾空交房。一类搬迁期限自各被征收房屋征收补偿主合同补偿款支付之日起 </w:t>
      </w:r>
      <w:r>
        <w:rPr>
          <w:rFonts w:ascii="Times New Roman" w:eastAsia="Times New Roman"/>
        </w:rPr>
        <w:t xml:space="preserve">15 </w:t>
      </w:r>
      <w:r>
        <w:t xml:space="preserve">日内，二类搬迁期限自各被征收房屋征收补偿主合同补偿款支付之日起 </w:t>
      </w:r>
      <w:r>
        <w:rPr>
          <w:rFonts w:ascii="Times New Roman" w:eastAsia="Times New Roman"/>
        </w:rPr>
        <w:t xml:space="preserve">25 </w:t>
      </w:r>
      <w:r>
        <w:t>日内。</w:t>
      </w:r>
      <w:r>
        <w:rPr>
          <w:rFonts w:hint="eastAsia"/>
        </w:rPr>
        <w:t>选择产权调换且主合同不需支付补偿款的，搬迁期限自 2023 年</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日起计。</w:t>
      </w:r>
    </w:p>
    <w:p>
      <w:pPr>
        <w:pStyle w:val="style66"/>
        <w:spacing w:before="9"/>
        <w:rPr>
          <w:sz w:val="45"/>
        </w:rPr>
      </w:pPr>
    </w:p>
    <w:p>
      <w:pPr>
        <w:pStyle w:val="style66"/>
        <w:tabs>
          <w:tab w:val="left" w:leader="none" w:pos="1288"/>
        </w:tabs>
        <w:ind w:right="156"/>
        <w:jc w:val="center"/>
        <w:rPr>
          <w:rFonts w:ascii="黑体" w:eastAsia="黑体" w:hint="eastAsia"/>
        </w:rPr>
      </w:pPr>
      <w:r>
        <w:rPr>
          <w:rFonts w:ascii="黑体" w:eastAsia="黑体" w:hint="eastAsia"/>
          <w:spacing w:val="9"/>
        </w:rPr>
        <w:t>第</w:t>
      </w:r>
      <w:r>
        <w:rPr>
          <w:rFonts w:ascii="黑体" w:eastAsia="黑体" w:hint="eastAsia"/>
          <w:spacing w:val="11"/>
        </w:rPr>
        <w:t>二</w:t>
      </w:r>
      <w:r>
        <w:rPr>
          <w:rFonts w:ascii="黑体" w:eastAsia="黑体" w:hint="eastAsia"/>
        </w:rPr>
        <w:t>章</w:t>
      </w:r>
      <w:r>
        <w:rPr>
          <w:rFonts w:ascii="黑体" w:eastAsia="黑体" w:hint="eastAsia"/>
        </w:rPr>
        <w:tab/>
      </w:r>
      <w:r>
        <w:rPr>
          <w:rFonts w:ascii="黑体" w:eastAsia="黑体" w:hint="eastAsia"/>
          <w:spacing w:val="9"/>
        </w:rPr>
        <w:t>被</w:t>
      </w:r>
      <w:r>
        <w:rPr>
          <w:rFonts w:ascii="黑体" w:eastAsia="黑体" w:hint="eastAsia"/>
          <w:spacing w:val="11"/>
        </w:rPr>
        <w:t>征</w:t>
      </w:r>
      <w:r>
        <w:rPr>
          <w:rFonts w:ascii="黑体" w:eastAsia="黑体" w:hint="eastAsia"/>
          <w:spacing w:val="9"/>
        </w:rPr>
        <w:t>收房</w:t>
      </w:r>
      <w:r>
        <w:rPr>
          <w:rFonts w:ascii="黑体" w:eastAsia="黑体" w:hint="eastAsia"/>
          <w:spacing w:val="11"/>
        </w:rPr>
        <w:t>屋</w:t>
      </w:r>
      <w:r>
        <w:rPr>
          <w:rFonts w:ascii="黑体" w:eastAsia="黑体" w:hint="eastAsia"/>
          <w:spacing w:val="9"/>
        </w:rPr>
        <w:t>的认</w:t>
      </w:r>
      <w:r>
        <w:rPr>
          <w:rFonts w:ascii="黑体" w:eastAsia="黑体" w:hint="eastAsia"/>
        </w:rPr>
        <w:t>定</w:t>
      </w:r>
    </w:p>
    <w:p>
      <w:pPr>
        <w:pStyle w:val="style66"/>
        <w:rPr>
          <w:rFonts w:ascii="黑体"/>
          <w:sz w:val="30"/>
        </w:rPr>
      </w:pPr>
    </w:p>
    <w:p>
      <w:pPr>
        <w:pStyle w:val="style66"/>
        <w:spacing w:before="4"/>
        <w:rPr>
          <w:rFonts w:ascii="黑体"/>
          <w:sz w:val="29"/>
        </w:rPr>
      </w:pPr>
    </w:p>
    <w:p>
      <w:pPr>
        <w:pStyle w:val="style66"/>
        <w:ind w:left="767"/>
        <w:rPr>
          <w:rFonts w:ascii="黑体" w:eastAsia="黑体" w:hint="eastAsia"/>
        </w:rPr>
      </w:pPr>
      <w:r>
        <w:rPr>
          <w:rFonts w:ascii="黑体" w:eastAsia="黑体" w:hint="eastAsia"/>
        </w:rPr>
        <w:t>一、基本原则</w:t>
      </w:r>
    </w:p>
    <w:p>
      <w:pPr>
        <w:pStyle w:val="style66"/>
        <w:spacing w:before="179" w:lineRule="auto" w:line="350"/>
        <w:ind w:left="126" w:right="280" w:firstLine="494"/>
        <w:jc w:val="both"/>
        <w:rPr/>
      </w:pPr>
      <w:r>
        <w:t>因各种历史原因，未取得或未完整取得产权证书的建筑，以及房地产登记簿记载事项不明确或者与现状不符的建筑，在房屋征收前由房屋征收实施单位组织调查，六盘水市钟山区人民政府应组成联合认定工作组根据调查情况进行认定。</w:t>
      </w:r>
    </w:p>
    <w:p>
      <w:pPr>
        <w:pStyle w:val="style66"/>
        <w:spacing w:lineRule="exact" w:line="391"/>
        <w:ind w:left="767"/>
        <w:rPr>
          <w:rFonts w:ascii="黑体" w:eastAsia="黑体" w:hint="eastAsia"/>
        </w:rPr>
      </w:pPr>
      <w:r>
        <w:rPr>
          <w:rFonts w:ascii="黑体" w:eastAsia="黑体" w:hint="eastAsia"/>
        </w:rPr>
        <w:t>二、土地性质认定</w:t>
      </w:r>
    </w:p>
    <w:p>
      <w:pPr>
        <w:pStyle w:val="style0"/>
        <w:spacing w:after="0" w:lineRule="exact" w:line="391"/>
        <w:rPr>
          <w:rFonts w:ascii="黑体" w:eastAsia="黑体" w:hint="eastAsia"/>
        </w:rPr>
        <w:sectPr>
          <w:pgSz w:w="11910" w:h="16840" w:orient="portrait"/>
          <w:pgMar w:top="1580" w:right="1200" w:bottom="1200" w:left="1460" w:header="0" w:footer="1002" w:gutter="0"/>
          <w:cols w:space="720" w:num="1"/>
        </w:sectPr>
      </w:pPr>
    </w:p>
    <w:p>
      <w:pPr>
        <w:pStyle w:val="style66"/>
        <w:rPr>
          <w:rFonts w:ascii="黑体"/>
          <w:sz w:val="20"/>
        </w:rPr>
      </w:pPr>
    </w:p>
    <w:p>
      <w:pPr>
        <w:pStyle w:val="style66"/>
        <w:spacing w:before="5"/>
        <w:rPr>
          <w:rFonts w:ascii="黑体"/>
          <w:sz w:val="26"/>
        </w:rPr>
      </w:pPr>
    </w:p>
    <w:p>
      <w:pPr>
        <w:pStyle w:val="style66"/>
        <w:spacing w:before="57" w:lineRule="auto" w:line="350"/>
        <w:ind w:left="126" w:right="282" w:firstLine="640"/>
        <w:rPr/>
      </w:pPr>
      <w:r>
        <w:t>已签订土地出让合同，缴纳土地出让金，且土地出让年限未到期的，认定为出让。</w:t>
      </w:r>
    </w:p>
    <w:p>
      <w:pPr>
        <w:pStyle w:val="style66"/>
        <w:spacing w:lineRule="auto" w:line="350"/>
        <w:ind w:left="126" w:right="282" w:firstLine="640"/>
        <w:rPr/>
      </w:pPr>
      <w:r>
        <w:t>房改房已办理市场准入证的，认定为出让；房改房未办理市场准入证的，认定为划拨。</w:t>
      </w:r>
    </w:p>
    <w:p>
      <w:pPr>
        <w:pStyle w:val="style66"/>
        <w:spacing w:lineRule="auto" w:line="348"/>
        <w:ind w:left="126" w:right="282" w:firstLine="640"/>
        <w:rPr/>
      </w:pPr>
      <w:r>
        <w:t>土地出让年限到期的，以及其他根据土地权属来源资料不能认定为出让土地的，参照划拨价值补偿。</w:t>
      </w:r>
    </w:p>
    <w:p>
      <w:pPr>
        <w:pStyle w:val="style66"/>
        <w:ind w:left="767"/>
        <w:rPr>
          <w:rFonts w:ascii="黑体" w:eastAsia="黑体" w:hint="eastAsia"/>
        </w:rPr>
      </w:pPr>
      <w:r>
        <w:rPr>
          <w:rFonts w:ascii="黑体" w:eastAsia="黑体" w:hint="eastAsia"/>
        </w:rPr>
        <w:t>三、房屋用途认定</w:t>
      </w:r>
    </w:p>
    <w:p>
      <w:pPr>
        <w:pStyle w:val="style66"/>
        <w:spacing w:before="178"/>
        <w:ind w:left="767"/>
        <w:rPr/>
      </w:pPr>
      <w:r>
        <w:t>房屋用途依据房屋所有权证登记用途进行认定。</w:t>
      </w:r>
    </w:p>
    <w:p>
      <w:pPr>
        <w:pStyle w:val="style66"/>
        <w:spacing w:before="181" w:lineRule="auto" w:line="348"/>
        <w:ind w:left="126" w:right="280" w:firstLine="640"/>
        <w:jc w:val="both"/>
        <w:rPr/>
      </w:pPr>
      <w:r>
        <w:t>无房产证的，房屋用途根据土地使用证用途、土地权属来源资料或建房有关资料认定，无任何资料的，认定为住宅或仓储用途；无土地使用证及土地权属来源资料的，土地用途认定为住宅或仓储用途。</w:t>
      </w:r>
    </w:p>
    <w:p>
      <w:pPr>
        <w:pStyle w:val="style66"/>
        <w:spacing w:before="7"/>
        <w:ind w:left="932"/>
        <w:rPr>
          <w:rFonts w:ascii="楷体" w:eastAsia="楷体" w:hint="eastAsia"/>
          <w:i/>
          <w:iCs/>
          <w:color w:val="ff0000"/>
          <w:u w:val="single"/>
          <w:lang w:eastAsia="zh-CN"/>
        </w:rPr>
      </w:pPr>
      <w:r>
        <w:rPr>
          <w:rFonts w:ascii="黑体" w:eastAsia="黑体" w:hint="eastAsia"/>
        </w:rPr>
        <w:t>四、房屋性质认定</w:t>
      </w:r>
    </w:p>
    <w:p>
      <w:pPr>
        <w:pStyle w:val="style66"/>
        <w:spacing w:before="181" w:lineRule="auto" w:line="350"/>
        <w:ind w:left="126" w:right="280" w:firstLine="602"/>
        <w:jc w:val="both"/>
        <w:rPr>
          <w:rFonts w:ascii="楷体" w:eastAsia="楷体" w:hint="eastAsia"/>
        </w:rPr>
      </w:pPr>
      <w:r>
        <w:rPr>
          <w:rFonts w:ascii="楷体" w:eastAsia="楷体" w:hint="eastAsia"/>
        </w:rPr>
        <w:t>（一）有土地证无房产证，但具有以下建房</w:t>
      </w:r>
      <w:r>
        <w:rPr>
          <w:rFonts w:ascii="楷体" w:eastAsia="楷体" w:hint="eastAsia"/>
          <w:lang w:val="en-US" w:eastAsia="zh-CN"/>
        </w:rPr>
        <w:t>相关资料</w:t>
      </w:r>
      <w:r>
        <w:rPr>
          <w:rFonts w:ascii="楷体" w:eastAsia="楷体" w:hint="eastAsia"/>
        </w:rPr>
        <w:t xml:space="preserve">之一的，认定为单土地证 </w:t>
      </w:r>
      <w:r>
        <w:rPr>
          <w:rFonts w:ascii="Times New Roman" w:eastAsia="Times New Roman"/>
        </w:rPr>
        <w:t xml:space="preserve">A </w:t>
      </w:r>
      <w:r>
        <w:rPr>
          <w:rFonts w:ascii="楷体" w:eastAsia="楷体" w:hint="eastAsia"/>
        </w:rPr>
        <w:t>类房屋。</w:t>
      </w:r>
    </w:p>
    <w:p>
      <w:pPr>
        <w:pStyle w:val="style179"/>
        <w:numPr>
          <w:ilvl w:val="0"/>
          <w:numId w:val="1"/>
        </w:numPr>
        <w:tabs>
          <w:tab w:val="left" w:leader="none" w:pos="1010"/>
        </w:tabs>
        <w:spacing w:before="0" w:after="0" w:lineRule="exact" w:line="393"/>
        <w:ind w:left="1009" w:right="0" w:hanging="243"/>
        <w:jc w:val="left"/>
        <w:rPr>
          <w:sz w:val="31"/>
        </w:rPr>
      </w:pPr>
      <w:r>
        <w:rPr>
          <w:spacing w:val="9"/>
          <w:sz w:val="31"/>
        </w:rPr>
        <w:t>建设工程规划许可证、建设（</w:t>
      </w:r>
      <w:r>
        <w:rPr>
          <w:spacing w:val="11"/>
          <w:sz w:val="31"/>
        </w:rPr>
        <w:t>筑</w:t>
      </w:r>
      <w:r>
        <w:rPr>
          <w:spacing w:val="9"/>
          <w:sz w:val="31"/>
        </w:rPr>
        <w:t>）</w:t>
      </w:r>
      <w:r>
        <w:rPr>
          <w:spacing w:val="7"/>
          <w:sz w:val="31"/>
        </w:rPr>
        <w:t>施工许可证等。</w:t>
      </w:r>
    </w:p>
    <w:p>
      <w:pPr>
        <w:pStyle w:val="style179"/>
        <w:numPr>
          <w:ilvl w:val="0"/>
          <w:numId w:val="1"/>
        </w:numPr>
        <w:tabs>
          <w:tab w:val="left" w:leader="none" w:pos="1010"/>
        </w:tabs>
        <w:spacing w:before="179" w:after="0" w:lineRule="auto" w:line="240"/>
        <w:ind w:left="1009" w:right="0" w:hanging="243"/>
        <w:jc w:val="left"/>
        <w:rPr>
          <w:sz w:val="31"/>
        </w:rPr>
      </w:pPr>
      <w:r>
        <w:rPr>
          <w:spacing w:val="8"/>
          <w:sz w:val="31"/>
        </w:rPr>
        <w:t>提供规划、住建等行政机关罚款缴纳凭据原始依据的。</w:t>
      </w:r>
    </w:p>
    <w:p>
      <w:pPr>
        <w:pStyle w:val="style179"/>
        <w:numPr>
          <w:ilvl w:val="0"/>
          <w:numId w:val="1"/>
        </w:numPr>
        <w:tabs>
          <w:tab w:val="left" w:leader="none" w:pos="1010"/>
        </w:tabs>
        <w:spacing w:before="181" w:after="0" w:lineRule="auto" w:line="240"/>
        <w:ind w:left="1009" w:right="0" w:hanging="243"/>
        <w:jc w:val="left"/>
        <w:rPr>
          <w:sz w:val="31"/>
        </w:rPr>
      </w:pPr>
      <w:r>
        <w:rPr>
          <w:spacing w:val="8"/>
          <w:sz w:val="31"/>
        </w:rPr>
        <w:t>关于房改房建设、集资建房的批准文件。</w:t>
      </w:r>
    </w:p>
    <w:p>
      <w:pPr>
        <w:pStyle w:val="style66"/>
        <w:spacing w:before="182" w:lineRule="auto" w:line="350"/>
        <w:ind w:left="126" w:right="280" w:firstLine="602"/>
        <w:jc w:val="both"/>
        <w:rPr>
          <w:rFonts w:ascii="楷体" w:eastAsia="楷体" w:hint="eastAsia"/>
        </w:rPr>
      </w:pPr>
      <w:r>
        <w:rPr>
          <w:rFonts w:ascii="楷体" w:eastAsia="楷体" w:hint="eastAsia"/>
        </w:rPr>
        <w:t>（二）有房产证无土地证，但具有以下用地方面</w:t>
      </w:r>
      <w:r>
        <w:rPr>
          <w:rFonts w:ascii="楷体" w:eastAsia="楷体" w:hint="eastAsia"/>
          <w:lang w:val="en-US" w:eastAsia="zh-CN"/>
        </w:rPr>
        <w:t>相关资料</w:t>
      </w:r>
      <w:r>
        <w:rPr>
          <w:rFonts w:ascii="楷体" w:eastAsia="楷体" w:hint="eastAsia"/>
        </w:rPr>
        <w:t xml:space="preserve">之一的，认定为单房产证 </w:t>
      </w:r>
      <w:r>
        <w:rPr>
          <w:rFonts w:ascii="Times New Roman" w:eastAsia="Times New Roman"/>
        </w:rPr>
        <w:t xml:space="preserve">A </w:t>
      </w:r>
      <w:r>
        <w:rPr>
          <w:rFonts w:ascii="楷体" w:eastAsia="楷体" w:hint="eastAsia"/>
        </w:rPr>
        <w:t>类房屋。</w:t>
      </w:r>
    </w:p>
    <w:p>
      <w:pPr>
        <w:pStyle w:val="style179"/>
        <w:numPr>
          <w:ilvl w:val="0"/>
          <w:numId w:val="2"/>
        </w:numPr>
        <w:tabs>
          <w:tab w:val="left" w:leader="none" w:pos="1010"/>
        </w:tabs>
        <w:spacing w:before="67" w:after="0" w:lineRule="auto" w:line="240"/>
        <w:ind w:left="1009" w:right="0" w:hanging="243"/>
        <w:jc w:val="left"/>
        <w:rPr>
          <w:sz w:val="31"/>
        </w:rPr>
      </w:pPr>
      <w:r>
        <w:rPr>
          <w:spacing w:val="8"/>
          <w:sz w:val="31"/>
        </w:rPr>
        <w:t>建设用地批准文件。</w:t>
      </w:r>
    </w:p>
    <w:p>
      <w:pPr>
        <w:pStyle w:val="style179"/>
        <w:numPr>
          <w:ilvl w:val="0"/>
          <w:numId w:val="2"/>
        </w:numPr>
        <w:tabs>
          <w:tab w:val="left" w:leader="none" w:pos="1010"/>
        </w:tabs>
        <w:spacing w:before="181" w:after="0" w:lineRule="auto" w:line="350"/>
        <w:ind w:left="126" w:right="282" w:firstLine="640"/>
        <w:jc w:val="left"/>
        <w:rPr>
          <w:sz w:val="31"/>
        </w:rPr>
      </w:pPr>
      <w:r>
        <w:rPr>
          <w:spacing w:val="5"/>
          <w:sz w:val="31"/>
        </w:rPr>
        <w:t>国土机关处罚后的罚款缴纳凭据、处罚决定书等相关原始</w:t>
      </w:r>
      <w:r>
        <w:rPr>
          <w:spacing w:val="6"/>
          <w:sz w:val="31"/>
        </w:rPr>
        <w:t>依据。</w:t>
      </w:r>
    </w:p>
    <w:p>
      <w:pPr>
        <w:pStyle w:val="style179"/>
        <w:numPr>
          <w:ilvl w:val="0"/>
          <w:numId w:val="2"/>
        </w:numPr>
        <w:tabs>
          <w:tab w:val="left" w:leader="none" w:pos="1010"/>
        </w:tabs>
        <w:spacing w:before="0" w:after="0" w:lineRule="auto" w:line="350"/>
        <w:ind w:left="126" w:right="280" w:firstLine="640"/>
        <w:jc w:val="left"/>
        <w:rPr>
          <w:sz w:val="31"/>
        </w:rPr>
      </w:pPr>
      <w:r>
        <w:rPr>
          <w:rFonts w:hint="eastAsia"/>
          <w:spacing w:val="-3"/>
          <w:sz w:val="31"/>
        </w:rPr>
        <w:t>乡（镇、街道）或其他有关部门用地的相关资料。</w:t>
      </w:r>
    </w:p>
    <w:p>
      <w:pPr>
        <w:pStyle w:val="style179"/>
        <w:keepNext w:val="false"/>
        <w:keepLines w:val="false"/>
        <w:pageBreakBefore w:val="false"/>
        <w:widowControl w:val="false"/>
        <w:numPr>
          <w:ilvl w:val="0"/>
          <w:numId w:val="2"/>
        </w:numPr>
        <w:tabs>
          <w:tab w:val="left" w:leader="none" w:pos="1010"/>
        </w:tabs>
        <w:kinsoku/>
        <w:wordWrap/>
        <w:overflowPunct/>
        <w:topLinePunct w:val="false"/>
        <w:autoSpaceDE w:val="false"/>
        <w:autoSpaceDN w:val="false"/>
        <w:bidi w:val="false"/>
        <w:adjustRightInd/>
        <w:snapToGrid/>
        <w:spacing w:before="0" w:after="0" w:lineRule="auto" w:line="360"/>
        <w:ind w:left="126" w:right="280" w:firstLine="640"/>
        <w:jc w:val="left"/>
        <w:textAlignment w:val="auto"/>
        <w:rPr>
          <w:sz w:val="31"/>
        </w:rPr>
      </w:pPr>
      <w:r>
        <w:rPr>
          <w:spacing w:val="6"/>
          <w:sz w:val="31"/>
        </w:rPr>
        <w:t>因其他项目建设搬迁划地安置或产权调换，具有安置或产</w:t>
      </w:r>
      <w:r>
        <w:rPr>
          <w:spacing w:val="7"/>
          <w:sz w:val="31"/>
        </w:rPr>
        <w:t>权调换协议的。</w:t>
      </w:r>
    </w:p>
    <w:p>
      <w:pPr>
        <w:pStyle w:val="style179"/>
        <w:keepNext w:val="false"/>
        <w:keepLines w:val="false"/>
        <w:pageBreakBefore w:val="false"/>
        <w:widowControl w:val="false"/>
        <w:numPr>
          <w:ilvl w:val="0"/>
          <w:numId w:val="2"/>
        </w:numPr>
        <w:tabs>
          <w:tab w:val="left" w:leader="none" w:pos="1010"/>
        </w:tabs>
        <w:kinsoku/>
        <w:wordWrap/>
        <w:overflowPunct/>
        <w:topLinePunct w:val="false"/>
        <w:autoSpaceDE w:val="false"/>
        <w:autoSpaceDN w:val="false"/>
        <w:bidi w:val="false"/>
        <w:adjustRightInd/>
        <w:snapToGrid/>
        <w:spacing w:before="0" w:after="0" w:lineRule="auto" w:line="360"/>
        <w:ind w:left="1009" w:right="0" w:hanging="243"/>
        <w:jc w:val="left"/>
        <w:textAlignment w:val="auto"/>
        <w:rPr>
          <w:sz w:val="31"/>
        </w:rPr>
      </w:pPr>
      <w:r>
        <w:rPr>
          <w:spacing w:val="8"/>
          <w:sz w:val="31"/>
        </w:rPr>
        <w:t>其他土地权属来源依据。</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44" w:firstLineChars="200"/>
        <w:jc w:val="both"/>
        <w:textAlignment w:val="auto"/>
        <w:rPr>
          <w:rFonts w:ascii="楷体" w:eastAsia="楷体" w:hint="eastAsia"/>
          <w:spacing w:val="6"/>
        </w:rPr>
      </w:pPr>
      <w:r>
        <w:rPr>
          <w:rFonts w:ascii="楷体" w:eastAsia="楷体" w:hint="eastAsia"/>
          <w:spacing w:val="6"/>
        </w:rPr>
        <w:t>（三）无房产证无土地证，但具有用地方面或建房方面相关资料的，认定为一类A 房屋。</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44" w:firstLineChars="200"/>
        <w:jc w:val="both"/>
        <w:textAlignment w:val="auto"/>
        <w:rPr>
          <w:rFonts w:ascii="楷体" w:eastAsia="楷体" w:hint="eastAsia"/>
        </w:rPr>
      </w:pPr>
      <w:r>
        <w:rPr>
          <w:rFonts w:ascii="楷体" w:eastAsia="楷体" w:hint="eastAsia"/>
          <w:spacing w:val="6"/>
        </w:rPr>
        <w:t>（四）无任何土地权属来源资料或建设依据等相关资料的，认定为一类B 房屋。</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lineRule="auto" w:line="360"/>
        <w:ind w:left="767"/>
        <w:textAlignment w:val="auto"/>
        <w:rPr>
          <w:rFonts w:ascii="黑体" w:eastAsia="黑体" w:hint="eastAsia"/>
        </w:rPr>
      </w:pPr>
      <w:r>
        <w:rPr>
          <w:rFonts w:ascii="黑体" w:eastAsia="黑体" w:hint="eastAsia"/>
        </w:rPr>
        <w:t>五、住改非的认定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hint="eastAsia"/>
        </w:rPr>
      </w:pPr>
      <w:r>
        <w:rPr>
          <w:rFonts w:hint="eastAsia"/>
        </w:rPr>
        <w:t>（一）因历史原因，房屋实际用途为商业，房屋征收时正在从事经营，依法取得相关证照，在房屋征收决定公告之日前连续经营两年及以上，认定时有相关资料的，可认定为住改非。</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hint="eastAsia"/>
        </w:rPr>
      </w:pPr>
      <w:r>
        <w:rPr>
          <w:rFonts w:hint="eastAsia"/>
        </w:rPr>
        <w:t>（二）住改非根据情况分为住改商业门面和住改其他商业。一楼临街门面可认定为住改商业门面，其余住改非房屋认定为住改其他商业。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hint="eastAsia"/>
        </w:rPr>
      </w:pPr>
      <w:r>
        <w:rPr>
          <w:rFonts w:hint="eastAsia"/>
        </w:rPr>
        <w:t>（三）实际用途为生产、仓储、办公的不能认定为住改非。</w:t>
      </w:r>
    </w:p>
    <w:p>
      <w:pPr>
        <w:pStyle w:val="style66"/>
        <w:spacing w:before="2" w:lineRule="auto" w:line="360"/>
        <w:ind w:left="767"/>
        <w:rPr>
          <w:rFonts w:ascii="黑体" w:eastAsia="黑体" w:hint="eastAsia"/>
        </w:rPr>
      </w:pPr>
      <w:r>
        <w:rPr>
          <w:rFonts w:ascii="黑体" w:eastAsia="黑体" w:hint="eastAsia"/>
        </w:rPr>
        <w:t>六、房屋面积的认定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hint="eastAsia"/>
        </w:rPr>
      </w:pPr>
      <w:r>
        <w:rPr>
          <w:rFonts w:hint="eastAsia"/>
        </w:rPr>
        <w:t>（一）</w:t>
      </w:r>
      <w:r>
        <w:rPr>
          <w:rFonts w:hint="eastAsia"/>
          <w:highlight w:val="none"/>
        </w:rPr>
        <w:t>已取得房屋所有权证的房屋，面积以房屋所有权证</w:t>
      </w:r>
      <w:r>
        <w:rPr>
          <w:rFonts w:hint="eastAsia"/>
          <w:highlight w:val="none"/>
          <w:lang w:val="en-US" w:eastAsia="zh-CN"/>
        </w:rPr>
        <w:t>记载</w:t>
      </w:r>
      <w:r>
        <w:rPr>
          <w:rFonts w:hint="eastAsia"/>
          <w:highlight w:val="none"/>
        </w:rPr>
        <w:t>的为准；房屋所有权证未标注的或者标注的与房屋登记簿不一致的，</w:t>
      </w:r>
      <w:r>
        <w:rPr>
          <w:rFonts w:hint="eastAsia"/>
        </w:rPr>
        <w:t>以房屋登记簿标注的为准。</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rPr>
          <w:rFonts w:hint="eastAsia"/>
        </w:rPr>
        <w:t>未取得或未完整取得产权证的建筑，以及房地产登记簿记载事项不明确或者与现状不符的建筑，根据调查情况，按照本方案进行认定。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56" w:firstLineChars="200"/>
        <w:textAlignment w:val="auto"/>
        <w:rPr/>
      </w:pPr>
      <w:r>
        <w:rPr>
          <w:spacing w:val="9"/>
        </w:rPr>
        <w:t>（</w:t>
      </w:r>
      <w:r>
        <w:rPr>
          <w:spacing w:val="11"/>
        </w:rPr>
        <w:t>二</w:t>
      </w:r>
      <w:r>
        <w:rPr>
          <w:spacing w:val="-46"/>
        </w:rPr>
        <w:t>）</w:t>
      </w:r>
      <w:r>
        <w:rPr>
          <w:spacing w:val="3"/>
        </w:rPr>
        <w:t>住改非房屋面积的认定。根据有关部门的批准面积或</w:t>
      </w:r>
      <w:r>
        <w:rPr>
          <w:spacing w:val="8"/>
        </w:rPr>
        <w:t>有权机关许可用于经营的面积，结合实际进行确定。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56" w:firstLineChars="200"/>
        <w:jc w:val="left"/>
        <w:textAlignment w:val="auto"/>
        <w:rPr>
          <w:rFonts w:hint="eastAsia"/>
          <w:spacing w:val="9"/>
        </w:rPr>
      </w:pPr>
      <w:r>
        <w:rPr>
          <w:spacing w:val="9"/>
        </w:rPr>
        <w:t>（ 三 ） 房 屋 测 绘 技 术 标 准 按 照 《 房 产 测 量规 范 》GB/T17986-2000 执行。</w:t>
      </w:r>
      <w:r>
        <w:rPr>
          <w:rFonts w:hint="eastAsia"/>
          <w:spacing w:val="9"/>
        </w:rPr>
        <w:t>其中，阳台按全面积计入房屋面积。</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56" w:firstLineChars="200"/>
        <w:textAlignment w:val="auto"/>
        <w:rPr>
          <w:spacing w:val="9"/>
        </w:rPr>
      </w:pPr>
      <w:r>
        <w:rPr>
          <w:spacing w:val="9"/>
        </w:rPr>
        <w:t>（四）被征收人对测绘结果有异议的，可申请复核，申请复核的以复核结果为准。</w:t>
      </w:r>
    </w:p>
    <w:p>
      <w:pPr>
        <w:pStyle w:val="style66"/>
        <w:spacing w:before="9"/>
        <w:rPr>
          <w:sz w:val="44"/>
        </w:rPr>
      </w:pPr>
    </w:p>
    <w:p>
      <w:pPr>
        <w:pStyle w:val="style66"/>
        <w:ind w:right="156"/>
        <w:jc w:val="center"/>
        <w:rPr>
          <w:rFonts w:ascii="黑体" w:eastAsia="黑体" w:hint="eastAsia"/>
        </w:rPr>
      </w:pPr>
      <w:r>
        <w:rPr>
          <w:rFonts w:ascii="黑体" w:eastAsia="黑体" w:hint="eastAsia"/>
        </w:rPr>
        <w:t>第三章 被征收房屋的评估</w:t>
      </w:r>
    </w:p>
    <w:p>
      <w:pPr>
        <w:pStyle w:val="style66"/>
        <w:rPr>
          <w:rFonts w:ascii="黑体"/>
          <w:sz w:val="30"/>
        </w:rPr>
      </w:pPr>
    </w:p>
    <w:p>
      <w:pPr>
        <w:pStyle w:val="style66"/>
        <w:spacing w:before="3"/>
        <w:rPr>
          <w:rFonts w:ascii="黑体"/>
          <w:sz w:val="29"/>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textAlignment w:val="auto"/>
        <w:rPr>
          <w:rFonts w:ascii="黑体" w:eastAsia="黑体" w:hint="eastAsia"/>
        </w:rPr>
      </w:pPr>
      <w:r>
        <w:rPr>
          <w:rFonts w:ascii="黑体" w:eastAsia="黑体" w:hint="eastAsia"/>
        </w:rPr>
        <w:t>一、评估机构的选定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textAlignment w:val="auto"/>
        <w:rPr/>
      </w:pPr>
      <w:r>
        <w:t>严格按照评估机构选定的相关法定程序及规定选定。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textAlignment w:val="auto"/>
        <w:rPr/>
      </w:pPr>
      <w:r>
        <w:rPr>
          <w:rFonts w:ascii="黑体" w:eastAsia="黑体" w:hint="eastAsia"/>
        </w:rPr>
        <w:t>二、评估价格内涵</w:t>
      </w:r>
      <w:r>
        <w:t>：</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被征收房屋补偿价值及产权调换房的价值，通过评估确定。被征收房屋评估价格为房屋和土地价值的综合评估价格。</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住宅产权调换房评估价为楼栋平均价，商业产权调换房评估价根据实际</w:t>
      </w:r>
      <w:r>
        <w:rPr>
          <w:rFonts w:hint="eastAsia"/>
          <w:lang w:val="en-US" w:eastAsia="zh-CN"/>
        </w:rPr>
        <w:t>情况</w:t>
      </w:r>
      <w:r>
        <w:t>评估确定。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黑体" w:eastAsia="黑体" w:hint="eastAsia"/>
        </w:rPr>
      </w:pPr>
      <w:r>
        <w:rPr>
          <w:rFonts w:ascii="黑体" w:eastAsia="黑体" w:hint="eastAsia"/>
        </w:rPr>
        <w:t>三、不同性质房屋的评估</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56" w:firstLineChars="200"/>
        <w:jc w:val="both"/>
        <w:textAlignment w:val="auto"/>
        <w:rPr/>
      </w:pPr>
      <w:r>
        <w:rPr>
          <w:spacing w:val="9"/>
        </w:rPr>
        <w:t>（</w:t>
      </w:r>
      <w:r>
        <w:rPr>
          <w:spacing w:val="11"/>
        </w:rPr>
        <w:t>一</w:t>
      </w:r>
      <w:r>
        <w:rPr>
          <w:spacing w:val="-46"/>
        </w:rPr>
        <w:t>）</w:t>
      </w:r>
      <w:r>
        <w:rPr>
          <w:spacing w:val="2"/>
        </w:rPr>
        <w:t>土地为划拨类型的，评估应参照划拨补交土地出让金</w:t>
      </w:r>
      <w:r>
        <w:rPr>
          <w:spacing w:val="8"/>
        </w:rPr>
        <w:t>的规定，扣除相应的土地出让金后，作为房屋的应补偿价值。</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64" w:firstLineChars="200"/>
        <w:jc w:val="both"/>
        <w:textAlignment w:val="auto"/>
        <w:rPr/>
      </w:pPr>
      <w:r>
        <w:rPr>
          <w:spacing w:val="11"/>
        </w:rPr>
        <w:t xml:space="preserve">土地用途为住宅的，按出让类型楼面地价的 </w:t>
      </w:r>
      <w:r>
        <w:rPr>
          <w:rFonts w:ascii="Times New Roman" w:eastAsia="Times New Roman"/>
          <w:spacing w:val="7"/>
        </w:rPr>
        <w:t>35%</w:t>
      </w:r>
      <w:r>
        <w:rPr>
          <w:spacing w:val="12"/>
        </w:rPr>
        <w:t>扣除出让</w:t>
      </w:r>
      <w:r>
        <w:rPr>
          <w:spacing w:val="-13"/>
        </w:rPr>
        <w:t xml:space="preserve">金；土地用途为商服的，按出让类型楼面地价的 </w:t>
      </w:r>
      <w:r>
        <w:rPr>
          <w:rFonts w:ascii="Times New Roman" w:eastAsia="Times New Roman"/>
          <w:spacing w:val="4"/>
        </w:rPr>
        <w:t>45%</w:t>
      </w:r>
      <w:r>
        <w:rPr>
          <w:spacing w:val="7"/>
        </w:rPr>
        <w:t xml:space="preserve">扣除出让金； </w:t>
      </w:r>
      <w:r>
        <w:rPr>
          <w:spacing w:val="4"/>
        </w:rPr>
        <w:t xml:space="preserve">土地用途为工业及其他用地的，按出让地价的 </w:t>
      </w:r>
      <w:r>
        <w:rPr>
          <w:rFonts w:ascii="Times New Roman" w:eastAsia="Times New Roman"/>
          <w:spacing w:val="4"/>
        </w:rPr>
        <w:t>30%</w:t>
      </w:r>
      <w:r>
        <w:rPr>
          <w:spacing w:val="7"/>
        </w:rPr>
        <w:t>扣除出让金。</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 xml:space="preserve">（二）只有土地证无房产证的房屋，按同用途同类型双证房屋价值的 </w:t>
      </w:r>
      <w:r>
        <w:rPr>
          <w:rFonts w:ascii="Times New Roman" w:eastAsia="Times New Roman"/>
        </w:rPr>
        <w:t>95%</w:t>
      </w:r>
      <w:r>
        <w:t xml:space="preserve">，作为该被征收房屋的补偿价值；有土地证无房产证，但具有建房方面的批准依据，经认定为单土地证 </w:t>
      </w:r>
      <w:r>
        <w:rPr>
          <w:rFonts w:ascii="Times New Roman" w:eastAsia="Times New Roman"/>
        </w:rPr>
        <w:t xml:space="preserve">A </w:t>
      </w:r>
      <w:r>
        <w:t xml:space="preserve">类房屋的，按同用途同类型双证房屋价值的 </w:t>
      </w:r>
      <w:r>
        <w:rPr>
          <w:rFonts w:ascii="Times New Roman" w:eastAsia="Times New Roman"/>
        </w:rPr>
        <w:t>98%</w:t>
      </w:r>
      <w:r>
        <w:t>，作为该被征收房屋的补偿价值。</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只有房产证无土地证的房屋，按认定用途、土地性质双证房</w:t>
      </w:r>
      <w:r>
        <w:rPr>
          <w:spacing w:val="-9"/>
        </w:rPr>
        <w:t xml:space="preserve">屋价值的 </w:t>
      </w:r>
      <w:r>
        <w:rPr>
          <w:rFonts w:ascii="Times New Roman" w:eastAsia="Times New Roman"/>
          <w:spacing w:val="-12"/>
        </w:rPr>
        <w:t>95%</w:t>
      </w:r>
      <w:r>
        <w:t>，作为该被征收房屋的补偿价值；有房产证无土地</w:t>
      </w:r>
      <w:r>
        <w:rPr>
          <w:spacing w:val="1"/>
        </w:rPr>
        <w:t xml:space="preserve">证，但具有用地方面批准依据，经认定为单房产证 </w:t>
      </w:r>
      <w:r>
        <w:rPr>
          <w:rFonts w:ascii="Times New Roman" w:eastAsia="Times New Roman"/>
        </w:rPr>
        <w:t>A</w:t>
      </w:r>
      <w:r>
        <w:rPr>
          <w:rFonts w:ascii="Times New Roman" w:eastAsia="Times New Roman"/>
          <w:spacing w:val="8"/>
        </w:rPr>
        <w:t xml:space="preserve"> </w:t>
      </w:r>
      <w:r>
        <w:rPr>
          <w:spacing w:val="7"/>
        </w:rPr>
        <w:t xml:space="preserve">类房屋的， </w:t>
      </w:r>
      <w:r>
        <w:rPr>
          <w:spacing w:val="-4"/>
        </w:rPr>
        <w:t xml:space="preserve">按认定用途、土地性质双证房屋价值的 </w:t>
      </w:r>
      <w:r>
        <w:rPr>
          <w:rFonts w:ascii="Times New Roman" w:eastAsia="Times New Roman"/>
          <w:spacing w:val="-11"/>
        </w:rPr>
        <w:t>98%</w:t>
      </w:r>
      <w:r>
        <w:rPr>
          <w:spacing w:val="5"/>
        </w:rPr>
        <w:t>，作为该被征收房屋</w:t>
      </w:r>
      <w:r>
        <w:rPr>
          <w:spacing w:val="7"/>
        </w:rPr>
        <w:t>的补偿价值。</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 xml:space="preserve">未登记房屋认定为一类 </w:t>
      </w:r>
      <w:r>
        <w:rPr>
          <w:rFonts w:ascii="Times New Roman" w:eastAsia="Times New Roman"/>
        </w:rPr>
        <w:t xml:space="preserve">A </w:t>
      </w:r>
      <w:r>
        <w:t>房屋的，按认定用途、土地性质</w:t>
      </w:r>
      <w:r>
        <w:rPr>
          <w:spacing w:val="-2"/>
        </w:rPr>
        <w:t xml:space="preserve">双证房屋价值的 </w:t>
      </w:r>
      <w:r>
        <w:rPr>
          <w:rFonts w:ascii="Times New Roman" w:eastAsia="Times New Roman"/>
          <w:spacing w:val="5"/>
        </w:rPr>
        <w:t>93%</w:t>
      </w:r>
      <w:r>
        <w:rPr>
          <w:spacing w:val="7"/>
        </w:rPr>
        <w:t>，作为该被征收房屋的补偿价值。</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48" w:firstLineChars="200"/>
        <w:jc w:val="both"/>
        <w:textAlignment w:val="auto"/>
        <w:rPr/>
      </w:pPr>
      <w:r>
        <w:rPr>
          <w:spacing w:val="7"/>
        </w:rPr>
        <w:t xml:space="preserve">未登记房屋认定为一类 </w:t>
      </w:r>
      <w:r>
        <w:rPr>
          <w:rFonts w:ascii="Times New Roman" w:eastAsia="Times New Roman"/>
        </w:rPr>
        <w:t>B</w:t>
      </w:r>
      <w:r>
        <w:rPr>
          <w:rFonts w:ascii="Times New Roman" w:eastAsia="Times New Roman"/>
          <w:spacing w:val="13"/>
        </w:rPr>
        <w:t xml:space="preserve"> </w:t>
      </w:r>
      <w:r>
        <w:rPr>
          <w:spacing w:val="14"/>
        </w:rPr>
        <w:t>房屋的，按认定用途、土地性质</w:t>
      </w:r>
      <w:r>
        <w:rPr>
          <w:spacing w:val="-2"/>
        </w:rPr>
        <w:t xml:space="preserve">双证房屋价值的 </w:t>
      </w:r>
      <w:r>
        <w:rPr>
          <w:rFonts w:ascii="Times New Roman" w:eastAsia="Times New Roman"/>
          <w:spacing w:val="5"/>
        </w:rPr>
        <w:t>90%</w:t>
      </w:r>
      <w:r>
        <w:rPr>
          <w:spacing w:val="7"/>
        </w:rPr>
        <w:t>，作为该被征收房屋的补偿价值。</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56" w:firstLineChars="200"/>
        <w:jc w:val="both"/>
        <w:textAlignment w:val="auto"/>
        <w:rPr/>
      </w:pPr>
      <w:r>
        <w:rPr>
          <w:spacing w:val="9"/>
        </w:rPr>
        <w:t>（</w:t>
      </w:r>
      <w:r>
        <w:rPr>
          <w:spacing w:val="11"/>
        </w:rPr>
        <w:t>三</w:t>
      </w:r>
      <w:r>
        <w:rPr>
          <w:spacing w:val="-49"/>
        </w:rPr>
        <w:t>）</w:t>
      </w:r>
      <w:r>
        <w:rPr>
          <w:spacing w:val="3"/>
        </w:rPr>
        <w:t>经认定为住改非的房屋，评估中扣除改变用途应上缴</w:t>
      </w:r>
      <w:r>
        <w:t>的土地出让金等税费后，作为房屋的应补偿价值。经认定为住改</w:t>
      </w:r>
      <w:r>
        <w:rPr>
          <w:spacing w:val="8"/>
        </w:rPr>
        <w:t>其他商业的，评估应按照原用途予以评估。</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56" w:firstLineChars="200"/>
        <w:jc w:val="both"/>
        <w:textAlignment w:val="auto"/>
        <w:rPr>
          <w:highlight w:val="yellow"/>
        </w:rPr>
      </w:pPr>
      <w:r>
        <w:rPr>
          <w:spacing w:val="9"/>
          <w:highlight w:val="none"/>
        </w:rPr>
        <w:t>（</w:t>
      </w:r>
      <w:r>
        <w:rPr>
          <w:spacing w:val="11"/>
          <w:highlight w:val="none"/>
        </w:rPr>
        <w:t>四</w:t>
      </w:r>
      <w:r>
        <w:rPr>
          <w:spacing w:val="-106"/>
          <w:highlight w:val="none"/>
        </w:rPr>
        <w:t>）</w:t>
      </w:r>
      <w:r>
        <w:rPr>
          <w:spacing w:val="8"/>
          <w:highlight w:val="none"/>
        </w:rPr>
        <w:t>个人在国有单位土地上未经法定机关批准修建的建筑物、构筑物，评估需扣除所占用土地价值。</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黑体" w:eastAsia="黑体" w:hint="eastAsia"/>
        </w:rPr>
      </w:pPr>
      <w:r>
        <w:rPr>
          <w:rFonts w:ascii="黑体" w:eastAsia="黑体" w:hint="eastAsia"/>
        </w:rPr>
        <w:t>四、报告送达</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送达分户评估报告，一般情况应当直接送交受送达人。受送达人或者其同住成年家属拒绝接收的，可在有关基层组织代表到场的情况下，采取留置送达。通过上述方式无法送达的，可以通过《六盘水日报》或者其他媒体公告送达。公告送达，应当在征收档案中记明原因和经过。</w:t>
      </w:r>
    </w:p>
    <w:p>
      <w:pPr>
        <w:pStyle w:val="style66"/>
        <w:jc w:val="both"/>
        <w:rPr>
          <w:sz w:val="30"/>
        </w:rPr>
      </w:pPr>
    </w:p>
    <w:p>
      <w:pPr>
        <w:pStyle w:val="style66"/>
        <w:tabs>
          <w:tab w:val="left" w:leader="none" w:pos="1288"/>
        </w:tabs>
        <w:spacing w:before="204"/>
        <w:ind w:right="156"/>
        <w:jc w:val="center"/>
        <w:rPr>
          <w:rFonts w:ascii="黑体" w:eastAsia="黑体" w:hint="eastAsia"/>
        </w:rPr>
      </w:pPr>
      <w:r>
        <w:rPr>
          <w:rFonts w:ascii="黑体" w:eastAsia="黑体" w:hint="eastAsia"/>
          <w:spacing w:val="9"/>
        </w:rPr>
        <w:t>第</w:t>
      </w:r>
      <w:r>
        <w:rPr>
          <w:rFonts w:ascii="黑体" w:eastAsia="黑体" w:hint="eastAsia"/>
          <w:spacing w:val="11"/>
        </w:rPr>
        <w:t>四</w:t>
      </w:r>
      <w:r>
        <w:rPr>
          <w:rFonts w:ascii="黑体" w:eastAsia="黑体" w:hint="eastAsia"/>
        </w:rPr>
        <w:t>章</w:t>
      </w:r>
      <w:r>
        <w:rPr>
          <w:rFonts w:ascii="黑体" w:eastAsia="黑体" w:hint="eastAsia"/>
        </w:rPr>
        <w:tab/>
      </w:r>
      <w:r>
        <w:rPr>
          <w:rFonts w:ascii="黑体" w:eastAsia="黑体" w:hint="eastAsia"/>
          <w:spacing w:val="9"/>
        </w:rPr>
        <w:t>房</w:t>
      </w:r>
      <w:r>
        <w:rPr>
          <w:rFonts w:ascii="黑体" w:eastAsia="黑体" w:hint="eastAsia"/>
          <w:spacing w:val="11"/>
        </w:rPr>
        <w:t>屋</w:t>
      </w:r>
      <w:r>
        <w:rPr>
          <w:rFonts w:ascii="黑体" w:eastAsia="黑体" w:hint="eastAsia"/>
          <w:spacing w:val="9"/>
        </w:rPr>
        <w:t>征收</w:t>
      </w:r>
      <w:r>
        <w:rPr>
          <w:rFonts w:ascii="黑体" w:eastAsia="黑体" w:hint="eastAsia"/>
          <w:spacing w:val="11"/>
        </w:rPr>
        <w:t>补</w:t>
      </w:r>
      <w:r>
        <w:rPr>
          <w:rFonts w:ascii="黑体" w:eastAsia="黑体" w:hint="eastAsia"/>
        </w:rPr>
        <w:t>偿</w:t>
      </w:r>
    </w:p>
    <w:p>
      <w:pPr>
        <w:pStyle w:val="style66"/>
        <w:jc w:val="both"/>
        <w:rPr>
          <w:rFonts w:ascii="黑体"/>
          <w:sz w:val="30"/>
        </w:rPr>
      </w:pPr>
    </w:p>
    <w:p>
      <w:pPr>
        <w:pStyle w:val="style66"/>
        <w:spacing w:before="1"/>
        <w:jc w:val="both"/>
        <w:rPr>
          <w:rFonts w:ascii="黑体"/>
          <w:sz w:val="29"/>
        </w:rPr>
      </w:pPr>
    </w:p>
    <w:p>
      <w:pPr>
        <w:pStyle w:val="style66"/>
        <w:ind w:left="767"/>
        <w:jc w:val="both"/>
        <w:rPr>
          <w:rFonts w:ascii="黑体" w:eastAsia="黑体" w:hint="eastAsia"/>
        </w:rPr>
      </w:pPr>
      <w:r>
        <w:rPr>
          <w:rFonts w:ascii="黑体" w:eastAsia="黑体" w:hint="eastAsia"/>
        </w:rPr>
        <w:t>一、补偿内容、补偿方式</w:t>
      </w:r>
    </w:p>
    <w:p>
      <w:pPr>
        <w:pStyle w:val="style66"/>
        <w:spacing w:before="182"/>
        <w:ind w:left="767"/>
        <w:jc w:val="both"/>
        <w:rPr>
          <w:rFonts w:ascii="楷体" w:eastAsia="楷体" w:hint="eastAsia"/>
        </w:rPr>
      </w:pPr>
      <w:r>
        <w:rPr>
          <w:rFonts w:ascii="楷体" w:eastAsia="楷体" w:hint="eastAsia"/>
        </w:rPr>
        <w:t>（一）补偿内容</w:t>
      </w:r>
    </w:p>
    <w:p>
      <w:pPr>
        <w:pStyle w:val="style179"/>
        <w:numPr>
          <w:ilvl w:val="0"/>
          <w:numId w:val="3"/>
        </w:numPr>
        <w:tabs>
          <w:tab w:val="left" w:leader="none" w:pos="1248"/>
        </w:tabs>
        <w:spacing w:before="181" w:after="0" w:lineRule="auto" w:line="240"/>
        <w:ind w:left="1247" w:right="0" w:hanging="481"/>
        <w:jc w:val="both"/>
        <w:rPr>
          <w:sz w:val="31"/>
        </w:rPr>
      </w:pPr>
      <w:r>
        <w:rPr>
          <w:spacing w:val="8"/>
          <w:sz w:val="31"/>
        </w:rPr>
        <w:t>被征收房屋价值的补偿；</w:t>
      </w:r>
    </w:p>
    <w:p>
      <w:pPr>
        <w:pStyle w:val="style179"/>
        <w:numPr>
          <w:ilvl w:val="0"/>
          <w:numId w:val="3"/>
        </w:numPr>
        <w:tabs>
          <w:tab w:val="left" w:leader="none" w:pos="1248"/>
        </w:tabs>
        <w:spacing w:before="181" w:after="0" w:lineRule="auto" w:line="240"/>
        <w:ind w:left="1247" w:right="0" w:hanging="481"/>
        <w:jc w:val="both"/>
        <w:rPr>
          <w:sz w:val="31"/>
        </w:rPr>
      </w:pPr>
      <w:r>
        <w:rPr>
          <w:spacing w:val="8"/>
          <w:sz w:val="31"/>
        </w:rPr>
        <w:t>装修和附属设施的补偿；</w:t>
      </w:r>
    </w:p>
    <w:p>
      <w:pPr>
        <w:pStyle w:val="style179"/>
        <w:numPr>
          <w:ilvl w:val="0"/>
          <w:numId w:val="3"/>
        </w:numPr>
        <w:tabs>
          <w:tab w:val="left" w:leader="none" w:pos="1248"/>
        </w:tabs>
        <w:spacing w:before="181" w:after="0" w:lineRule="auto" w:line="240"/>
        <w:ind w:left="1247" w:right="0" w:hanging="481"/>
        <w:jc w:val="both"/>
        <w:rPr>
          <w:sz w:val="31"/>
        </w:rPr>
      </w:pPr>
      <w:r>
        <w:rPr>
          <w:spacing w:val="8"/>
          <w:sz w:val="31"/>
        </w:rPr>
        <w:t>因征收房屋造成的搬迁、临时安置的补偿；</w:t>
      </w:r>
    </w:p>
    <w:p>
      <w:pPr>
        <w:pStyle w:val="style179"/>
        <w:numPr>
          <w:ilvl w:val="0"/>
          <w:numId w:val="3"/>
        </w:numPr>
        <w:tabs>
          <w:tab w:val="left" w:leader="none" w:pos="1248"/>
        </w:tabs>
        <w:spacing w:before="67" w:after="0" w:lineRule="auto" w:line="350"/>
        <w:ind w:left="767" w:right="1286" w:firstLine="0"/>
        <w:jc w:val="both"/>
        <w:rPr>
          <w:sz w:val="31"/>
        </w:rPr>
      </w:pPr>
      <w:r>
        <w:rPr>
          <w:spacing w:val="8"/>
          <w:sz w:val="31"/>
        </w:rPr>
        <w:t>因征收经营性房屋造成的停产停业损失的补偿。以下建筑不予补偿：</w:t>
      </w:r>
    </w:p>
    <w:p>
      <w:pPr>
        <w:pStyle w:val="style179"/>
        <w:numPr>
          <w:ilvl w:val="0"/>
          <w:numId w:val="4"/>
        </w:numPr>
        <w:tabs>
          <w:tab w:val="left" w:leader="none" w:pos="1255"/>
        </w:tabs>
        <w:spacing w:before="0" w:after="0" w:lineRule="auto" w:line="350"/>
        <w:ind w:left="126" w:right="282" w:firstLine="643"/>
        <w:jc w:val="both"/>
        <w:rPr>
          <w:sz w:val="31"/>
        </w:rPr>
      </w:pPr>
      <w:r>
        <w:rPr>
          <w:spacing w:val="10"/>
          <w:sz w:val="31"/>
        </w:rPr>
        <w:t>征收范围确定、征收现状锁定后，在征收范围内实施新</w:t>
      </w:r>
      <w:r>
        <w:rPr>
          <w:spacing w:val="-3"/>
          <w:sz w:val="31"/>
        </w:rPr>
        <w:t>建、扩建、改建的房屋，改变房屋用途，以及新增装饰装修等不</w:t>
      </w:r>
      <w:r>
        <w:rPr>
          <w:spacing w:val="8"/>
          <w:sz w:val="31"/>
        </w:rPr>
        <w:t>当增加补偿费用的；</w:t>
      </w:r>
    </w:p>
    <w:p>
      <w:pPr>
        <w:pStyle w:val="style179"/>
        <w:numPr>
          <w:ilvl w:val="0"/>
          <w:numId w:val="4"/>
        </w:numPr>
        <w:tabs>
          <w:tab w:val="left" w:leader="none" w:pos="1248"/>
        </w:tabs>
        <w:spacing w:before="0" w:after="0" w:lineRule="exact" w:line="390"/>
        <w:ind w:left="1247" w:right="0" w:hanging="481"/>
        <w:jc w:val="both"/>
        <w:rPr>
          <w:sz w:val="31"/>
        </w:rPr>
      </w:pPr>
      <w:r>
        <w:rPr>
          <w:spacing w:val="8"/>
          <w:sz w:val="31"/>
        </w:rPr>
        <w:t>认定为违法建筑和超过批准期限的临时建筑；</w:t>
      </w:r>
    </w:p>
    <w:p>
      <w:pPr>
        <w:pStyle w:val="style179"/>
        <w:numPr>
          <w:ilvl w:val="0"/>
          <w:numId w:val="4"/>
        </w:numPr>
        <w:tabs>
          <w:tab w:val="left" w:leader="none" w:pos="1255"/>
        </w:tabs>
        <w:spacing w:before="178" w:after="0" w:lineRule="auto" w:line="350"/>
        <w:ind w:left="126" w:right="280" w:firstLine="643"/>
        <w:jc w:val="both"/>
        <w:rPr>
          <w:sz w:val="31"/>
        </w:rPr>
      </w:pPr>
      <w:r>
        <w:rPr>
          <w:spacing w:val="11"/>
          <w:sz w:val="31"/>
        </w:rPr>
        <w:t>其他违反国家、地方相关法律、法规、政策的建（构</w:t>
      </w:r>
      <w:r>
        <w:rPr>
          <w:sz w:val="31"/>
        </w:rPr>
        <w:t xml:space="preserve">） </w:t>
      </w:r>
      <w:r>
        <w:rPr>
          <w:spacing w:val="6"/>
          <w:sz w:val="31"/>
        </w:rPr>
        <w:t>筑物。</w:t>
      </w:r>
    </w:p>
    <w:p>
      <w:pPr>
        <w:pStyle w:val="style66"/>
        <w:spacing w:lineRule="exact" w:line="394"/>
        <w:ind w:left="767"/>
        <w:jc w:val="both"/>
        <w:rPr>
          <w:rFonts w:ascii="楷体" w:eastAsia="楷体" w:hint="eastAsia"/>
        </w:rPr>
      </w:pPr>
      <w:r>
        <w:rPr>
          <w:rFonts w:ascii="楷体" w:eastAsia="楷体" w:hint="eastAsia"/>
        </w:rPr>
        <w:t>（二）补偿方式</w:t>
      </w:r>
    </w:p>
    <w:p>
      <w:pPr>
        <w:pStyle w:val="style179"/>
        <w:numPr>
          <w:ilvl w:val="0"/>
          <w:numId w:val="5"/>
        </w:numPr>
        <w:tabs>
          <w:tab w:val="left" w:leader="none" w:pos="1255"/>
        </w:tabs>
        <w:spacing w:before="181" w:after="0" w:lineRule="auto" w:line="350"/>
        <w:ind w:left="126" w:right="280" w:firstLine="643"/>
        <w:jc w:val="both"/>
        <w:rPr>
          <w:sz w:val="31"/>
        </w:rPr>
      </w:pPr>
      <w:r>
        <w:rPr>
          <w:spacing w:val="10"/>
          <w:sz w:val="31"/>
        </w:rPr>
        <w:t xml:space="preserve">被征收房屋可以选择货币补偿，也可以选择产权调换， </w:t>
      </w:r>
      <w:r>
        <w:rPr>
          <w:spacing w:val="8"/>
          <w:sz w:val="31"/>
        </w:rPr>
        <w:t>或货币补偿与产权调换相结合的方式进行补偿。</w:t>
      </w:r>
    </w:p>
    <w:p>
      <w:pPr>
        <w:pStyle w:val="style179"/>
        <w:numPr>
          <w:ilvl w:val="0"/>
          <w:numId w:val="5"/>
        </w:numPr>
        <w:tabs>
          <w:tab w:val="left" w:leader="none" w:pos="1239"/>
        </w:tabs>
        <w:spacing w:before="0" w:after="0" w:lineRule="auto" w:line="350"/>
        <w:ind w:left="126" w:right="123" w:firstLine="640"/>
        <w:jc w:val="both"/>
        <w:rPr>
          <w:sz w:val="31"/>
        </w:rPr>
      </w:pPr>
      <w:r>
        <w:rPr>
          <w:spacing w:val="4"/>
          <w:sz w:val="31"/>
        </w:rPr>
        <w:t>按先签约先选房的原则，被征收人自行选择产权调换房</w:t>
      </w:r>
      <w:r>
        <w:rPr>
          <w:spacing w:val="13"/>
          <w:sz w:val="31"/>
        </w:rPr>
        <w:t>。按被征收房屋评估价值与选定产权调换房评估价值进行等价</w:t>
      </w:r>
      <w:r>
        <w:rPr>
          <w:spacing w:val="5"/>
          <w:sz w:val="31"/>
        </w:rPr>
        <w:t>值调换，差额部分双方互补差价。</w:t>
      </w:r>
    </w:p>
    <w:p>
      <w:pPr>
        <w:pStyle w:val="style179"/>
        <w:numPr>
          <w:ilvl w:val="0"/>
          <w:numId w:val="5"/>
        </w:numPr>
        <w:tabs>
          <w:tab w:val="left" w:leader="none" w:pos="1239"/>
        </w:tabs>
        <w:spacing w:before="0" w:after="0" w:lineRule="auto" w:line="350"/>
        <w:ind w:left="126" w:right="123" w:firstLine="640"/>
        <w:jc w:val="both"/>
        <w:rPr>
          <w:sz w:val="31"/>
        </w:rPr>
      </w:pPr>
      <w:r>
        <w:rPr>
          <w:spacing w:val="7"/>
          <w:sz w:val="31"/>
        </w:rPr>
        <w:t>产权调换房源情况</w:t>
      </w:r>
    </w:p>
    <w:tbl>
      <w:tblPr>
        <w:tblStyle w:val="style105"/>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490"/>
        <w:gridCol w:w="1842"/>
        <w:gridCol w:w="1542"/>
        <w:gridCol w:w="1418"/>
        <w:gridCol w:w="1554"/>
      </w:tblGrid>
      <w:tr>
        <w:trPr>
          <w:trHeight w:val="922" w:hRule="atLeast"/>
        </w:trPr>
        <w:tc>
          <w:tcPr>
            <w:tcW w:w="2490" w:type="dxa"/>
            <w:tcBorders/>
          </w:tcPr>
          <w:p>
            <w:pPr>
              <w:pStyle w:val="style4098"/>
              <w:spacing w:before="7"/>
              <w:jc w:val="both"/>
              <w:rPr>
                <w:sz w:val="23"/>
              </w:rPr>
            </w:pPr>
          </w:p>
          <w:p>
            <w:pPr>
              <w:pStyle w:val="style4098"/>
              <w:ind w:left="523" w:right="514"/>
              <w:jc w:val="both"/>
              <w:rPr>
                <w:rFonts w:ascii="黑体" w:eastAsia="黑体" w:hint="eastAsia"/>
                <w:sz w:val="28"/>
              </w:rPr>
            </w:pPr>
            <w:r>
              <w:rPr>
                <w:rFonts w:ascii="黑体" w:eastAsia="黑体" w:hint="eastAsia"/>
                <w:sz w:val="28"/>
              </w:rPr>
              <w:t>房源名称</w:t>
            </w:r>
          </w:p>
        </w:tc>
        <w:tc>
          <w:tcPr>
            <w:tcW w:w="1842" w:type="dxa"/>
            <w:tcBorders/>
          </w:tcPr>
          <w:p>
            <w:pPr>
              <w:pStyle w:val="style4098"/>
              <w:spacing w:before="7"/>
              <w:jc w:val="both"/>
              <w:rPr>
                <w:sz w:val="23"/>
              </w:rPr>
            </w:pPr>
          </w:p>
          <w:p>
            <w:pPr>
              <w:pStyle w:val="style4098"/>
              <w:ind w:left="341" w:right="330"/>
              <w:jc w:val="both"/>
              <w:rPr>
                <w:rFonts w:ascii="黑体" w:eastAsia="黑体" w:hint="eastAsia"/>
                <w:sz w:val="28"/>
              </w:rPr>
            </w:pPr>
            <w:r>
              <w:rPr>
                <w:rFonts w:ascii="黑体" w:eastAsia="黑体" w:hint="eastAsia"/>
                <w:sz w:val="28"/>
              </w:rPr>
              <w:t>房屋性质</w:t>
            </w:r>
          </w:p>
        </w:tc>
        <w:tc>
          <w:tcPr>
            <w:tcW w:w="1542" w:type="dxa"/>
            <w:tcBorders/>
          </w:tcPr>
          <w:p>
            <w:pPr>
              <w:pStyle w:val="style4098"/>
              <w:spacing w:before="7"/>
              <w:jc w:val="both"/>
              <w:rPr>
                <w:sz w:val="23"/>
              </w:rPr>
            </w:pPr>
          </w:p>
          <w:p>
            <w:pPr>
              <w:pStyle w:val="style4098"/>
              <w:ind w:left="51" w:right="40"/>
              <w:jc w:val="both"/>
              <w:rPr>
                <w:rFonts w:ascii="黑体" w:eastAsia="黑体" w:hint="eastAsia"/>
                <w:sz w:val="28"/>
              </w:rPr>
            </w:pPr>
            <w:r>
              <w:rPr>
                <w:rFonts w:ascii="黑体" w:eastAsia="黑体" w:hint="eastAsia"/>
                <w:sz w:val="28"/>
              </w:rPr>
              <w:t>房屋用途</w:t>
            </w:r>
          </w:p>
        </w:tc>
        <w:tc>
          <w:tcPr>
            <w:tcW w:w="1418" w:type="dxa"/>
            <w:tcBorders/>
          </w:tcPr>
          <w:p>
            <w:pPr>
              <w:pStyle w:val="style4098"/>
              <w:spacing w:before="103" w:lineRule="auto" w:line="266"/>
              <w:ind w:left="428" w:right="415"/>
              <w:jc w:val="both"/>
              <w:rPr>
                <w:rFonts w:ascii="黑体" w:eastAsia="黑体" w:hint="eastAsia"/>
                <w:sz w:val="28"/>
              </w:rPr>
            </w:pPr>
            <w:r>
              <w:rPr>
                <w:rFonts w:ascii="黑体" w:eastAsia="黑体" w:hint="eastAsia"/>
                <w:sz w:val="28"/>
              </w:rPr>
              <w:t>过渡期限</w:t>
            </w:r>
          </w:p>
        </w:tc>
        <w:tc>
          <w:tcPr>
            <w:tcW w:w="1554" w:type="dxa"/>
            <w:tcBorders/>
          </w:tcPr>
          <w:p>
            <w:pPr>
              <w:pStyle w:val="style4098"/>
              <w:spacing w:before="103" w:lineRule="auto" w:line="266"/>
              <w:ind w:left="496" w:right="484"/>
              <w:jc w:val="both"/>
              <w:rPr>
                <w:rFonts w:ascii="黑体" w:eastAsia="黑体" w:hint="eastAsia"/>
                <w:sz w:val="28"/>
              </w:rPr>
            </w:pPr>
            <w:r>
              <w:rPr>
                <w:rFonts w:ascii="黑体" w:eastAsia="黑体" w:hint="eastAsia"/>
                <w:sz w:val="28"/>
              </w:rPr>
              <w:t>过渡方式</w:t>
            </w:r>
          </w:p>
        </w:tc>
      </w:tr>
      <w:tr>
        <w:tblPrEx/>
        <w:trPr>
          <w:trHeight w:val="614" w:hRule="atLeast"/>
        </w:trPr>
        <w:tc>
          <w:tcPr>
            <w:tcW w:w="2490" w:type="dxa"/>
            <w:tcBorders/>
          </w:tcPr>
          <w:p>
            <w:pPr>
              <w:pStyle w:val="style4098"/>
              <w:spacing w:before="201"/>
              <w:ind w:left="525" w:right="514"/>
              <w:jc w:val="both"/>
              <w:rPr>
                <w:rFonts w:ascii="仿宋_GB2312" w:eastAsia="仿宋_GB2312" w:hint="eastAsia"/>
                <w:sz w:val="28"/>
              </w:rPr>
            </w:pPr>
            <w:r>
              <w:rPr>
                <w:rFonts w:ascii="仿宋_GB2312" w:eastAsia="仿宋_GB2312" w:hint="eastAsia"/>
                <w:sz w:val="28"/>
                <w:highlight w:val="none"/>
              </w:rPr>
              <w:t>凉都赋一期</w:t>
            </w:r>
          </w:p>
        </w:tc>
        <w:tc>
          <w:tcPr>
            <w:tcW w:w="1842" w:type="dxa"/>
            <w:tcBorders/>
          </w:tcPr>
          <w:p>
            <w:pPr>
              <w:pStyle w:val="style4098"/>
              <w:spacing w:before="201"/>
              <w:ind w:left="339" w:right="330"/>
              <w:jc w:val="both"/>
              <w:rPr>
                <w:rFonts w:ascii="仿宋_GB2312" w:eastAsia="仿宋_GB2312" w:hint="eastAsia"/>
                <w:sz w:val="28"/>
              </w:rPr>
            </w:pPr>
            <w:r>
              <w:rPr>
                <w:rFonts w:ascii="仿宋_GB2312" w:eastAsia="仿宋_GB2312" w:hint="eastAsia"/>
                <w:sz w:val="28"/>
              </w:rPr>
              <w:t>出让</w:t>
            </w:r>
          </w:p>
        </w:tc>
        <w:tc>
          <w:tcPr>
            <w:tcW w:w="1542" w:type="dxa"/>
            <w:tcBorders/>
          </w:tcPr>
          <w:p>
            <w:pPr>
              <w:pStyle w:val="style4098"/>
              <w:spacing w:before="201"/>
              <w:ind w:left="51" w:right="40"/>
              <w:jc w:val="both"/>
              <w:rPr>
                <w:rFonts w:ascii="仿宋_GB2312" w:eastAsia="仿宋_GB2312" w:hint="eastAsia"/>
                <w:sz w:val="28"/>
              </w:rPr>
            </w:pPr>
            <w:r>
              <w:rPr>
                <w:rFonts w:ascii="仿宋_GB2312" w:eastAsia="仿宋_GB2312" w:hint="eastAsia"/>
                <w:sz w:val="28"/>
              </w:rPr>
              <w:t>商业、住宅</w:t>
            </w:r>
          </w:p>
        </w:tc>
        <w:tc>
          <w:tcPr>
            <w:tcW w:w="1418" w:type="dxa"/>
            <w:tcBorders/>
          </w:tcPr>
          <w:p>
            <w:pPr>
              <w:pStyle w:val="style4098"/>
              <w:spacing w:before="201"/>
              <w:ind w:left="236"/>
              <w:jc w:val="both"/>
              <w:rPr>
                <w:rFonts w:ascii="仿宋_GB2312" w:eastAsia="仿宋_GB2312" w:hint="eastAsia"/>
                <w:sz w:val="28"/>
              </w:rPr>
            </w:pPr>
          </w:p>
        </w:tc>
        <w:tc>
          <w:tcPr>
            <w:tcW w:w="1554" w:type="dxa"/>
            <w:tcBorders/>
          </w:tcPr>
          <w:p>
            <w:pPr>
              <w:pStyle w:val="style4098"/>
              <w:spacing w:before="201"/>
              <w:ind w:left="196"/>
              <w:jc w:val="both"/>
              <w:rPr>
                <w:rFonts w:ascii="仿宋_GB2312" w:eastAsia="仿宋_GB2312" w:hint="eastAsia"/>
                <w:sz w:val="28"/>
              </w:rPr>
            </w:pPr>
            <w:r>
              <w:rPr>
                <w:rFonts w:ascii="仿宋_GB2312" w:eastAsia="仿宋_GB2312" w:hint="eastAsia"/>
                <w:sz w:val="28"/>
              </w:rPr>
              <w:t>自行过渡</w:t>
            </w:r>
          </w:p>
        </w:tc>
      </w:tr>
    </w:tbl>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firstLine="620" w:firstLineChars="200"/>
        <w:jc w:val="both"/>
        <w:textAlignment w:val="auto"/>
        <w:rPr>
          <w:rFonts w:ascii="黑体" w:eastAsia="黑体" w:hint="eastAsia"/>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firstLine="620" w:firstLineChars="200"/>
        <w:jc w:val="both"/>
        <w:textAlignment w:val="auto"/>
        <w:rPr>
          <w:rFonts w:ascii="黑体" w:eastAsia="黑体" w:hint="eastAsia"/>
        </w:rPr>
      </w:pPr>
      <w:r>
        <w:rPr>
          <w:rFonts w:ascii="黑体" w:eastAsia="黑体" w:hint="eastAsia"/>
        </w:rPr>
        <w:t>二、房屋价值征收补偿</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（一）房屋价值补偿</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被征收房屋补偿价值及产权调换房的价值，通过评估确定。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（二）装修和附属物补偿</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被征收房屋装修和附属物按照本方案附件《附属物及附属设施补偿标准》《房屋装饰装修补偿标准》进行补偿，或采取评估方式，评估后补偿。</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（三）搬迁和临时安置补偿</w:t>
      </w:r>
    </w:p>
    <w:p>
      <w:pPr>
        <w:pStyle w:val="style179"/>
        <w:keepNext w:val="false"/>
        <w:keepLines w:val="false"/>
        <w:pageBreakBefore w:val="false"/>
        <w:widowControl w:val="false"/>
        <w:numPr>
          <w:ilvl w:val="0"/>
          <w:numId w:val="6"/>
        </w:numPr>
        <w:tabs>
          <w:tab w:val="left" w:leader="none" w:pos="1010"/>
        </w:tabs>
        <w:kinsoku/>
        <w:wordWrap/>
        <w:overflowPunct/>
        <w:topLinePunct w:val="false"/>
        <w:autoSpaceDE w:val="false"/>
        <w:autoSpaceDN w:val="false"/>
        <w:bidi w:val="false"/>
        <w:adjustRightInd/>
        <w:snapToGrid/>
        <w:spacing w:before="0" w:after="0" w:lineRule="auto" w:line="360"/>
        <w:ind w:left="0" w:right="0" w:firstLine="656" w:firstLineChars="200"/>
        <w:jc w:val="both"/>
        <w:textAlignment w:val="auto"/>
        <w:rPr>
          <w:sz w:val="31"/>
        </w:rPr>
      </w:pPr>
      <w:r>
        <w:rPr>
          <w:spacing w:val="9"/>
          <w:sz w:val="31"/>
        </w:rPr>
        <w:t>搬迁补助</w:t>
      </w:r>
      <w:r>
        <w:rPr>
          <w:spacing w:val="11"/>
          <w:sz w:val="31"/>
        </w:rPr>
        <w:t>（</w:t>
      </w:r>
      <w:r>
        <w:rPr>
          <w:spacing w:val="9"/>
          <w:sz w:val="31"/>
        </w:rPr>
        <w:t>以下简称搬迁费</w:t>
      </w:r>
      <w:r>
        <w:rPr>
          <w:sz w:val="31"/>
        </w:rPr>
        <w:t>）</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 xml:space="preserve">商业用房按 </w:t>
      </w:r>
      <w:r>
        <w:rPr>
          <w:rFonts w:ascii="Times New Roman" w:eastAsia="Times New Roman"/>
        </w:rPr>
        <w:t xml:space="preserve">20 </w:t>
      </w:r>
      <w:r>
        <w:t xml:space="preserve">元／㎡，住宅用房按 </w:t>
      </w:r>
      <w:r>
        <w:rPr>
          <w:rFonts w:ascii="Times New Roman" w:eastAsia="Times New Roman"/>
        </w:rPr>
        <w:t xml:space="preserve">10 </w:t>
      </w:r>
      <w:r>
        <w:t xml:space="preserve">元／㎡、办公用房和其他用房按 </w:t>
      </w:r>
      <w:r>
        <w:rPr>
          <w:rFonts w:ascii="Times New Roman" w:eastAsia="Times New Roman"/>
        </w:rPr>
        <w:t xml:space="preserve">15 </w:t>
      </w:r>
      <w:r>
        <w:t>元／㎡的标准计算。</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仿宋_GB2312" w:eastAsia="仿宋_GB2312" w:hint="eastAsia"/>
          <w:sz w:val="32"/>
        </w:rPr>
      </w:pPr>
      <w:r>
        <w:t>选择货币补偿的按被征收房屋建筑面积计算，发放一次搬迁</w:t>
      </w:r>
      <w:r>
        <w:rPr>
          <w:rFonts w:ascii="仿宋_GB2312" w:eastAsia="仿宋_GB2312" w:hint="eastAsia"/>
          <w:sz w:val="32"/>
        </w:rPr>
        <w:t>费。</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40" w:firstLineChars="200"/>
        <w:jc w:val="both"/>
        <w:textAlignment w:val="auto"/>
        <w:rPr>
          <w:rFonts w:ascii="仿宋_GB2312" w:eastAsia="仿宋_GB2312" w:hint="eastAsia"/>
          <w:sz w:val="32"/>
        </w:rPr>
      </w:pPr>
      <w:r>
        <w:rPr>
          <w:rFonts w:ascii="仿宋_GB2312" w:eastAsia="仿宋_GB2312" w:hint="eastAsia"/>
          <w:sz w:val="32"/>
        </w:rPr>
        <w:t>选择产权调换的，若产权调换房面积小于被征收面积，则按</w:t>
      </w:r>
      <w:r>
        <w:rPr>
          <w:rFonts w:ascii="仿宋_GB2312" w:eastAsia="仿宋_GB2312" w:hint="eastAsia"/>
          <w:spacing w:val="-6"/>
          <w:sz w:val="32"/>
        </w:rPr>
        <w:t>产权调换房面积计发两次搬迁费，剩余面积计发一次搬迁费；若</w:t>
      </w:r>
      <w:r>
        <w:rPr>
          <w:rFonts w:ascii="仿宋_GB2312" w:eastAsia="仿宋_GB2312" w:hint="eastAsia"/>
          <w:spacing w:val="-14"/>
          <w:sz w:val="32"/>
        </w:rPr>
        <w:t>产权调换房面积大于被征收面积，按被征收房屋面积发放两次搬迁费。</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特殊设备、机械拆装费由房屋征收实施单位和被征收人双方协商解决，协商不成的由征收双方委托评估机构评估确定。</w:t>
      </w:r>
    </w:p>
    <w:p>
      <w:pPr>
        <w:pStyle w:val="style179"/>
        <w:keepNext w:val="false"/>
        <w:keepLines w:val="false"/>
        <w:pageBreakBefore w:val="false"/>
        <w:widowControl w:val="false"/>
        <w:numPr>
          <w:ilvl w:val="0"/>
          <w:numId w:val="6"/>
        </w:numPr>
        <w:tabs>
          <w:tab w:val="left" w:leader="none" w:pos="1248"/>
        </w:tabs>
        <w:kinsoku/>
        <w:wordWrap/>
        <w:overflowPunct/>
        <w:topLinePunct w:val="false"/>
        <w:autoSpaceDE w:val="false"/>
        <w:autoSpaceDN w:val="false"/>
        <w:bidi w:val="false"/>
        <w:adjustRightInd/>
        <w:snapToGrid/>
        <w:spacing w:before="0" w:after="0" w:lineRule="auto" w:line="360"/>
        <w:ind w:left="0" w:right="0" w:firstLine="656" w:firstLineChars="200"/>
        <w:jc w:val="both"/>
        <w:textAlignment w:val="auto"/>
        <w:rPr>
          <w:sz w:val="31"/>
        </w:rPr>
      </w:pPr>
      <w:r>
        <w:rPr>
          <w:spacing w:val="9"/>
          <w:sz w:val="31"/>
        </w:rPr>
        <w:t>临时安置补助</w:t>
      </w:r>
      <w:r>
        <w:rPr>
          <w:spacing w:val="11"/>
          <w:sz w:val="31"/>
        </w:rPr>
        <w:t>（</w:t>
      </w:r>
      <w:r>
        <w:rPr>
          <w:spacing w:val="9"/>
          <w:sz w:val="31"/>
        </w:rPr>
        <w:t>以下简称过渡费</w:t>
      </w:r>
      <w:r>
        <w:rPr>
          <w:sz w:val="31"/>
        </w:rPr>
        <w:t>）</w:t>
      </w:r>
    </w:p>
    <w:p>
      <w:pPr>
        <w:pStyle w:val="style179"/>
        <w:keepNext w:val="false"/>
        <w:keepLines w:val="false"/>
        <w:pageBreakBefore w:val="false"/>
        <w:widowControl w:val="false"/>
        <w:numPr>
          <w:ilvl w:val="0"/>
          <w:numId w:val="7"/>
        </w:numPr>
        <w:tabs>
          <w:tab w:val="left" w:leader="none" w:pos="1576"/>
        </w:tabs>
        <w:kinsoku/>
        <w:wordWrap/>
        <w:overflowPunct/>
        <w:topLinePunct w:val="false"/>
        <w:autoSpaceDE w:val="false"/>
        <w:autoSpaceDN w:val="false"/>
        <w:bidi w:val="false"/>
        <w:adjustRightInd/>
        <w:snapToGrid/>
        <w:spacing w:before="0" w:after="0" w:lineRule="auto" w:line="360"/>
        <w:ind w:left="0" w:right="0" w:firstLine="660" w:firstLineChars="200"/>
        <w:jc w:val="both"/>
        <w:textAlignment w:val="auto"/>
        <w:rPr>
          <w:sz w:val="31"/>
        </w:rPr>
      </w:pPr>
      <w:r>
        <w:rPr>
          <w:spacing w:val="10"/>
          <w:sz w:val="31"/>
        </w:rPr>
        <w:t>根据被征收房屋建筑面积计算：住宅用房、办公用房</w:t>
      </w:r>
      <w:r>
        <w:rPr>
          <w:spacing w:val="-4"/>
          <w:sz w:val="31"/>
        </w:rPr>
        <w:t xml:space="preserve">和其他用房按 </w:t>
      </w:r>
      <w:r>
        <w:rPr>
          <w:rFonts w:ascii="Times New Roman" w:eastAsia="Times New Roman" w:hAnsi="Times New Roman"/>
          <w:sz w:val="31"/>
        </w:rPr>
        <w:t>10</w:t>
      </w:r>
      <w:r>
        <w:rPr>
          <w:rFonts w:ascii="Times New Roman" w:eastAsia="Times New Roman" w:hAnsi="Times New Roman"/>
          <w:spacing w:val="7"/>
          <w:sz w:val="31"/>
        </w:rPr>
        <w:t xml:space="preserve"> </w:t>
      </w:r>
      <w:r>
        <w:rPr>
          <w:spacing w:val="9"/>
          <w:sz w:val="31"/>
        </w:rPr>
        <w:t>元／㎡</w:t>
      </w:r>
      <w:r>
        <w:rPr>
          <w:rFonts w:ascii="Times New Roman" w:eastAsia="Times New Roman" w:hAnsi="Times New Roman"/>
          <w:spacing w:val="4"/>
          <w:sz w:val="31"/>
        </w:rPr>
        <w:t>•</w:t>
      </w:r>
      <w:r>
        <w:rPr>
          <w:spacing w:val="7"/>
          <w:sz w:val="31"/>
        </w:rPr>
        <w:t>月的标准计算。</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color w:val="auto"/>
        </w:rPr>
      </w:pPr>
      <w:r>
        <w:rPr>
          <w:color w:val="auto"/>
        </w:rPr>
        <w:t xml:space="preserve">商业用房以及住改非房屋：每月按原房评估价值的 </w:t>
      </w:r>
      <w:r>
        <w:rPr>
          <w:rFonts w:ascii="Times New Roman" w:eastAsia="Times New Roman" w:hAnsi="Times New Roman"/>
          <w:color w:val="auto"/>
        </w:rPr>
        <w:t>4‰</w:t>
      </w:r>
      <w:r>
        <w:rPr>
          <w:color w:val="auto"/>
        </w:rPr>
        <w:t>计算。</w:t>
      </w:r>
    </w:p>
    <w:p>
      <w:pPr>
        <w:pStyle w:val="style3"/>
        <w:keepNext w:val="false"/>
        <w:keepLines w:val="false"/>
        <w:pageBreakBefore w:val="false"/>
        <w:widowControl w:val="false"/>
        <w:numPr>
          <w:ilvl w:val="0"/>
          <w:numId w:val="7"/>
        </w:numPr>
        <w:tabs>
          <w:tab w:val="left" w:leader="none" w:pos="1574"/>
        </w:tabs>
        <w:kinsoku/>
        <w:wordWrap/>
        <w:overflowPunct/>
        <w:topLinePunct w:val="false"/>
        <w:autoSpaceDE w:val="false"/>
        <w:autoSpaceDN w:val="false"/>
        <w:bidi w:val="false"/>
        <w:adjustRightInd/>
        <w:snapToGrid/>
        <w:spacing w:before="0" w:after="0" w:lineRule="auto" w:line="360"/>
        <w:ind w:left="0" w:right="0" w:firstLine="608" w:firstLineChars="200"/>
        <w:jc w:val="both"/>
        <w:textAlignment w:val="auto"/>
        <w:rPr>
          <w:rFonts w:ascii="仿宋_GB2312" w:eastAsia="仿宋_GB2312" w:hint="eastAsia"/>
          <w:color w:val="auto"/>
          <w:sz w:val="32"/>
        </w:rPr>
      </w:pPr>
      <w:r>
        <w:rPr>
          <w:color w:val="auto"/>
          <w:spacing w:val="-8"/>
        </w:rPr>
        <w:t xml:space="preserve">选择货币补偿的，按 </w:t>
      </w:r>
      <w:r>
        <w:rPr>
          <w:rFonts w:ascii="Times New Roman" w:eastAsia="Times New Roman"/>
          <w:color w:val="auto"/>
        </w:rPr>
        <w:t>3</w:t>
      </w:r>
      <w:r>
        <w:rPr>
          <w:rFonts w:ascii="Times New Roman" w:eastAsia="Times New Roman"/>
          <w:color w:val="auto"/>
          <w:spacing w:val="6"/>
        </w:rPr>
        <w:t xml:space="preserve"> </w:t>
      </w:r>
      <w:r>
        <w:rPr>
          <w:color w:val="auto"/>
        </w:rPr>
        <w:t>个月计算过渡费；选择产权调换的，按所选安置房源过渡期限计算过渡期。</w:t>
      </w:r>
    </w:p>
    <w:p>
      <w:pPr>
        <w:pStyle w:val="style3"/>
        <w:keepNext w:val="false"/>
        <w:keepLines w:val="false"/>
        <w:pageBreakBefore w:val="false"/>
        <w:widowControl w:val="false"/>
        <w:numPr>
          <w:ilvl w:val="0"/>
          <w:numId w:val="7"/>
        </w:numPr>
        <w:tabs>
          <w:tab w:val="left" w:leader="none" w:pos="1574"/>
        </w:tabs>
        <w:kinsoku/>
        <w:wordWrap/>
        <w:overflowPunct/>
        <w:topLinePunct w:val="false"/>
        <w:autoSpaceDE w:val="false"/>
        <w:autoSpaceDN w:val="false"/>
        <w:bidi w:val="false"/>
        <w:adjustRightInd/>
        <w:snapToGrid/>
        <w:spacing w:before="0" w:after="0" w:lineRule="auto" w:line="360"/>
        <w:ind w:left="0" w:right="0" w:firstLine="640" w:firstLineChars="200"/>
        <w:jc w:val="both"/>
        <w:textAlignment w:val="auto"/>
        <w:rPr>
          <w:rFonts w:ascii="仿宋_GB2312" w:eastAsia="仿宋_GB2312" w:hint="eastAsia"/>
          <w:color w:val="auto"/>
          <w:sz w:val="32"/>
        </w:rPr>
      </w:pPr>
      <w:r>
        <w:rPr>
          <w:rFonts w:hint="eastAsia"/>
          <w:color w:val="auto"/>
          <w:sz w:val="32"/>
          <w:lang w:val="en-US" w:eastAsia="zh-CN"/>
        </w:rPr>
        <w:t>商业和住改非</w:t>
      </w:r>
      <w:r>
        <w:rPr>
          <w:rFonts w:ascii="仿宋_GB2312" w:eastAsia="仿宋_GB2312" w:hint="eastAsia"/>
          <w:color w:val="auto"/>
          <w:sz w:val="32"/>
        </w:rPr>
        <w:t>选择产权调换</w:t>
      </w:r>
      <w:r>
        <w:rPr>
          <w:rFonts w:hint="eastAsia"/>
          <w:color w:val="auto"/>
          <w:sz w:val="32"/>
          <w:lang w:val="en-US" w:eastAsia="zh-CN"/>
        </w:rPr>
        <w:t>时</w:t>
      </w:r>
      <w:r>
        <w:rPr>
          <w:rFonts w:ascii="仿宋_GB2312" w:eastAsia="仿宋_GB2312" w:hint="eastAsia"/>
          <w:color w:val="auto"/>
          <w:sz w:val="32"/>
        </w:rPr>
        <w:t>，若产权调换房</w:t>
      </w:r>
      <w:r>
        <w:rPr>
          <w:rFonts w:ascii="仿宋_GB2312" w:eastAsia="仿宋_GB2312" w:hint="eastAsia"/>
          <w:color w:val="auto"/>
          <w:sz w:val="32"/>
          <w:lang w:val="en-US" w:eastAsia="zh-CN"/>
        </w:rPr>
        <w:t>结算价值</w:t>
      </w:r>
      <w:r>
        <w:rPr>
          <w:rFonts w:ascii="仿宋_GB2312" w:eastAsia="仿宋_GB2312" w:hint="eastAsia"/>
          <w:color w:val="auto"/>
          <w:sz w:val="32"/>
        </w:rPr>
        <w:t>小于被征收房屋</w:t>
      </w:r>
      <w:r>
        <w:rPr>
          <w:rFonts w:ascii="仿宋_GB2312" w:eastAsia="仿宋_GB2312" w:hint="eastAsia"/>
          <w:color w:val="auto"/>
          <w:sz w:val="32"/>
          <w:lang w:val="en-US" w:eastAsia="zh-CN"/>
        </w:rPr>
        <w:t>评估价值</w:t>
      </w:r>
      <w:r>
        <w:rPr>
          <w:rFonts w:ascii="仿宋_GB2312" w:eastAsia="仿宋_GB2312" w:hint="eastAsia"/>
          <w:color w:val="auto"/>
          <w:spacing w:val="-11"/>
          <w:sz w:val="32"/>
        </w:rPr>
        <w:t>，则产权调换房</w:t>
      </w:r>
      <w:r>
        <w:rPr>
          <w:rFonts w:ascii="仿宋_GB2312" w:eastAsia="仿宋_GB2312" w:hint="eastAsia"/>
          <w:color w:val="auto"/>
          <w:sz w:val="32"/>
          <w:lang w:val="en-US" w:eastAsia="zh-CN"/>
        </w:rPr>
        <w:t>价值部分</w:t>
      </w:r>
      <w:r>
        <w:rPr>
          <w:rFonts w:ascii="仿宋_GB2312" w:eastAsia="仿宋_GB2312" w:hint="eastAsia"/>
          <w:color w:val="auto"/>
          <w:spacing w:val="-11"/>
          <w:sz w:val="32"/>
        </w:rPr>
        <w:t>按产权调换方式计算过渡费</w:t>
      </w:r>
      <w:r>
        <w:rPr>
          <w:rFonts w:ascii="仿宋_GB2312" w:eastAsia="仿宋_GB2312" w:hint="eastAsia"/>
          <w:color w:val="auto"/>
          <w:spacing w:val="-11"/>
          <w:sz w:val="32"/>
          <w:lang w:eastAsia="zh-CN"/>
        </w:rPr>
        <w:t>，</w:t>
      </w:r>
      <w:r>
        <w:rPr>
          <w:rFonts w:ascii="仿宋_GB2312" w:eastAsia="仿宋_GB2312" w:hint="eastAsia"/>
          <w:color w:val="auto"/>
          <w:spacing w:val="6"/>
          <w:w w:val="95"/>
          <w:sz w:val="32"/>
        </w:rPr>
        <w:t>被征收</w:t>
      </w:r>
      <w:r>
        <w:rPr>
          <w:rFonts w:ascii="仿宋_GB2312" w:eastAsia="仿宋_GB2312" w:hint="eastAsia"/>
          <w:color w:val="auto"/>
          <w:spacing w:val="6"/>
          <w:w w:val="95"/>
          <w:sz w:val="32"/>
          <w:lang w:val="en-US" w:eastAsia="zh-CN"/>
        </w:rPr>
        <w:t>房屋</w:t>
      </w:r>
      <w:r>
        <w:rPr>
          <w:rFonts w:ascii="仿宋_GB2312" w:eastAsia="仿宋_GB2312" w:hint="eastAsia"/>
          <w:color w:val="auto"/>
          <w:spacing w:val="-11"/>
          <w:sz w:val="32"/>
        </w:rPr>
        <w:t>剩余</w:t>
      </w:r>
      <w:r>
        <w:rPr>
          <w:rFonts w:ascii="仿宋_GB2312" w:eastAsia="仿宋_GB2312" w:hint="eastAsia"/>
          <w:color w:val="auto"/>
          <w:spacing w:val="-11"/>
          <w:sz w:val="32"/>
          <w:lang w:val="en-US" w:eastAsia="zh-CN"/>
        </w:rPr>
        <w:t>部分价值</w:t>
      </w:r>
      <w:r>
        <w:rPr>
          <w:rFonts w:ascii="仿宋_GB2312" w:eastAsia="仿宋_GB2312" w:hint="eastAsia"/>
          <w:color w:val="auto"/>
          <w:spacing w:val="6"/>
          <w:w w:val="95"/>
          <w:sz w:val="32"/>
        </w:rPr>
        <w:t>按货币补偿方式计算过渡费；若产权调换房</w:t>
      </w:r>
      <w:r>
        <w:rPr>
          <w:rFonts w:ascii="仿宋_GB2312" w:eastAsia="仿宋_GB2312" w:hint="eastAsia"/>
          <w:color w:val="auto"/>
          <w:spacing w:val="6"/>
          <w:w w:val="95"/>
          <w:sz w:val="32"/>
          <w:lang w:val="en-US" w:eastAsia="zh-CN"/>
        </w:rPr>
        <w:t>结算价值</w:t>
      </w:r>
      <w:r>
        <w:rPr>
          <w:rFonts w:ascii="仿宋_GB2312" w:eastAsia="仿宋_GB2312" w:hint="eastAsia"/>
          <w:color w:val="auto"/>
          <w:spacing w:val="6"/>
          <w:w w:val="95"/>
          <w:sz w:val="32"/>
        </w:rPr>
        <w:t>大于被征收</w:t>
      </w:r>
      <w:r>
        <w:rPr>
          <w:rFonts w:ascii="仿宋_GB2312" w:eastAsia="仿宋_GB2312" w:hint="eastAsia"/>
          <w:color w:val="auto"/>
          <w:spacing w:val="6"/>
          <w:w w:val="95"/>
          <w:sz w:val="32"/>
          <w:lang w:val="en-US" w:eastAsia="zh-CN"/>
        </w:rPr>
        <w:t>房屋评估价值</w:t>
      </w:r>
      <w:r>
        <w:rPr>
          <w:rFonts w:ascii="仿宋_GB2312" w:eastAsia="仿宋_GB2312" w:hint="eastAsia"/>
          <w:color w:val="auto"/>
          <w:spacing w:val="6"/>
          <w:sz w:val="32"/>
        </w:rPr>
        <w:t>，</w:t>
      </w:r>
      <w:r>
        <w:rPr>
          <w:rFonts w:ascii="仿宋_GB2312" w:eastAsia="仿宋_GB2312" w:hint="eastAsia"/>
          <w:color w:val="auto"/>
          <w:spacing w:val="6"/>
          <w:sz w:val="32"/>
          <w:lang w:val="en-US" w:eastAsia="zh-CN"/>
        </w:rPr>
        <w:t>则</w:t>
      </w:r>
      <w:r>
        <w:rPr>
          <w:rFonts w:ascii="仿宋_GB2312" w:eastAsia="仿宋_GB2312" w:hint="eastAsia"/>
          <w:color w:val="auto"/>
          <w:spacing w:val="6"/>
          <w:sz w:val="32"/>
        </w:rPr>
        <w:t>按照</w:t>
      </w:r>
      <w:r>
        <w:rPr>
          <w:rFonts w:ascii="仿宋_GB2312" w:eastAsia="仿宋_GB2312" w:hint="eastAsia"/>
          <w:color w:val="auto"/>
          <w:spacing w:val="6"/>
          <w:w w:val="95"/>
          <w:sz w:val="32"/>
        </w:rPr>
        <w:t>被征收</w:t>
      </w:r>
      <w:r>
        <w:rPr>
          <w:rFonts w:ascii="仿宋_GB2312" w:eastAsia="仿宋_GB2312" w:hint="eastAsia"/>
          <w:color w:val="auto"/>
          <w:spacing w:val="6"/>
          <w:w w:val="95"/>
          <w:sz w:val="32"/>
          <w:lang w:val="en-US" w:eastAsia="zh-CN"/>
        </w:rPr>
        <w:t>房屋</w:t>
      </w:r>
      <w:r>
        <w:rPr>
          <w:rFonts w:ascii="仿宋_GB2312" w:eastAsia="仿宋_GB2312" w:hint="eastAsia"/>
          <w:color w:val="auto"/>
          <w:spacing w:val="6"/>
          <w:sz w:val="32"/>
          <w:lang w:val="en-US" w:eastAsia="zh-CN"/>
        </w:rPr>
        <w:t>评估价值</w:t>
      </w:r>
      <w:r>
        <w:rPr>
          <w:rFonts w:ascii="仿宋_GB2312" w:eastAsia="仿宋_GB2312" w:hint="eastAsia"/>
          <w:color w:val="auto"/>
          <w:spacing w:val="6"/>
          <w:sz w:val="32"/>
        </w:rPr>
        <w:t>计算产权调换过渡费。</w:t>
      </w:r>
    </w:p>
    <w:p>
      <w:pPr>
        <w:pStyle w:val="style179"/>
        <w:keepNext w:val="false"/>
        <w:keepLines w:val="false"/>
        <w:pageBreakBefore w:val="false"/>
        <w:widowControl w:val="false"/>
        <w:numPr>
          <w:ilvl w:val="0"/>
          <w:numId w:val="0"/>
        </w:numPr>
        <w:tabs>
          <w:tab w:val="left" w:leader="none" w:pos="1574"/>
        </w:tabs>
        <w:kinsoku/>
        <w:wordWrap/>
        <w:overflowPunct/>
        <w:topLinePunct w:val="false"/>
        <w:autoSpaceDE w:val="false"/>
        <w:autoSpaceDN w:val="false"/>
        <w:bidi w:val="false"/>
        <w:adjustRightInd/>
        <w:snapToGrid/>
        <w:spacing w:before="0" w:after="0" w:lineRule="auto" w:line="360"/>
        <w:ind w:leftChars="0" w:right="0" w:rightChars="0" w:firstLine="640" w:firstLineChars="200"/>
        <w:jc w:val="both"/>
        <w:textAlignment w:val="auto"/>
        <w:rPr>
          <w:rFonts w:ascii="仿宋_GB2312" w:eastAsia="仿宋_GB2312" w:hint="eastAsia"/>
          <w:color w:val="auto"/>
          <w:sz w:val="32"/>
        </w:rPr>
      </w:pPr>
      <w:r>
        <w:rPr>
          <w:rFonts w:ascii="仿宋_GB2312" w:eastAsia="仿宋_GB2312" w:hint="eastAsia"/>
          <w:color w:val="auto"/>
          <w:sz w:val="32"/>
          <w:lang w:val="en-US" w:eastAsia="zh-CN"/>
        </w:rPr>
        <w:t>住宅和其他房屋</w:t>
      </w:r>
      <w:r>
        <w:rPr>
          <w:rFonts w:ascii="仿宋_GB2312" w:eastAsia="仿宋_GB2312" w:hint="eastAsia"/>
          <w:color w:val="auto"/>
          <w:sz w:val="32"/>
        </w:rPr>
        <w:t>选择产权调换</w:t>
      </w:r>
      <w:r>
        <w:rPr>
          <w:rFonts w:ascii="仿宋_GB2312" w:eastAsia="仿宋_GB2312" w:hint="eastAsia"/>
          <w:color w:val="auto"/>
          <w:sz w:val="32"/>
          <w:lang w:val="en-US" w:eastAsia="zh-CN"/>
        </w:rPr>
        <w:t>时</w:t>
      </w:r>
      <w:r>
        <w:rPr>
          <w:rFonts w:ascii="仿宋_GB2312" w:eastAsia="仿宋_GB2312" w:hint="eastAsia"/>
          <w:color w:val="auto"/>
          <w:sz w:val="32"/>
        </w:rPr>
        <w:t>，若产权调换房面积小于被征收房屋</w:t>
      </w:r>
      <w:r>
        <w:rPr>
          <w:rFonts w:ascii="仿宋_GB2312" w:eastAsia="仿宋_GB2312" w:hint="eastAsia"/>
          <w:color w:val="auto"/>
          <w:spacing w:val="-11"/>
          <w:sz w:val="32"/>
        </w:rPr>
        <w:t>面积，则产权调换房面积</w:t>
      </w:r>
      <w:r>
        <w:rPr>
          <w:rFonts w:ascii="仿宋_GB2312" w:eastAsia="仿宋_GB2312" w:hint="eastAsia"/>
          <w:color w:val="auto"/>
          <w:spacing w:val="-11"/>
          <w:sz w:val="32"/>
          <w:lang w:val="en-US" w:eastAsia="zh-CN"/>
        </w:rPr>
        <w:t>部分</w:t>
      </w:r>
      <w:r>
        <w:rPr>
          <w:rFonts w:ascii="仿宋_GB2312" w:eastAsia="仿宋_GB2312" w:hint="eastAsia"/>
          <w:color w:val="auto"/>
          <w:spacing w:val="-11"/>
          <w:sz w:val="32"/>
        </w:rPr>
        <w:t>按产权调换方式计算过渡费，</w:t>
      </w:r>
      <w:r>
        <w:rPr>
          <w:rFonts w:ascii="仿宋_GB2312" w:eastAsia="仿宋_GB2312" w:hint="eastAsia"/>
          <w:color w:val="auto"/>
          <w:spacing w:val="6"/>
          <w:w w:val="95"/>
          <w:sz w:val="32"/>
        </w:rPr>
        <w:t>被征收</w:t>
      </w:r>
      <w:r>
        <w:rPr>
          <w:rFonts w:ascii="仿宋_GB2312" w:eastAsia="仿宋_GB2312" w:hint="eastAsia"/>
          <w:color w:val="auto"/>
          <w:spacing w:val="6"/>
          <w:w w:val="95"/>
          <w:sz w:val="32"/>
          <w:lang w:val="en-US" w:eastAsia="zh-CN"/>
        </w:rPr>
        <w:t>房屋</w:t>
      </w:r>
      <w:r>
        <w:rPr>
          <w:rFonts w:ascii="仿宋_GB2312" w:eastAsia="仿宋_GB2312" w:hint="eastAsia"/>
          <w:color w:val="auto"/>
          <w:spacing w:val="-11"/>
          <w:sz w:val="32"/>
        </w:rPr>
        <w:t>剩余面积</w:t>
      </w:r>
      <w:r>
        <w:rPr>
          <w:rFonts w:ascii="仿宋_GB2312" w:eastAsia="仿宋_GB2312" w:hint="eastAsia"/>
          <w:color w:val="auto"/>
          <w:spacing w:val="6"/>
          <w:w w:val="95"/>
          <w:sz w:val="32"/>
        </w:rPr>
        <w:t>按货币补偿方式计算过渡费；若产权调换房面积大于被征收</w:t>
      </w:r>
      <w:r>
        <w:rPr>
          <w:rFonts w:ascii="仿宋_GB2312" w:eastAsia="仿宋_GB2312" w:hint="eastAsia"/>
          <w:color w:val="auto"/>
          <w:spacing w:val="6"/>
          <w:w w:val="95"/>
          <w:sz w:val="32"/>
          <w:lang w:val="en-US" w:eastAsia="zh-CN"/>
        </w:rPr>
        <w:t>房屋</w:t>
      </w:r>
      <w:r>
        <w:rPr>
          <w:rFonts w:ascii="仿宋_GB2312" w:eastAsia="仿宋_GB2312" w:hint="eastAsia"/>
          <w:color w:val="auto"/>
          <w:spacing w:val="6"/>
          <w:w w:val="95"/>
          <w:sz w:val="32"/>
        </w:rPr>
        <w:t>面</w:t>
      </w:r>
      <w:r>
        <w:rPr>
          <w:rFonts w:ascii="仿宋_GB2312" w:eastAsia="仿宋_GB2312" w:hint="eastAsia"/>
          <w:color w:val="auto"/>
          <w:spacing w:val="6"/>
          <w:sz w:val="32"/>
        </w:rPr>
        <w:t>积，按照被征收房屋面积计算产权调换过渡费。</w:t>
      </w:r>
    </w:p>
    <w:p>
      <w:pPr>
        <w:pStyle w:val="style179"/>
        <w:keepNext w:val="false"/>
        <w:keepLines w:val="false"/>
        <w:pageBreakBefore w:val="false"/>
        <w:widowControl w:val="false"/>
        <w:numPr>
          <w:ilvl w:val="0"/>
          <w:numId w:val="7"/>
        </w:numPr>
        <w:tabs>
          <w:tab w:val="left" w:leader="none" w:pos="1574"/>
        </w:tabs>
        <w:kinsoku/>
        <w:wordWrap/>
        <w:overflowPunct/>
        <w:topLinePunct w:val="false"/>
        <w:autoSpaceDE w:val="false"/>
        <w:autoSpaceDN w:val="false"/>
        <w:bidi w:val="false"/>
        <w:adjustRightInd/>
        <w:snapToGrid/>
        <w:spacing w:before="0" w:after="0" w:lineRule="auto" w:line="360"/>
        <w:ind w:left="0" w:right="0" w:firstLine="640" w:firstLineChars="200"/>
        <w:jc w:val="both"/>
        <w:textAlignment w:val="auto"/>
        <w:rPr>
          <w:rFonts w:ascii="仿宋_GB2312" w:eastAsia="仿宋_GB2312" w:hint="eastAsia"/>
          <w:sz w:val="32"/>
        </w:rPr>
      </w:pPr>
      <w:r>
        <w:rPr>
          <w:rFonts w:ascii="仿宋_GB2312" w:eastAsia="仿宋_GB2312" w:hint="eastAsia"/>
          <w:sz w:val="32"/>
        </w:rPr>
        <w:t>超期过渡费：指被征收人选择产权调换的，实际交房时间超过本方案规定的过渡期限后，支付的过渡费。</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40" w:firstLineChars="200"/>
        <w:jc w:val="both"/>
        <w:textAlignment w:val="auto"/>
        <w:rPr>
          <w:rFonts w:ascii="仿宋_GB2312" w:eastAsia="仿宋_GB2312" w:hAnsi="仿宋_GB2312" w:hint="eastAsia"/>
          <w:sz w:val="32"/>
        </w:rPr>
      </w:pPr>
      <w:r>
        <w:rPr>
          <w:rFonts w:ascii="宋体" w:eastAsia="宋体" w:hAnsi="宋体" w:hint="eastAsia"/>
          <w:sz w:val="32"/>
        </w:rPr>
        <w:t>①</w:t>
      </w:r>
      <w:r>
        <w:rPr>
          <w:rFonts w:ascii="仿宋_GB2312" w:eastAsia="仿宋_GB2312" w:hAnsi="仿宋_GB2312" w:hint="eastAsia"/>
          <w:spacing w:val="-11"/>
          <w:sz w:val="32"/>
        </w:rPr>
        <w:t>住房：超期半年以内的，按原标准按月据实支付；超期半</w:t>
      </w:r>
      <w:r>
        <w:rPr>
          <w:rFonts w:ascii="仿宋_GB2312" w:eastAsia="仿宋_GB2312" w:hAnsi="仿宋_GB2312" w:hint="eastAsia"/>
          <w:spacing w:val="-21"/>
          <w:sz w:val="32"/>
        </w:rPr>
        <w:t xml:space="preserve">年以上且不足一年的部分，在原标准基础上增加 </w:t>
      </w:r>
      <w:r>
        <w:rPr>
          <w:rFonts w:ascii="Times New Roman" w:eastAsia="Times New Roman" w:hAnsi="Times New Roman"/>
          <w:sz w:val="32"/>
        </w:rPr>
        <w:t>25%</w:t>
      </w:r>
      <w:r>
        <w:rPr>
          <w:rFonts w:ascii="仿宋_GB2312" w:eastAsia="仿宋_GB2312" w:hAnsi="仿宋_GB2312" w:hint="eastAsia"/>
          <w:sz w:val="32"/>
        </w:rPr>
        <w:t>按月据实支</w:t>
      </w:r>
      <w:r>
        <w:rPr>
          <w:rFonts w:ascii="仿宋_GB2312" w:eastAsia="仿宋_GB2312" w:hAnsi="仿宋_GB2312" w:hint="eastAsia"/>
          <w:spacing w:val="-17"/>
          <w:sz w:val="32"/>
        </w:rPr>
        <w:t xml:space="preserve">付；超期一年以上的部分，在原标准基础上增加 </w:t>
      </w:r>
      <w:r>
        <w:rPr>
          <w:rFonts w:ascii="Times New Roman" w:eastAsia="Times New Roman" w:hAnsi="Times New Roman"/>
          <w:sz w:val="32"/>
        </w:rPr>
        <w:t>50%</w:t>
      </w:r>
      <w:r>
        <w:rPr>
          <w:rFonts w:ascii="仿宋_GB2312" w:eastAsia="仿宋_GB2312" w:hAnsi="仿宋_GB2312" w:hint="eastAsia"/>
          <w:sz w:val="32"/>
        </w:rPr>
        <w:t>按月据实支付。</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40" w:firstLineChars="200"/>
        <w:jc w:val="both"/>
        <w:textAlignment w:val="auto"/>
        <w:rPr>
          <w:rFonts w:ascii="仿宋_GB2312" w:eastAsia="仿宋_GB2312" w:hint="eastAsia"/>
          <w:sz w:val="32"/>
        </w:rPr>
      </w:pPr>
      <w:r>
        <w:rPr>
          <w:rFonts w:ascii="宋体" w:eastAsia="宋体" w:hAnsi="宋体" w:hint="eastAsia"/>
          <w:sz w:val="32"/>
        </w:rPr>
        <w:t>②</w:t>
      </w:r>
      <w:r>
        <w:rPr>
          <w:rFonts w:ascii="仿宋_GB2312" w:eastAsia="仿宋_GB2312" w:hAnsi="仿宋_GB2312" w:hint="eastAsia"/>
          <w:spacing w:val="-9"/>
          <w:sz w:val="32"/>
        </w:rPr>
        <w:t>商业用房及其他用房：超期半年以内的，按原标准按月据</w:t>
      </w:r>
      <w:r>
        <w:rPr>
          <w:rFonts w:ascii="仿宋_GB2312" w:eastAsia="仿宋_GB2312" w:hAnsi="仿宋_GB2312" w:hint="eastAsia"/>
          <w:spacing w:val="-13"/>
          <w:w w:val="95"/>
          <w:sz w:val="32"/>
        </w:rPr>
        <w:t xml:space="preserve">实支付；超期半年以上且不足一年的部分，在原标准基础上增加 </w:t>
      </w:r>
      <w:r>
        <w:rPr>
          <w:rFonts w:ascii="Times New Roman" w:eastAsia="Times New Roman" w:hAnsi="Times New Roman"/>
          <w:spacing w:val="-13"/>
          <w:w w:val="95"/>
          <w:sz w:val="32"/>
        </w:rPr>
        <w:t>5%</w:t>
      </w:r>
      <w:r>
        <w:rPr>
          <w:rFonts w:ascii="仿宋_GB2312" w:eastAsia="仿宋_GB2312" w:hAnsi="仿宋_GB2312" w:hint="eastAsia"/>
          <w:spacing w:val="2"/>
          <w:w w:val="95"/>
          <w:sz w:val="32"/>
        </w:rPr>
        <w:t>按月据实支付；超期一年以上的部分，在原标准基础上增加</w:t>
      </w:r>
      <w:r>
        <w:rPr>
          <w:rFonts w:ascii="Times New Roman" w:eastAsia="Times New Roman"/>
          <w:sz w:val="32"/>
        </w:rPr>
        <w:t>10%</w:t>
      </w:r>
      <w:r>
        <w:rPr>
          <w:rFonts w:ascii="仿宋_GB2312" w:eastAsia="仿宋_GB2312" w:hint="eastAsia"/>
          <w:sz w:val="32"/>
        </w:rPr>
        <w:t>按月据实支付。</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（四）停产停业损失补偿</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在房屋征收公告发布前持续经营的经营性房屋或认定为住改非的房屋，因征收房屋造成停产停业损失的，可获得停产停业损失补偿。被征收人可以从以下两种方式中选定一种计算停产停业损失补偿：</w:t>
      </w:r>
    </w:p>
    <w:p>
      <w:pPr>
        <w:pStyle w:val="style179"/>
        <w:keepNext w:val="false"/>
        <w:keepLines w:val="false"/>
        <w:pageBreakBefore w:val="false"/>
        <w:widowControl w:val="false"/>
        <w:numPr>
          <w:ilvl w:val="0"/>
          <w:numId w:val="8"/>
        </w:numPr>
        <w:tabs>
          <w:tab w:val="left" w:leader="none" w:pos="1010"/>
        </w:tabs>
        <w:kinsoku/>
        <w:wordWrap/>
        <w:overflowPunct/>
        <w:topLinePunct w:val="false"/>
        <w:autoSpaceDE w:val="false"/>
        <w:autoSpaceDN w:val="false"/>
        <w:bidi w:val="false"/>
        <w:adjustRightInd/>
        <w:snapToGrid/>
        <w:spacing w:before="0" w:after="0" w:lineRule="auto" w:line="360"/>
        <w:ind w:left="0" w:right="0" w:firstLine="652" w:firstLineChars="200"/>
        <w:jc w:val="both"/>
        <w:textAlignment w:val="auto"/>
        <w:rPr>
          <w:sz w:val="31"/>
        </w:rPr>
      </w:pPr>
      <w:r>
        <w:rPr>
          <w:spacing w:val="8"/>
          <w:sz w:val="31"/>
        </w:rPr>
        <w:t xml:space="preserve">被征收人能够提供税务部门出具的应纳税所得额证明的， </w:t>
      </w:r>
      <w:r>
        <w:rPr>
          <w:spacing w:val="3"/>
          <w:sz w:val="31"/>
        </w:rPr>
        <w:t>按照上一年度月均应纳税所得额计算每月的经营性损失补偿，一</w:t>
      </w:r>
      <w:r>
        <w:rPr>
          <w:spacing w:val="-9"/>
          <w:sz w:val="31"/>
        </w:rPr>
        <w:t xml:space="preserve">次性计发 </w:t>
      </w:r>
      <w:r>
        <w:rPr>
          <w:rFonts w:ascii="Times New Roman" w:eastAsia="Times New Roman"/>
          <w:sz w:val="31"/>
        </w:rPr>
        <w:t>6</w:t>
      </w:r>
      <w:r>
        <w:rPr>
          <w:rFonts w:ascii="Times New Roman" w:eastAsia="Times New Roman"/>
          <w:spacing w:val="7"/>
          <w:sz w:val="31"/>
        </w:rPr>
        <w:t xml:space="preserve"> </w:t>
      </w:r>
      <w:r>
        <w:rPr>
          <w:spacing w:val="8"/>
          <w:sz w:val="31"/>
        </w:rPr>
        <w:t>个月的停产停业补偿。</w:t>
      </w:r>
    </w:p>
    <w:p>
      <w:pPr>
        <w:pStyle w:val="style179"/>
        <w:keepNext w:val="false"/>
        <w:keepLines w:val="false"/>
        <w:pageBreakBefore w:val="false"/>
        <w:widowControl w:val="false"/>
        <w:numPr>
          <w:ilvl w:val="0"/>
          <w:numId w:val="8"/>
        </w:numPr>
        <w:tabs>
          <w:tab w:val="left" w:leader="none" w:pos="1248"/>
        </w:tabs>
        <w:kinsoku/>
        <w:wordWrap/>
        <w:overflowPunct/>
        <w:topLinePunct w:val="false"/>
        <w:autoSpaceDE w:val="false"/>
        <w:autoSpaceDN w:val="false"/>
        <w:bidi w:val="false"/>
        <w:adjustRightInd/>
        <w:snapToGrid/>
        <w:spacing w:before="0" w:after="0" w:lineRule="auto" w:line="360"/>
        <w:ind w:left="0" w:right="0" w:firstLine="624" w:firstLineChars="200"/>
        <w:jc w:val="both"/>
        <w:textAlignment w:val="auto"/>
        <w:rPr>
          <w:sz w:val="31"/>
        </w:rPr>
      </w:pPr>
      <w:r>
        <w:rPr>
          <w:spacing w:val="1"/>
          <w:sz w:val="31"/>
        </w:rPr>
        <w:t xml:space="preserve">按被征收房屋评估价值的 </w:t>
      </w:r>
      <w:r>
        <w:rPr>
          <w:rFonts w:ascii="Times New Roman" w:eastAsia="Times New Roman"/>
          <w:spacing w:val="4"/>
          <w:sz w:val="31"/>
        </w:rPr>
        <w:t>6%</w:t>
      </w:r>
      <w:r>
        <w:rPr>
          <w:spacing w:val="8"/>
          <w:sz w:val="31"/>
        </w:rPr>
        <w:t>计算，一次性给予补偿。</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黑体" w:eastAsia="黑体" w:hint="eastAsia"/>
        </w:rPr>
      </w:pPr>
      <w:r>
        <w:rPr>
          <w:rFonts w:ascii="黑体" w:eastAsia="黑体" w:hint="eastAsia"/>
        </w:rPr>
        <w:t>三、奖励</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（一）按期签约奖</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 xml:space="preserve">一类签约期内签约的，按房屋评估价值（不含装修装饰和附属物补偿，下同）给予 </w:t>
      </w:r>
      <w:r>
        <w:rPr>
          <w:rFonts w:ascii="Times New Roman" w:eastAsia="Times New Roman"/>
        </w:rPr>
        <w:t>20%</w:t>
      </w:r>
      <w:r>
        <w:t xml:space="preserve">的奖励，二类签约期内签约的，按房屋评估价值给予 </w:t>
      </w:r>
      <w:r>
        <w:rPr>
          <w:rFonts w:ascii="Times New Roman" w:eastAsia="Times New Roman"/>
        </w:rPr>
        <w:t>15%</w:t>
      </w:r>
      <w:r>
        <w:t>的奖励。</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（二）按期搬迁奖</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 xml:space="preserve">被征收人在本方案规定的一类搬迁期限内搬迁交房的，按房屋评估价值给予 </w:t>
      </w:r>
      <w:r>
        <w:rPr>
          <w:rFonts w:ascii="Times New Roman" w:eastAsia="Times New Roman"/>
        </w:rPr>
        <w:t>12%</w:t>
      </w:r>
      <w:r>
        <w:t xml:space="preserve">的奖励，被征收人在本方案规定的二类搬迁期限内搬迁交房的，按房屋评估价值给予 </w:t>
      </w:r>
      <w:r>
        <w:rPr>
          <w:rFonts w:ascii="Times New Roman" w:eastAsia="Times New Roman"/>
        </w:rPr>
        <w:t>8%</w:t>
      </w:r>
      <w:r>
        <w:t>的奖励。</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（三）其他奖励</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签约期内按期签约的，给予以下奖励</w:t>
      </w:r>
    </w:p>
    <w:p>
      <w:pPr>
        <w:pStyle w:val="style179"/>
        <w:keepNext w:val="false"/>
        <w:keepLines w:val="false"/>
        <w:pageBreakBefore w:val="false"/>
        <w:widowControl w:val="false"/>
        <w:numPr>
          <w:ilvl w:val="0"/>
          <w:numId w:val="9"/>
        </w:numPr>
        <w:tabs>
          <w:tab w:val="left" w:leader="none" w:pos="1015"/>
        </w:tabs>
        <w:kinsoku/>
        <w:wordWrap/>
        <w:overflowPunct/>
        <w:topLinePunct w:val="false"/>
        <w:autoSpaceDE w:val="false"/>
        <w:autoSpaceDN w:val="false"/>
        <w:bidi w:val="false"/>
        <w:adjustRightInd/>
        <w:snapToGrid/>
        <w:spacing w:before="0" w:after="0" w:lineRule="auto" w:line="360"/>
        <w:ind w:left="0" w:right="0" w:firstLine="652" w:firstLineChars="200"/>
        <w:jc w:val="both"/>
        <w:textAlignment w:val="auto"/>
        <w:rPr>
          <w:sz w:val="31"/>
        </w:rPr>
      </w:pPr>
      <w:r>
        <w:rPr>
          <w:spacing w:val="8"/>
          <w:sz w:val="31"/>
        </w:rPr>
        <w:t>产权调换房按政府确定的优惠价进行结算。</w:t>
      </w:r>
    </w:p>
    <w:p>
      <w:pPr>
        <w:pStyle w:val="style179"/>
        <w:keepNext w:val="false"/>
        <w:keepLines w:val="false"/>
        <w:pageBreakBefore w:val="false"/>
        <w:widowControl w:val="false"/>
        <w:numPr>
          <w:ilvl w:val="0"/>
          <w:numId w:val="0"/>
        </w:numPr>
        <w:tabs>
          <w:tab w:val="left" w:leader="none" w:pos="1015"/>
        </w:tabs>
        <w:kinsoku/>
        <w:wordWrap/>
        <w:overflowPunct/>
        <w:topLinePunct w:val="false"/>
        <w:autoSpaceDE w:val="false"/>
        <w:autoSpaceDN w:val="false"/>
        <w:bidi w:val="false"/>
        <w:adjustRightInd/>
        <w:snapToGrid/>
        <w:spacing w:before="0" w:after="0" w:lineRule="auto" w:line="360"/>
        <w:ind w:leftChars="0" w:right="0" w:rightChars="0" w:firstLine="644" w:firstLineChars="200"/>
        <w:jc w:val="both"/>
        <w:textAlignment w:val="auto"/>
        <w:rPr>
          <w:rFonts w:eastAsia="仿宋" w:hint="default"/>
          <w:strike/>
          <w:color w:val="0000ff"/>
          <w:sz w:val="31"/>
          <w:lang w:val="en-US" w:eastAsia="zh-CN"/>
        </w:rPr>
      </w:pPr>
      <w:r>
        <w:rPr>
          <w:rFonts w:hint="eastAsia"/>
          <w:spacing w:val="6"/>
          <w:sz w:val="31"/>
          <w:highlight w:val="none"/>
          <w:lang w:val="en-US" w:eastAsia="zh-CN"/>
        </w:rPr>
        <w:t>2.居民自建房中</w:t>
      </w:r>
      <w:r>
        <w:rPr>
          <w:spacing w:val="6"/>
          <w:sz w:val="31"/>
        </w:rPr>
        <w:t>与主体房一体成型的未计入主体房屋面积的屋檐，按照屋</w:t>
      </w:r>
      <w:r>
        <w:rPr>
          <w:sz w:val="31"/>
        </w:rPr>
        <w:t>檐</w:t>
      </w:r>
      <w:r>
        <w:rPr>
          <w:color w:val="auto"/>
          <w:sz w:val="31"/>
        </w:rPr>
        <w:t>水平投影面积，</w:t>
      </w:r>
      <w:r>
        <w:rPr>
          <w:rFonts w:hint="eastAsia"/>
          <w:color w:val="auto"/>
          <w:sz w:val="31"/>
        </w:rPr>
        <w:t>参照该房屋住宅用途一类 B 的评估价格给予奖励。个人在国有单位土地上未经法定机关批准修建</w:t>
      </w:r>
      <w:r>
        <w:rPr>
          <w:rFonts w:hint="eastAsia"/>
          <w:color w:val="auto"/>
          <w:sz w:val="31"/>
          <w:lang w:eastAsia="zh-CN"/>
        </w:rPr>
        <w:t>的</w:t>
      </w:r>
      <w:r>
        <w:rPr>
          <w:rFonts w:hint="eastAsia"/>
          <w:color w:val="auto"/>
          <w:sz w:val="31"/>
          <w:lang w:val="en-US" w:eastAsia="zh-CN"/>
        </w:rPr>
        <w:t>房屋屋檐不予奖励。</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黑体" w:eastAsia="黑体" w:hint="eastAsia"/>
        </w:rPr>
      </w:pPr>
      <w:r>
        <w:rPr>
          <w:rFonts w:ascii="黑体" w:eastAsia="黑体" w:hint="eastAsia"/>
        </w:rPr>
        <w:t>四、补助</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56" w:firstLineChars="200"/>
        <w:jc w:val="both"/>
        <w:textAlignment w:val="auto"/>
        <w:rPr/>
      </w:pPr>
      <w:r>
        <w:rPr>
          <w:rFonts w:ascii="楷体" w:eastAsia="楷体" w:hint="eastAsia"/>
          <w:spacing w:val="9"/>
        </w:rPr>
        <w:t>（</w:t>
      </w:r>
      <w:r>
        <w:rPr>
          <w:rFonts w:ascii="楷体" w:eastAsia="楷体" w:hint="eastAsia"/>
          <w:spacing w:val="11"/>
        </w:rPr>
        <w:t>一</w:t>
      </w:r>
      <w:r>
        <w:rPr>
          <w:rFonts w:ascii="楷体" w:eastAsia="楷体" w:hint="eastAsia"/>
          <w:spacing w:val="-58"/>
        </w:rPr>
        <w:t>）</w:t>
      </w:r>
      <w:r>
        <w:rPr>
          <w:rFonts w:ascii="楷体" w:eastAsia="楷体" w:hint="eastAsia"/>
          <w:spacing w:val="-1"/>
        </w:rPr>
        <w:t>职工失业补助。</w:t>
      </w:r>
      <w:r>
        <w:rPr>
          <w:spacing w:val="8"/>
        </w:rPr>
        <w:t>征收前持续经营的经营性房屋或认定</w:t>
      </w:r>
      <w:r>
        <w:rPr>
          <w:spacing w:val="-1"/>
        </w:rPr>
        <w:t>为住改非的房屋，被征收人能够提供向社会保险经办机构缴纳社会保险费凭证的，按照上一年度申报社保的本单位职工月均工资</w:t>
      </w:r>
      <w:r>
        <w:rPr>
          <w:spacing w:val="-4"/>
        </w:rPr>
        <w:t xml:space="preserve">总额计算每月的职工失业补助，一次性计发 </w:t>
      </w:r>
      <w:r>
        <w:rPr>
          <w:rFonts w:ascii="Times New Roman" w:eastAsia="Times New Roman"/>
        </w:rPr>
        <w:t xml:space="preserve">6 </w:t>
      </w:r>
      <w:r>
        <w:rPr>
          <w:spacing w:val="7"/>
        </w:rPr>
        <w:t>个月的职工失业补</w:t>
      </w:r>
      <w:r>
        <w:t>助。</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 xml:space="preserve">被征收人不能提供社保费缴交凭证的，按经营户每证（营业执照）一次性计发 </w:t>
      </w:r>
      <w:r>
        <w:rPr>
          <w:rFonts w:ascii="Times New Roman" w:eastAsia="Times New Roman"/>
        </w:rPr>
        <w:t xml:space="preserve">1 </w:t>
      </w:r>
      <w:r>
        <w:t xml:space="preserve">个职工 </w:t>
      </w:r>
      <w:r>
        <w:rPr>
          <w:rFonts w:ascii="Times New Roman" w:eastAsia="Times New Roman"/>
        </w:rPr>
        <w:t xml:space="preserve">6 </w:t>
      </w:r>
      <w:r>
        <w:t>个月的职工失业补助。</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（二）困难家庭补助</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56" w:firstLineChars="200"/>
        <w:jc w:val="both"/>
        <w:textAlignment w:val="auto"/>
        <w:rPr/>
      </w:pPr>
      <w:r>
        <w:rPr>
          <w:spacing w:val="9"/>
        </w:rPr>
        <w:t>被征收人共同生活的家庭成员中有低保户、残疾人</w:t>
      </w:r>
      <w:r>
        <w:rPr>
          <w:spacing w:val="11"/>
        </w:rPr>
        <w:t>（</w:t>
      </w:r>
      <w:r>
        <w:rPr>
          <w:spacing w:val="6"/>
        </w:rPr>
        <w:t>一级、</w:t>
      </w:r>
      <w:r>
        <w:rPr>
          <w:spacing w:val="11"/>
        </w:rPr>
        <w:t>二级、三级）或烈属的（有两种及以上情况的，不累加计算</w:t>
      </w:r>
      <w:r>
        <w:rPr>
          <w:spacing w:val="-150"/>
        </w:rPr>
        <w:t>）</w:t>
      </w:r>
      <w:r>
        <w:t>，</w:t>
      </w:r>
      <w:r>
        <w:rPr>
          <w:spacing w:val="-9"/>
        </w:rPr>
        <w:t xml:space="preserve">每户给予 </w:t>
      </w:r>
      <w:r>
        <w:rPr>
          <w:rFonts w:ascii="Times New Roman" w:eastAsia="Times New Roman"/>
          <w:spacing w:val="2"/>
        </w:rPr>
        <w:t xml:space="preserve">5000 </w:t>
      </w:r>
      <w:r>
        <w:rPr>
          <w:spacing w:val="6"/>
        </w:rPr>
        <w:t>元补助。</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黑体" w:eastAsia="黑体" w:hint="eastAsia"/>
        </w:rPr>
      </w:pPr>
      <w:r>
        <w:rPr>
          <w:rFonts w:ascii="黑体" w:eastAsia="黑体" w:hint="eastAsia"/>
        </w:rPr>
        <w:t>五、产权调换房的选房原则</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（一）选房顺序</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被征收人采取抽签的方式抽取签约顺序，按该顺序选取产权调换房、签订房屋征收补偿协议。</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（二）产权调换房套（间）数的确定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eastAsia="仿宋" w:hint="eastAsia"/>
          <w:i w:val="false"/>
          <w:iCs w:val="false"/>
          <w:u w:val="none"/>
          <w:lang w:val="en-US" w:eastAsia="zh-CN"/>
        </w:rPr>
      </w:pPr>
      <w:r>
        <w:t>被征收人选择多套（间）房屋的，</w:t>
      </w:r>
      <w:r>
        <w:rPr>
          <w:rFonts w:hint="eastAsia"/>
          <w:i w:val="false"/>
          <w:iCs w:val="false"/>
          <w:u w:val="none"/>
          <w:lang w:val="en-US" w:eastAsia="zh-CN"/>
        </w:rPr>
        <w:t>无剩余补偿款后，不能再选产权调换房。</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楷体" w:eastAsia="楷体" w:hint="eastAsia"/>
        </w:rPr>
      </w:pPr>
      <w:r>
        <w:rPr>
          <w:rFonts w:ascii="楷体" w:eastAsia="楷体" w:hint="eastAsia"/>
        </w:rPr>
        <w:t>（三）商业产权调换房的选择和结算</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i w:val="false"/>
          <w:iCs w:val="false"/>
          <w:highlight w:val="none"/>
          <w:u w:val="none"/>
        </w:rPr>
      </w:pPr>
      <w:r>
        <w:t>被征收房屋为商业房或住改商业门面的，可选择调换商业房，也可选</w:t>
      </w:r>
      <w:r>
        <w:rPr>
          <w:highlight w:val="none"/>
        </w:rPr>
        <w:t>择调换住宅房屋。选择调换住宅的部分，</w:t>
      </w:r>
      <w:r>
        <w:rPr>
          <w:rFonts w:hint="eastAsia"/>
          <w:i w:val="false"/>
          <w:iCs w:val="false"/>
          <w:highlight w:val="none"/>
          <w:u w:val="none"/>
        </w:rPr>
        <w:t>按照住宅计算过渡费。</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被征收房屋为住改其他商业的，只可选择调换住宅房屋，选择调换住宅的部分，按照住宅计算过渡费。</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rFonts w:ascii="黑体" w:eastAsia="黑体" w:hint="eastAsia"/>
        </w:rPr>
      </w:pPr>
      <w:r>
        <w:rPr>
          <w:rFonts w:ascii="黑体" w:eastAsia="黑体" w:hint="eastAsia"/>
        </w:rPr>
        <w:t>六、其他补偿规定</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（一）征收设有抵押权的房屋，抵押人和抵押权人应自行重新设定担保或者清偿债务。</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（二）被征收房屋承租人权益</w:t>
      </w:r>
    </w:p>
    <w:p>
      <w:pPr>
        <w:pStyle w:val="style179"/>
        <w:keepNext w:val="false"/>
        <w:keepLines w:val="false"/>
        <w:pageBreakBefore w:val="false"/>
        <w:widowControl w:val="false"/>
        <w:numPr>
          <w:ilvl w:val="0"/>
          <w:numId w:val="10"/>
        </w:numPr>
        <w:tabs>
          <w:tab w:val="left" w:leader="none" w:pos="1255"/>
        </w:tabs>
        <w:kinsoku/>
        <w:wordWrap/>
        <w:overflowPunct/>
        <w:topLinePunct w:val="false"/>
        <w:autoSpaceDE w:val="false"/>
        <w:autoSpaceDN w:val="false"/>
        <w:bidi w:val="false"/>
        <w:adjustRightInd/>
        <w:snapToGrid/>
        <w:spacing w:before="0" w:after="0" w:lineRule="auto" w:line="360"/>
        <w:ind w:left="0" w:right="0" w:firstLine="660" w:firstLineChars="200"/>
        <w:jc w:val="both"/>
        <w:textAlignment w:val="auto"/>
        <w:rPr>
          <w:sz w:val="31"/>
        </w:rPr>
      </w:pPr>
      <w:r>
        <w:rPr>
          <w:spacing w:val="10"/>
          <w:sz w:val="31"/>
        </w:rPr>
        <w:t>房屋产权人与承租人签订的房屋租赁合同明确约定房屋</w:t>
      </w:r>
      <w:r>
        <w:rPr>
          <w:spacing w:val="-1"/>
          <w:sz w:val="31"/>
        </w:rPr>
        <w:t>征收装修装饰补偿、职工失业补助、停产停业损失补偿处理方式</w:t>
      </w:r>
      <w:r>
        <w:rPr>
          <w:spacing w:val="8"/>
          <w:sz w:val="31"/>
        </w:rPr>
        <w:t>的，按合同约定执行。</w:t>
      </w:r>
    </w:p>
    <w:p>
      <w:pPr>
        <w:pStyle w:val="style179"/>
        <w:keepNext w:val="false"/>
        <w:keepLines w:val="false"/>
        <w:pageBreakBefore w:val="false"/>
        <w:widowControl w:val="false"/>
        <w:numPr>
          <w:ilvl w:val="0"/>
          <w:numId w:val="10"/>
        </w:numPr>
        <w:tabs>
          <w:tab w:val="left" w:leader="none" w:pos="1239"/>
        </w:tabs>
        <w:kinsoku/>
        <w:wordWrap/>
        <w:overflowPunct/>
        <w:topLinePunct w:val="false"/>
        <w:autoSpaceDE w:val="false"/>
        <w:autoSpaceDN w:val="false"/>
        <w:bidi w:val="false"/>
        <w:adjustRightInd/>
        <w:snapToGrid/>
        <w:spacing w:before="0" w:after="0" w:lineRule="auto" w:line="360"/>
        <w:ind w:left="0" w:right="0" w:firstLine="656" w:firstLineChars="200"/>
        <w:jc w:val="both"/>
        <w:textAlignment w:val="auto"/>
        <w:rPr>
          <w:sz w:val="31"/>
        </w:rPr>
      </w:pPr>
      <w:r>
        <w:rPr>
          <w:spacing w:val="9"/>
          <w:sz w:val="31"/>
        </w:rPr>
        <w:t>房屋产权人与承租人签订的房屋租赁合同未明确约定的</w:t>
      </w:r>
      <w:r>
        <w:rPr>
          <w:spacing w:val="13"/>
          <w:sz w:val="31"/>
        </w:rPr>
        <w:t>，双方自行协商处理，原则上装修装饰补偿</w:t>
      </w:r>
      <w:r>
        <w:rPr>
          <w:spacing w:val="18"/>
          <w:sz w:val="31"/>
        </w:rPr>
        <w:t>（</w:t>
      </w:r>
      <w:r>
        <w:rPr>
          <w:spacing w:val="16"/>
          <w:sz w:val="31"/>
        </w:rPr>
        <w:t>由承租人出资的</w:t>
      </w:r>
      <w:r>
        <w:rPr>
          <w:spacing w:val="5"/>
          <w:sz w:val="31"/>
        </w:rPr>
        <w:t>部分</w:t>
      </w:r>
      <w:r>
        <w:rPr>
          <w:spacing w:val="-152"/>
          <w:sz w:val="31"/>
        </w:rPr>
        <w:t>）</w:t>
      </w:r>
      <w:r>
        <w:rPr>
          <w:spacing w:val="8"/>
          <w:sz w:val="31"/>
        </w:rPr>
        <w:t>、职工失业补助补偿给承租人。</w:t>
      </w:r>
    </w:p>
    <w:p>
      <w:pPr>
        <w:pStyle w:val="style66"/>
        <w:spacing w:before="8"/>
        <w:jc w:val="both"/>
        <w:rPr>
          <w:sz w:val="44"/>
        </w:rPr>
      </w:pPr>
    </w:p>
    <w:p>
      <w:pPr>
        <w:pStyle w:val="style66"/>
        <w:tabs>
          <w:tab w:val="left" w:leader="none" w:pos="1288"/>
        </w:tabs>
        <w:ind w:right="156"/>
        <w:jc w:val="center"/>
        <w:rPr>
          <w:rFonts w:ascii="黑体" w:eastAsia="黑体" w:hint="eastAsia"/>
        </w:rPr>
      </w:pPr>
      <w:r>
        <w:rPr>
          <w:rFonts w:ascii="黑体" w:eastAsia="黑体" w:hint="eastAsia"/>
          <w:spacing w:val="9"/>
        </w:rPr>
        <w:t>第</w:t>
      </w:r>
      <w:r>
        <w:rPr>
          <w:rFonts w:ascii="黑体" w:eastAsia="黑体" w:hint="eastAsia"/>
          <w:spacing w:val="11"/>
        </w:rPr>
        <w:t>五</w:t>
      </w:r>
      <w:r>
        <w:rPr>
          <w:rFonts w:ascii="黑体" w:eastAsia="黑体" w:hint="eastAsia"/>
        </w:rPr>
        <w:t>章</w:t>
      </w:r>
      <w:r>
        <w:rPr>
          <w:rFonts w:ascii="黑体" w:eastAsia="黑体" w:hint="eastAsia"/>
        </w:rPr>
        <w:tab/>
      </w:r>
      <w:r>
        <w:rPr>
          <w:rFonts w:ascii="黑体" w:eastAsia="黑体" w:hint="eastAsia"/>
          <w:spacing w:val="9"/>
        </w:rPr>
        <w:t>保</w:t>
      </w:r>
      <w:r>
        <w:rPr>
          <w:rFonts w:ascii="黑体" w:eastAsia="黑体" w:hint="eastAsia"/>
          <w:spacing w:val="11"/>
        </w:rPr>
        <w:t>障</w:t>
      </w:r>
      <w:r>
        <w:rPr>
          <w:rFonts w:ascii="黑体" w:eastAsia="黑体" w:hint="eastAsia"/>
          <w:spacing w:val="9"/>
        </w:rPr>
        <w:t>监督</w:t>
      </w:r>
      <w:r>
        <w:rPr>
          <w:rFonts w:ascii="黑体" w:eastAsia="黑体" w:hint="eastAsia"/>
          <w:spacing w:val="11"/>
        </w:rPr>
        <w:t>与</w:t>
      </w:r>
      <w:r>
        <w:rPr>
          <w:rFonts w:ascii="黑体" w:eastAsia="黑体" w:hint="eastAsia"/>
          <w:spacing w:val="9"/>
        </w:rPr>
        <w:t>争议</w:t>
      </w:r>
      <w:r>
        <w:rPr>
          <w:rFonts w:ascii="黑体" w:eastAsia="黑体" w:hint="eastAsia"/>
          <w:spacing w:val="11"/>
        </w:rPr>
        <w:t>处</w:t>
      </w:r>
      <w:r>
        <w:rPr>
          <w:rFonts w:ascii="黑体" w:eastAsia="黑体" w:hint="eastAsia"/>
        </w:rPr>
        <w:t>理</w:t>
      </w:r>
    </w:p>
    <w:p>
      <w:pPr>
        <w:pStyle w:val="style66"/>
        <w:jc w:val="both"/>
        <w:rPr>
          <w:rFonts w:ascii="黑体"/>
          <w:sz w:val="30"/>
        </w:rPr>
      </w:pPr>
    </w:p>
    <w:p>
      <w:pPr>
        <w:pStyle w:val="style66"/>
        <w:spacing w:before="3"/>
        <w:jc w:val="both"/>
        <w:rPr>
          <w:rFonts w:ascii="黑体"/>
          <w:sz w:val="29"/>
        </w:rPr>
      </w:pPr>
    </w:p>
    <w:p>
      <w:pPr>
        <w:pStyle w:val="style66"/>
        <w:ind w:left="767"/>
        <w:jc w:val="both"/>
        <w:rPr>
          <w:rFonts w:ascii="黑体" w:eastAsia="黑体" w:hint="eastAsia"/>
        </w:rPr>
      </w:pPr>
      <w:r>
        <w:rPr>
          <w:rFonts w:ascii="黑体" w:eastAsia="黑体" w:hint="eastAsia"/>
        </w:rPr>
        <w:t>一、保障监督</w:t>
      </w:r>
    </w:p>
    <w:p>
      <w:pPr>
        <w:pStyle w:val="style66"/>
        <w:spacing w:before="182" w:lineRule="auto" w:line="350"/>
        <w:ind w:left="126" w:right="280" w:firstLine="633"/>
        <w:jc w:val="both"/>
        <w:rPr/>
      </w:pPr>
      <w:r>
        <w:rPr>
          <w:spacing w:val="9"/>
        </w:rPr>
        <w:t>（</w:t>
      </w:r>
      <w:r>
        <w:rPr>
          <w:spacing w:val="11"/>
        </w:rPr>
        <w:t>一</w:t>
      </w:r>
      <w:r>
        <w:rPr>
          <w:spacing w:val="-99"/>
        </w:rPr>
        <w:t>）</w:t>
      </w:r>
      <w:r>
        <w:rPr>
          <w:spacing w:val="8"/>
        </w:rPr>
        <w:t>纪检监察部门对参与房屋征收补偿工作的有关部门或</w:t>
      </w:r>
      <w:r>
        <w:t>单位及其工作人员进行监察；审计部门应当加强对征收补偿费用</w:t>
      </w:r>
      <w:r>
        <w:rPr>
          <w:spacing w:val="8"/>
        </w:rPr>
        <w:t>管理和使用情况的监督。</w:t>
      </w:r>
    </w:p>
    <w:p>
      <w:pPr>
        <w:pStyle w:val="style66"/>
        <w:spacing w:lineRule="auto" w:line="350"/>
        <w:ind w:left="126" w:right="282" w:firstLine="640"/>
        <w:jc w:val="both"/>
        <w:rPr/>
      </w:pPr>
      <w:r>
        <w:rPr>
          <w:spacing w:val="9"/>
        </w:rPr>
        <w:t>（</w:t>
      </w:r>
      <w:r>
        <w:rPr>
          <w:spacing w:val="11"/>
        </w:rPr>
        <w:t>二</w:t>
      </w:r>
      <w:r>
        <w:rPr>
          <w:spacing w:val="-49"/>
        </w:rPr>
        <w:t>）</w:t>
      </w:r>
      <w:r>
        <w:rPr>
          <w:spacing w:val="1"/>
        </w:rPr>
        <w:t>房屋征收部门、房屋征收实施单位及相关单位工作人</w:t>
      </w:r>
      <w:r>
        <w:t>员以权谋私、徇私舞弊、滥用职权、玩忽职守、弄虚作假、敲诈</w:t>
      </w:r>
      <w:r>
        <w:rPr>
          <w:spacing w:val="-2"/>
        </w:rPr>
        <w:t>勒索、收受贿赂的，由六盘水市钟山区人民政府责令改正，通报</w:t>
      </w:r>
      <w:r>
        <w:rPr>
          <w:spacing w:val="-1"/>
        </w:rPr>
        <w:t>批评；造成损失的，依法承担赔偿责任；对直接负责的主管人员</w:t>
      </w:r>
      <w:r>
        <w:t>和其他直接责任人员，依法给予处分，构成犯罪的，依法追究刑</w:t>
      </w:r>
    </w:p>
    <w:p>
      <w:pPr>
        <w:pStyle w:val="style66"/>
        <w:spacing w:before="57"/>
        <w:ind w:left="126"/>
        <w:jc w:val="both"/>
        <w:rPr/>
      </w:pPr>
      <w:r>
        <w:t>事责任。</w:t>
      </w:r>
    </w:p>
    <w:p>
      <w:pPr>
        <w:pStyle w:val="style66"/>
        <w:spacing w:before="181" w:lineRule="auto" w:line="350"/>
        <w:ind w:left="126" w:right="280" w:firstLine="602"/>
        <w:jc w:val="both"/>
        <w:rPr/>
      </w:pPr>
      <w:r>
        <w:t>（三）采取暴力、威胁等方法阻碍依法进行的房屋征收与补偿工作，构成犯罪的，依法追究刑事责任；构成违反治安管理行为的，依法给予治安处罚。</w:t>
      </w:r>
    </w:p>
    <w:p>
      <w:pPr>
        <w:pStyle w:val="style66"/>
        <w:spacing w:lineRule="auto" w:line="348"/>
        <w:ind w:left="126" w:right="280" w:firstLine="624"/>
        <w:jc w:val="both"/>
        <w:rPr/>
      </w:pPr>
      <w:r>
        <w:t>（四）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pStyle w:val="style66"/>
        <w:spacing w:before="5" w:lineRule="auto" w:line="348"/>
        <w:ind w:left="126" w:right="282" w:firstLine="583"/>
        <w:jc w:val="both"/>
        <w:rPr/>
      </w:pPr>
      <w:r>
        <w:rPr>
          <w:spacing w:val="9"/>
        </w:rPr>
        <w:t>（五</w:t>
      </w:r>
      <w:r>
        <w:rPr>
          <w:spacing w:val="-46"/>
        </w:rPr>
        <w:t>）</w:t>
      </w:r>
      <w:r>
        <w:rPr>
          <w:spacing w:val="8"/>
        </w:rPr>
        <w:t>房地产估价机构或者房地产估价师出具虚假或者有重</w:t>
      </w:r>
      <w:r>
        <w:t>大差错的评估报告的，按《国有土地上房屋征收与补偿条例》</w:t>
      </w:r>
      <w:r>
        <w:rPr>
          <w:rFonts w:hint="eastAsia"/>
          <w:lang w:eastAsia="zh-CN"/>
        </w:rPr>
        <w:t>《</w:t>
      </w:r>
      <w:r>
        <w:rPr>
          <w:rFonts w:hint="eastAsia"/>
          <w:lang w:val="en-US" w:eastAsia="zh-CN"/>
        </w:rPr>
        <w:t>资产评估法</w:t>
      </w:r>
      <w:r>
        <w:rPr>
          <w:rFonts w:hint="eastAsia"/>
          <w:lang w:eastAsia="zh-CN"/>
        </w:rPr>
        <w:t>》</w:t>
      </w:r>
      <w:r>
        <w:t>相</w:t>
      </w:r>
      <w:r>
        <w:rPr>
          <w:spacing w:val="-1"/>
        </w:rPr>
        <w:t>关规定处理；造成损失的，依法承担赔偿责任；构成犯罪的，依</w:t>
      </w:r>
      <w:r>
        <w:rPr>
          <w:spacing w:val="7"/>
        </w:rPr>
        <w:t>法追究刑事责任。</w:t>
      </w:r>
    </w:p>
    <w:p>
      <w:pPr>
        <w:pStyle w:val="style66"/>
        <w:spacing w:before="8"/>
        <w:ind w:left="767"/>
        <w:jc w:val="both"/>
        <w:rPr>
          <w:rFonts w:ascii="黑体" w:eastAsia="黑体" w:hint="eastAsia"/>
        </w:rPr>
      </w:pPr>
      <w:r>
        <w:rPr>
          <w:rFonts w:ascii="黑体" w:eastAsia="黑体" w:hint="eastAsia"/>
          <w:spacing w:val="7"/>
        </w:rPr>
        <w:t>二、争议处理</w:t>
      </w:r>
    </w:p>
    <w:p>
      <w:pPr>
        <w:pStyle w:val="style66"/>
        <w:spacing w:before="181" w:lineRule="auto" w:line="350"/>
        <w:ind w:left="126" w:right="282" w:firstLine="612"/>
        <w:jc w:val="both"/>
        <w:rPr/>
      </w:pPr>
      <w:r>
        <w:t>（一）被征收人对征收决定、补偿决定不服的，可以依法申请行政复议，也可以依法提起行政诉讼。</w:t>
      </w:r>
    </w:p>
    <w:p>
      <w:pPr>
        <w:pStyle w:val="style66"/>
        <w:spacing w:lineRule="auto" w:line="348"/>
        <w:ind w:left="126" w:right="282" w:firstLine="602"/>
        <w:jc w:val="both"/>
        <w:rPr/>
      </w:pPr>
      <w:r>
        <w:t>（二）房屋征收实施单位与被征收人订立补偿协议后，一方当事人不履行补偿协议约定的义务的，另一方当事人可以依法提起诉讼。</w:t>
      </w:r>
    </w:p>
    <w:p>
      <w:pPr>
        <w:pStyle w:val="style66"/>
        <w:spacing w:before="2"/>
        <w:ind w:left="767"/>
        <w:jc w:val="both"/>
        <w:rPr/>
      </w:pPr>
      <w:r>
        <w:t>（三）评估异议</w:t>
      </w:r>
    </w:p>
    <w:p>
      <w:pPr>
        <w:pStyle w:val="style179"/>
        <w:numPr>
          <w:ilvl w:val="0"/>
          <w:numId w:val="11"/>
        </w:numPr>
        <w:tabs>
          <w:tab w:val="left" w:leader="none" w:pos="1255"/>
        </w:tabs>
        <w:spacing w:before="181" w:after="0" w:lineRule="auto" w:line="350"/>
        <w:ind w:left="126" w:right="280" w:firstLine="643"/>
        <w:jc w:val="both"/>
        <w:rPr>
          <w:sz w:val="31"/>
        </w:rPr>
      </w:pPr>
      <w:r>
        <w:rPr>
          <w:spacing w:val="10"/>
          <w:sz w:val="31"/>
        </w:rPr>
        <w:t xml:space="preserve">被征收人或者房屋征收部门对分户评估结果有异议的， </w:t>
      </w:r>
      <w:r>
        <w:rPr>
          <w:spacing w:val="5"/>
          <w:sz w:val="31"/>
        </w:rPr>
        <w:t xml:space="preserve">应当自收到分户评估报告之日起 </w:t>
      </w:r>
      <w:r>
        <w:rPr>
          <w:rFonts w:ascii="Times New Roman" w:eastAsia="Times New Roman"/>
          <w:sz w:val="31"/>
        </w:rPr>
        <w:t>10</w:t>
      </w:r>
      <w:r>
        <w:rPr>
          <w:rFonts w:ascii="Times New Roman" w:eastAsia="Times New Roman"/>
          <w:spacing w:val="10"/>
          <w:sz w:val="31"/>
        </w:rPr>
        <w:t xml:space="preserve"> </w:t>
      </w:r>
      <w:r>
        <w:rPr>
          <w:spacing w:val="10"/>
          <w:sz w:val="31"/>
        </w:rPr>
        <w:t>日内，向房地产价格评估机</w:t>
      </w:r>
    </w:p>
    <w:p>
      <w:pPr>
        <w:pStyle w:val="style66"/>
        <w:spacing w:before="57"/>
        <w:ind w:left="126"/>
        <w:jc w:val="both"/>
        <w:rPr/>
      </w:pPr>
      <w:r>
        <w:t>构申请复核评估。</w:t>
      </w:r>
    </w:p>
    <w:p>
      <w:pPr>
        <w:pStyle w:val="style66"/>
        <w:spacing w:before="181" w:lineRule="auto" w:line="350"/>
        <w:ind w:left="126" w:right="280" w:firstLine="640"/>
        <w:jc w:val="both"/>
        <w:rPr/>
      </w:pPr>
      <w:r>
        <w:t>申请复核评估的，应当向原房地产价格评估机构提出书面复核评估申请，并指出评估报告存在的问题。</w:t>
      </w:r>
    </w:p>
    <w:p>
      <w:pPr>
        <w:pStyle w:val="style66"/>
        <w:spacing w:lineRule="auto" w:line="348"/>
        <w:ind w:left="126" w:right="282" w:firstLine="655"/>
        <w:jc w:val="both"/>
        <w:rPr/>
      </w:pPr>
      <w:r>
        <w:t xml:space="preserve">原房地产价格评估机构应当自收到书面复核评估申请之日起 </w:t>
      </w:r>
      <w:r>
        <w:rPr>
          <w:rFonts w:ascii="Times New Roman" w:eastAsia="Times New Roman"/>
        </w:rPr>
        <w:t xml:space="preserve">10 </w:t>
      </w:r>
      <w:r>
        <w:t>日内对评估结果进行复核。复核后，改变原评估结果的， 应当重新出具评估报告；评估结果没有改变的，应当书面告知复核评估申请人。</w:t>
      </w:r>
    </w:p>
    <w:p>
      <w:pPr>
        <w:pStyle w:val="style179"/>
        <w:numPr>
          <w:ilvl w:val="0"/>
          <w:numId w:val="11"/>
        </w:numPr>
        <w:tabs>
          <w:tab w:val="left" w:leader="none" w:pos="1255"/>
        </w:tabs>
        <w:spacing w:before="4" w:after="0" w:lineRule="auto" w:line="350"/>
        <w:ind w:left="126" w:right="280" w:firstLine="643"/>
        <w:jc w:val="both"/>
        <w:rPr>
          <w:sz w:val="31"/>
        </w:rPr>
      </w:pPr>
      <w:r>
        <w:rPr>
          <w:spacing w:val="10"/>
          <w:sz w:val="31"/>
        </w:rPr>
        <w:t>被征收人或者房屋征收部门对原房地产价格评估机构的</w:t>
      </w:r>
      <w:r>
        <w:rPr>
          <w:spacing w:val="6"/>
          <w:sz w:val="31"/>
        </w:rPr>
        <w:t xml:space="preserve">复核结果有异议的，应当自收到复核结果之日起 </w:t>
      </w:r>
      <w:r>
        <w:rPr>
          <w:rFonts w:ascii="Times New Roman" w:eastAsia="Times New Roman"/>
          <w:sz w:val="31"/>
        </w:rPr>
        <w:t>10</w:t>
      </w:r>
      <w:r>
        <w:rPr>
          <w:rFonts w:ascii="Times New Roman" w:eastAsia="Times New Roman"/>
          <w:spacing w:val="10"/>
          <w:sz w:val="31"/>
        </w:rPr>
        <w:t xml:space="preserve"> </w:t>
      </w:r>
      <w:r>
        <w:rPr>
          <w:spacing w:val="8"/>
          <w:sz w:val="31"/>
        </w:rPr>
        <w:t>日内，向六盘水市房地产评估专家委员会申请鉴定。</w:t>
      </w:r>
    </w:p>
    <w:p>
      <w:pPr>
        <w:pStyle w:val="style66"/>
        <w:spacing w:lineRule="auto" w:line="348"/>
        <w:ind w:left="126" w:right="282" w:firstLine="643"/>
        <w:jc w:val="both"/>
        <w:rPr/>
      </w:pPr>
      <w:r>
        <w:t xml:space="preserve">评估专家委员会应当自收到鉴定申请之日起 </w:t>
      </w:r>
      <w:r>
        <w:rPr>
          <w:rFonts w:ascii="Times New Roman" w:eastAsia="Times New Roman"/>
        </w:rPr>
        <w:t xml:space="preserve">10 </w:t>
      </w:r>
      <w:r>
        <w:t>日内，对申请鉴定评估报告的评估程序、评估依据、评估假设、评估技术路线、评估方法选用、参数选取、评估结果确定方式等评估技术问题进行审核，出具书面鉴定意见。</w:t>
      </w:r>
    </w:p>
    <w:p>
      <w:pPr>
        <w:pStyle w:val="style66"/>
        <w:spacing w:before="3" w:lineRule="auto" w:line="350"/>
        <w:ind w:left="126" w:right="280" w:firstLine="640"/>
        <w:jc w:val="both"/>
        <w:rPr/>
      </w:pPr>
      <w:r>
        <w:t>经评估专家委员会鉴定，评估报告存在技术问题的，评估专家委员会应将相关情况及时通知房屋征收部门。</w:t>
      </w:r>
    </w:p>
    <w:p>
      <w:pPr>
        <w:pStyle w:val="style66"/>
        <w:spacing w:lineRule="auto" w:line="348"/>
        <w:ind w:left="126" w:right="280" w:firstLine="655"/>
        <w:jc w:val="both"/>
        <w:rPr/>
      </w:pPr>
      <w:r>
        <w:t>经鉴定维持复核结果的，鉴定费用由申请鉴定的当事人承担。经鉴定需要重新评估的，重新评估的费用和鉴定费用由原征收评估机构承担。</w:t>
      </w:r>
    </w:p>
    <w:p>
      <w:pPr>
        <w:pStyle w:val="style66"/>
        <w:spacing w:before="3" w:lineRule="auto" w:line="350"/>
        <w:ind w:left="126" w:right="280" w:firstLine="583"/>
        <w:jc w:val="both"/>
        <w:rPr/>
      </w:pPr>
      <w:r>
        <w:rPr>
          <w:spacing w:val="9"/>
        </w:rPr>
        <w:t>（四</w:t>
      </w:r>
      <w:r>
        <w:rPr>
          <w:spacing w:val="-46"/>
        </w:rPr>
        <w:t>）</w:t>
      </w:r>
      <w:r>
        <w:rPr>
          <w:spacing w:val="8"/>
        </w:rPr>
        <w:t>房屋征收实施单位与被征收人在征收公告规定的签约</w:t>
      </w:r>
      <w:r>
        <w:t>期限内达不成补偿协议，或者被征收房屋所有权人不明确的，由</w:t>
      </w:r>
      <w:r>
        <w:rPr>
          <w:spacing w:val="2"/>
        </w:rPr>
        <w:t>房屋征收实施单位就被征收房屋进行证据保全后，报请六盘水市</w:t>
      </w:r>
      <w:r>
        <w:t xml:space="preserve">钟山区人民政府依照《国有土地上房屋征收与补偿条例》（国务院 </w:t>
      </w:r>
      <w:r>
        <w:rPr>
          <w:rFonts w:ascii="Times New Roman" w:eastAsia="Times New Roman"/>
        </w:rPr>
        <w:t xml:space="preserve">590 </w:t>
      </w:r>
      <w:r>
        <w:t>号）第二十六条规定，按照征收补偿方案作出补偿决定， 并在房屋征收范围内予以公告。</w:t>
      </w:r>
    </w:p>
    <w:p>
      <w:pPr>
        <w:pStyle w:val="style66"/>
        <w:spacing w:lineRule="auto" w:line="350"/>
        <w:ind w:left="126" w:right="280" w:firstLine="602"/>
        <w:jc w:val="both"/>
        <w:rPr/>
      </w:pPr>
      <w:r>
        <w:t>（五）具有下列情形的，六盘水市钟山区人民政府可依法申请人民法院强制执行：</w:t>
      </w:r>
    </w:p>
    <w:p>
      <w:pPr>
        <w:pStyle w:val="style179"/>
        <w:numPr>
          <w:ilvl w:val="0"/>
          <w:numId w:val="12"/>
        </w:numPr>
        <w:tabs>
          <w:tab w:val="left" w:leader="none" w:pos="1255"/>
        </w:tabs>
        <w:spacing w:before="0" w:after="0" w:lineRule="auto" w:line="350"/>
        <w:ind w:left="126" w:right="280" w:firstLine="643"/>
        <w:jc w:val="both"/>
        <w:rPr>
          <w:sz w:val="31"/>
        </w:rPr>
      </w:pPr>
      <w:r>
        <w:rPr>
          <w:spacing w:val="10"/>
          <w:sz w:val="31"/>
        </w:rPr>
        <w:t>被征收人对六盘水市钟山区人民政府作出的补偿决定不</w:t>
      </w:r>
      <w:r>
        <w:rPr>
          <w:spacing w:val="-2"/>
          <w:sz w:val="31"/>
        </w:rPr>
        <w:t>服，提起行政复议或行政诉讼后，对生效的行政复议和行政判决</w:t>
      </w:r>
      <w:r>
        <w:rPr>
          <w:spacing w:val="7"/>
          <w:sz w:val="31"/>
        </w:rPr>
        <w:t>拒不履行的。</w:t>
      </w:r>
    </w:p>
    <w:p>
      <w:pPr>
        <w:pStyle w:val="style179"/>
        <w:numPr>
          <w:ilvl w:val="0"/>
          <w:numId w:val="12"/>
        </w:numPr>
        <w:tabs>
          <w:tab w:val="left" w:leader="none" w:pos="1255"/>
        </w:tabs>
        <w:spacing w:before="0" w:after="0" w:lineRule="auto" w:line="350"/>
        <w:ind w:left="126" w:right="280" w:firstLine="643"/>
        <w:jc w:val="both"/>
        <w:rPr>
          <w:sz w:val="31"/>
        </w:rPr>
      </w:pPr>
      <w:r>
        <w:rPr>
          <w:spacing w:val="10"/>
          <w:sz w:val="31"/>
        </w:rPr>
        <w:t>被征收人逾期不执行六盘水市钟山区人民政府作出的补</w:t>
      </w:r>
      <w:r>
        <w:rPr>
          <w:sz w:val="31"/>
        </w:rPr>
        <w:t>偿决定，且在法定期限内既不申请复议或者不提起诉讼，在补偿</w:t>
      </w:r>
      <w:r>
        <w:rPr>
          <w:spacing w:val="8"/>
          <w:sz w:val="31"/>
        </w:rPr>
        <w:t>决定规定的期限内又不搬迁的。</w:t>
      </w:r>
    </w:p>
    <w:p>
      <w:pPr>
        <w:pStyle w:val="style66"/>
        <w:spacing w:lineRule="auto" w:line="350"/>
        <w:ind w:left="126" w:right="280" w:firstLine="602"/>
        <w:jc w:val="both"/>
        <w:rPr/>
      </w:pPr>
      <w:r>
        <w:t>（六）因被征收人原因无法调查、</w:t>
      </w:r>
      <w:r>
        <w:rPr>
          <w:rFonts w:hint="eastAsia"/>
          <w:lang w:val="en-US" w:eastAsia="zh-CN"/>
        </w:rPr>
        <w:t>测绘、认定、</w:t>
      </w:r>
      <w:r>
        <w:t>评估</w:t>
      </w:r>
      <w:r>
        <w:rPr>
          <w:rFonts w:hint="eastAsia"/>
          <w:lang w:eastAsia="zh-CN"/>
        </w:rPr>
        <w:t>、</w:t>
      </w:r>
      <w:r>
        <w:t>计算</w:t>
      </w:r>
      <w:r>
        <w:rPr>
          <w:rFonts w:hint="eastAsia"/>
          <w:lang w:val="en-US" w:eastAsia="zh-CN"/>
        </w:rPr>
        <w:t>被征收的未登记房屋或</w:t>
      </w:r>
      <w:r>
        <w:t>被征收房屋装饰装修价值的，补偿决定不包括</w:t>
      </w:r>
      <w:r>
        <w:rPr>
          <w:rFonts w:hint="eastAsia"/>
          <w:lang w:val="en-US" w:eastAsia="zh-CN"/>
        </w:rPr>
        <w:t>上述</w:t>
      </w:r>
      <w:r>
        <w:t>价值的补偿。依法实施强制执行时，房屋征收部门</w:t>
      </w:r>
      <w:r>
        <w:rPr>
          <w:rFonts w:hint="eastAsia"/>
          <w:lang w:val="en-US" w:eastAsia="zh-CN"/>
        </w:rPr>
        <w:t>根据</w:t>
      </w:r>
      <w:r>
        <w:t>对</w:t>
      </w:r>
      <w:r>
        <w:rPr>
          <w:rFonts w:hint="eastAsia"/>
          <w:lang w:val="en-US" w:eastAsia="zh-CN"/>
        </w:rPr>
        <w:t>相关法律法规及本方案规定，应当补偿而补偿决定未能涵盖的内容</w:t>
      </w:r>
      <w:r>
        <w:t>作出勘察记录，并向公证机构办理证据保全，另行计算或评估确定</w:t>
      </w:r>
      <w:r>
        <w:rPr>
          <w:rFonts w:hint="eastAsia"/>
          <w:lang w:val="en-US" w:eastAsia="zh-CN"/>
        </w:rPr>
        <w:t>其</w:t>
      </w:r>
      <w:r>
        <w:t>价值。六盘水市钟山区人民政府按照计算或评估确定的价值另行给予补偿。</w:t>
      </w:r>
    </w:p>
    <w:p>
      <w:pPr>
        <w:pStyle w:val="style66"/>
        <w:spacing w:before="7"/>
        <w:jc w:val="center"/>
        <w:rPr>
          <w:sz w:val="42"/>
        </w:rPr>
      </w:pPr>
    </w:p>
    <w:p>
      <w:pPr>
        <w:pStyle w:val="style66"/>
        <w:tabs>
          <w:tab w:val="left" w:leader="none" w:pos="1281"/>
        </w:tabs>
        <w:ind w:right="156"/>
        <w:jc w:val="center"/>
        <w:rPr>
          <w:rFonts w:ascii="黑体" w:eastAsia="黑体" w:hint="eastAsia"/>
        </w:rPr>
      </w:pPr>
      <w:r>
        <w:rPr>
          <w:rFonts w:ascii="黑体" w:eastAsia="黑体" w:hint="eastAsia"/>
          <w:spacing w:val="9"/>
        </w:rPr>
        <w:t>第</w:t>
      </w:r>
      <w:r>
        <w:rPr>
          <w:rFonts w:ascii="黑体" w:eastAsia="黑体" w:hint="eastAsia"/>
          <w:spacing w:val="11"/>
        </w:rPr>
        <w:t>六</w:t>
      </w:r>
      <w:r>
        <w:rPr>
          <w:rFonts w:ascii="黑体" w:eastAsia="黑体" w:hint="eastAsia"/>
        </w:rPr>
        <w:t>章</w:t>
      </w:r>
      <w:r>
        <w:rPr>
          <w:rFonts w:ascii="黑体" w:eastAsia="黑体" w:hint="eastAsia"/>
        </w:rPr>
        <w:tab/>
      </w:r>
      <w:r>
        <w:rPr>
          <w:rFonts w:ascii="黑体" w:eastAsia="黑体" w:hint="eastAsia"/>
          <w:spacing w:val="9"/>
        </w:rPr>
        <w:t>其</w:t>
      </w:r>
      <w:r>
        <w:rPr>
          <w:rFonts w:ascii="黑体" w:eastAsia="黑体" w:hint="eastAsia"/>
          <w:spacing w:val="11"/>
        </w:rPr>
        <w:t>他</w:t>
      </w:r>
      <w:r>
        <w:rPr>
          <w:rFonts w:ascii="黑体" w:eastAsia="黑体" w:hint="eastAsia"/>
          <w:spacing w:val="9"/>
        </w:rPr>
        <w:t>规</w:t>
      </w:r>
      <w:r>
        <w:rPr>
          <w:rFonts w:ascii="黑体" w:eastAsia="黑体" w:hint="eastAsia"/>
        </w:rPr>
        <w:t>定</w:t>
      </w:r>
    </w:p>
    <w:p>
      <w:pPr>
        <w:pStyle w:val="style66"/>
        <w:jc w:val="center"/>
        <w:rPr>
          <w:rFonts w:ascii="黑体"/>
          <w:sz w:val="30"/>
        </w:rPr>
      </w:pPr>
    </w:p>
    <w:p>
      <w:pPr>
        <w:pStyle w:val="style66"/>
        <w:spacing w:before="4"/>
        <w:jc w:val="both"/>
        <w:rPr>
          <w:rFonts w:ascii="黑体"/>
          <w:sz w:val="29"/>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一、对符合住房保障条件的被征收人，按有关规定执行。</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二、被征收房屋的水、电、固定电话、有线电视、宽带、燃气等迁移、转户、销户手续，由被征收人自行到有关部门申请办理，并负责结清已使用的水、电、电话、宽带等费用。</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三、产权调换房屋的物管费、房屋维修基金等按国家相关政策由被征收人自行承担。契税、公摊等按照国家相关规定执行。</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 xml:space="preserve">四、被征收房屋的注销登记。房屋征收实施单位应当在被征收房屋拆除后 </w:t>
      </w:r>
      <w:r>
        <w:rPr>
          <w:rFonts w:ascii="Times New Roman" w:eastAsia="Times New Roman"/>
        </w:rPr>
        <w:t xml:space="preserve">30 </w:t>
      </w:r>
      <w:r>
        <w:t>日内，持房屋征收决定、补偿协议、房屋所有权证书、国有土地使用权证书办理房屋所有权、土地使用权注销登记手续。</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560" w:firstLineChars="200"/>
        <w:jc w:val="both"/>
        <w:textAlignment w:val="auto"/>
        <w:rPr/>
      </w:pPr>
      <w:r>
        <w:rPr>
          <w:spacing w:val="-15"/>
        </w:rPr>
        <w:t>五、征收红线内文物保护单位的征收、保护和修缮等按照《中</w:t>
      </w:r>
      <w:r>
        <w:rPr>
          <w:spacing w:val="8"/>
        </w:rPr>
        <w:t>华人民共和国文物保护法》及其相关法律法规定执行。</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六、本方案未尽事宜，个别复杂案例，按照一事一议的方式解决。</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七、本方案由六盘水市钟山区住房和城乡建设局负责解释。</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00" w:firstLineChars="200"/>
        <w:jc w:val="both"/>
        <w:textAlignment w:val="auto"/>
        <w:rPr>
          <w:sz w:val="30"/>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附件：</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t>1</w:t>
      </w:r>
      <w:r>
        <w:rPr>
          <w:rFonts w:hint="eastAsia"/>
          <w:lang w:val="en-US" w:eastAsia="zh-CN"/>
        </w:rPr>
        <w:t>.</w:t>
      </w:r>
      <w:r>
        <w:t>附属物及附属设施补偿标准</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pPr>
      <w:r>
        <w:rPr>
          <w:rFonts w:hint="eastAsia"/>
          <w:lang w:val="en-US" w:eastAsia="zh-CN"/>
        </w:rPr>
        <w:t>2.</w:t>
      </w:r>
      <w:r>
        <w:t>房屋装饰装修补偿标准</w:t>
      </w: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lineRule="auto" w:line="360"/>
        <w:ind w:left="0" w:right="0" w:firstLine="620" w:firstLineChars="200"/>
        <w:jc w:val="both"/>
        <w:textAlignment w:val="auto"/>
        <w:rPr/>
        <w:sectPr>
          <w:footerReference w:type="default" r:id="rId3"/>
          <w:pgSz w:w="11910" w:h="16840" w:orient="portrait"/>
          <w:pgMar w:top="1580" w:right="1200" w:bottom="1200" w:left="1460" w:header="0" w:footer="1002" w:gutter="0"/>
          <w:cols w:space="720" w:num="1"/>
        </w:sectPr>
      </w:pPr>
      <w:r>
        <w:rPr>
          <w:rFonts w:hint="eastAsia"/>
          <w:lang w:val="en-US" w:eastAsia="zh-CN"/>
        </w:rPr>
        <w:t>3.</w:t>
      </w:r>
      <w:r>
        <w:rPr>
          <w:rFonts w:hint="eastAsia"/>
        </w:rPr>
        <w:t>房屋征收范围图</w:t>
      </w:r>
    </w:p>
    <w:p>
      <w:pPr>
        <w:pStyle w:val="style66"/>
        <w:rPr>
          <w:sz w:val="20"/>
        </w:rPr>
      </w:pPr>
    </w:p>
    <w:p>
      <w:pPr>
        <w:pStyle w:val="style66"/>
        <w:spacing w:before="8"/>
        <w:rPr>
          <w:sz w:val="25"/>
        </w:rPr>
      </w:pPr>
    </w:p>
    <w:p>
      <w:pPr>
        <w:pStyle w:val="style0"/>
        <w:spacing w:after="0"/>
        <w:rPr>
          <w:sz w:val="25"/>
        </w:rPr>
        <w:sectPr>
          <w:pgSz w:w="11910" w:h="16840" w:orient="portrait"/>
          <w:pgMar w:top="1580" w:right="1200" w:bottom="1200" w:left="1460" w:header="0" w:footer="1002" w:gutter="0"/>
          <w:cols w:space="720" w:num="1"/>
        </w:sectPr>
      </w:pPr>
    </w:p>
    <w:p>
      <w:pPr>
        <w:pStyle w:val="style66"/>
        <w:spacing w:before="67"/>
        <w:ind w:left="126"/>
        <w:rPr>
          <w:rFonts w:ascii="Times New Roman" w:eastAsia="Times New Roman"/>
        </w:rPr>
      </w:pPr>
      <w:r>
        <w:rPr>
          <w:rFonts w:ascii="黑体" w:eastAsia="黑体" w:hint="eastAsia"/>
          <w:spacing w:val="-19"/>
        </w:rPr>
        <w:t xml:space="preserve">附件 </w:t>
      </w:r>
      <w:r>
        <w:rPr>
          <w:rFonts w:ascii="Times New Roman" w:eastAsia="Times New Roman"/>
        </w:rPr>
        <w:t>1</w:t>
      </w:r>
    </w:p>
    <w:p>
      <w:pPr>
        <w:pStyle w:val="style66"/>
        <w:spacing w:before="8"/>
        <w:rPr>
          <w:rFonts w:ascii="Times New Roman"/>
          <w:sz w:val="49"/>
        </w:rPr>
      </w:pPr>
      <w:r>
        <w:br w:type="column"/>
      </w:r>
    </w:p>
    <w:p>
      <w:pPr>
        <w:pStyle w:val="style2"/>
        <w:ind w:left="126"/>
        <w:rPr/>
      </w:pPr>
      <w:r>
        <w:t>附属物及附属设施补偿标准</w:t>
      </w:r>
    </w:p>
    <w:p>
      <w:pPr>
        <w:pStyle w:val="style0"/>
        <w:spacing w:after="0"/>
        <w:rPr/>
        <w:sectPr>
          <w:type w:val="continuous"/>
          <w:pgSz w:w="11910" w:h="16840" w:orient="portrait"/>
          <w:pgMar w:top="1520" w:right="1200" w:bottom="280" w:left="1460" w:header="720" w:footer="720" w:gutter="0"/>
          <w:cols w:equalWidth="0" w:num="2">
            <w:col w:w="1042" w:space="849"/>
            <w:col w:w="7359"/>
          </w:cols>
        </w:sectPr>
      </w:pPr>
    </w:p>
    <w:tbl>
      <w:tblPr>
        <w:tblStyle w:val="style105"/>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19"/>
        <w:gridCol w:w="2113"/>
        <w:gridCol w:w="1509"/>
        <w:gridCol w:w="1336"/>
        <w:gridCol w:w="1609"/>
        <w:gridCol w:w="1486"/>
      </w:tblGrid>
      <w:tr>
        <w:trPr>
          <w:trHeight w:val="630" w:hRule="atLeast"/>
        </w:trPr>
        <w:tc>
          <w:tcPr>
            <w:tcW w:w="719" w:type="dxa"/>
            <w:tcBorders/>
          </w:tcPr>
          <w:p>
            <w:pPr>
              <w:pStyle w:val="style4098"/>
              <w:spacing w:before="174"/>
              <w:ind w:left="116" w:right="106"/>
              <w:jc w:val="center"/>
              <w:rPr>
                <w:rFonts w:ascii="黑体" w:eastAsia="黑体" w:hint="eastAsia"/>
                <w:sz w:val="22"/>
              </w:rPr>
            </w:pPr>
            <w:r>
              <w:rPr>
                <w:rFonts w:ascii="黑体" w:eastAsia="黑体" w:hint="eastAsia"/>
                <w:sz w:val="22"/>
              </w:rPr>
              <w:t>序号</w:t>
            </w:r>
          </w:p>
        </w:tc>
        <w:tc>
          <w:tcPr>
            <w:tcW w:w="2113" w:type="dxa"/>
            <w:tcBorders/>
          </w:tcPr>
          <w:p>
            <w:pPr>
              <w:pStyle w:val="style4098"/>
              <w:spacing w:before="174"/>
              <w:ind w:left="234" w:right="224"/>
              <w:jc w:val="center"/>
              <w:rPr>
                <w:rFonts w:ascii="黑体" w:eastAsia="黑体" w:hint="eastAsia"/>
                <w:sz w:val="22"/>
              </w:rPr>
            </w:pPr>
            <w:r>
              <w:rPr>
                <w:rFonts w:ascii="黑体" w:eastAsia="黑体" w:hint="eastAsia"/>
                <w:sz w:val="22"/>
              </w:rPr>
              <w:t>名称</w:t>
            </w:r>
          </w:p>
        </w:tc>
        <w:tc>
          <w:tcPr>
            <w:tcW w:w="1509" w:type="dxa"/>
            <w:tcBorders/>
          </w:tcPr>
          <w:p>
            <w:pPr>
              <w:pStyle w:val="style4098"/>
              <w:spacing w:before="174"/>
              <w:ind w:left="33" w:right="26"/>
              <w:jc w:val="center"/>
              <w:rPr>
                <w:rFonts w:ascii="黑体" w:eastAsia="黑体" w:hint="eastAsia"/>
                <w:sz w:val="22"/>
              </w:rPr>
            </w:pPr>
            <w:r>
              <w:rPr>
                <w:rFonts w:ascii="黑体" w:eastAsia="黑体" w:hint="eastAsia"/>
                <w:sz w:val="22"/>
              </w:rPr>
              <w:t>规格</w:t>
            </w:r>
          </w:p>
        </w:tc>
        <w:tc>
          <w:tcPr>
            <w:tcW w:w="1336" w:type="dxa"/>
            <w:tcBorders/>
          </w:tcPr>
          <w:p>
            <w:pPr>
              <w:pStyle w:val="style4098"/>
              <w:spacing w:before="174"/>
              <w:ind w:left="446"/>
              <w:rPr>
                <w:rFonts w:ascii="黑体" w:eastAsia="黑体" w:hint="eastAsia"/>
                <w:sz w:val="22"/>
              </w:rPr>
            </w:pPr>
            <w:r>
              <w:rPr>
                <w:rFonts w:ascii="黑体" w:eastAsia="黑体" w:hint="eastAsia"/>
                <w:sz w:val="22"/>
              </w:rPr>
              <w:t>单位</w:t>
            </w:r>
          </w:p>
        </w:tc>
        <w:tc>
          <w:tcPr>
            <w:tcW w:w="1609" w:type="dxa"/>
            <w:tcBorders/>
          </w:tcPr>
          <w:p>
            <w:pPr>
              <w:pStyle w:val="style4098"/>
              <w:spacing w:before="174"/>
              <w:ind w:left="341" w:right="332"/>
              <w:jc w:val="center"/>
              <w:rPr>
                <w:rFonts w:ascii="黑体" w:eastAsia="黑体" w:hint="eastAsia"/>
                <w:sz w:val="22"/>
              </w:rPr>
            </w:pPr>
            <w:r>
              <w:rPr>
                <w:rFonts w:ascii="黑体" w:eastAsia="黑体" w:hint="eastAsia"/>
                <w:sz w:val="22"/>
              </w:rPr>
              <w:t>补偿标准</w:t>
            </w:r>
          </w:p>
        </w:tc>
        <w:tc>
          <w:tcPr>
            <w:tcW w:w="1486" w:type="dxa"/>
            <w:tcBorders/>
          </w:tcPr>
          <w:p>
            <w:pPr>
              <w:pStyle w:val="style4098"/>
              <w:spacing w:before="174"/>
              <w:ind w:left="421" w:right="409"/>
              <w:jc w:val="center"/>
              <w:rPr>
                <w:rFonts w:ascii="黑体" w:eastAsia="黑体" w:hint="eastAsia"/>
                <w:sz w:val="22"/>
              </w:rPr>
            </w:pPr>
            <w:r>
              <w:rPr>
                <w:rFonts w:ascii="黑体" w:eastAsia="黑体" w:hint="eastAsia"/>
                <w:sz w:val="22"/>
              </w:rPr>
              <w:t>备注</w:t>
            </w:r>
          </w:p>
        </w:tc>
      </w:tr>
      <w:tr>
        <w:tblPrEx/>
        <w:trPr>
          <w:trHeight w:val="630" w:hRule="atLeast"/>
        </w:trPr>
        <w:tc>
          <w:tcPr>
            <w:tcW w:w="719" w:type="dxa"/>
            <w:tcBorders/>
          </w:tcPr>
          <w:p>
            <w:pPr>
              <w:pStyle w:val="style4098"/>
              <w:spacing w:before="9"/>
              <w:rPr>
                <w:rFonts w:ascii="宋体"/>
                <w:sz w:val="15"/>
              </w:rPr>
            </w:pPr>
          </w:p>
          <w:p>
            <w:pPr>
              <w:pStyle w:val="style4098"/>
              <w:ind w:left="9"/>
              <w:jc w:val="center"/>
              <w:rPr>
                <w:rFonts w:ascii="Times New Roman"/>
                <w:sz w:val="20"/>
              </w:rPr>
            </w:pPr>
            <w:r>
              <w:rPr>
                <w:rFonts w:ascii="Times New Roman"/>
                <w:w w:val="99"/>
                <w:sz w:val="20"/>
              </w:rPr>
              <w:t>1</w:t>
            </w:r>
          </w:p>
        </w:tc>
        <w:tc>
          <w:tcPr>
            <w:tcW w:w="2113" w:type="dxa"/>
            <w:tcBorders/>
          </w:tcPr>
          <w:p>
            <w:pPr>
              <w:pStyle w:val="style4098"/>
              <w:spacing w:before="8"/>
              <w:rPr>
                <w:rFonts w:ascii="宋体"/>
                <w:sz w:val="14"/>
              </w:rPr>
            </w:pPr>
          </w:p>
          <w:p>
            <w:pPr>
              <w:pStyle w:val="style4098"/>
              <w:ind w:left="234" w:right="229"/>
              <w:jc w:val="center"/>
              <w:rPr>
                <w:sz w:val="20"/>
              </w:rPr>
            </w:pPr>
            <w:r>
              <w:rPr>
                <w:sz w:val="20"/>
              </w:rPr>
              <w:t>煤气开户费</w:t>
            </w:r>
          </w:p>
        </w:tc>
        <w:tc>
          <w:tcPr>
            <w:tcW w:w="1509" w:type="dxa"/>
            <w:tcBorders/>
          </w:tcPr>
          <w:p>
            <w:pPr>
              <w:pStyle w:val="style4098"/>
              <w:spacing w:before="8"/>
              <w:rPr>
                <w:rFonts w:ascii="宋体"/>
                <w:sz w:val="14"/>
              </w:rPr>
            </w:pPr>
          </w:p>
          <w:p>
            <w:pPr>
              <w:pStyle w:val="style4098"/>
              <w:ind w:left="33" w:right="26"/>
              <w:jc w:val="center"/>
              <w:rPr>
                <w:sz w:val="20"/>
              </w:rPr>
            </w:pPr>
            <w:r>
              <w:rPr>
                <w:sz w:val="20"/>
              </w:rPr>
              <w:t>智能表</w:t>
            </w:r>
          </w:p>
        </w:tc>
        <w:tc>
          <w:tcPr>
            <w:tcW w:w="1336" w:type="dxa"/>
            <w:tcBorders/>
          </w:tcPr>
          <w:p>
            <w:pPr>
              <w:pStyle w:val="style4098"/>
              <w:spacing w:before="188"/>
              <w:ind w:left="439"/>
              <w:rPr>
                <w:sz w:val="20"/>
              </w:rPr>
            </w:pPr>
            <w:r>
              <w:rPr>
                <w:sz w:val="20"/>
              </w:rPr>
              <w:t>元</w:t>
            </w:r>
            <w:r>
              <w:rPr>
                <w:rFonts w:ascii="Times New Roman" w:eastAsia="Times New Roman"/>
                <w:sz w:val="20"/>
              </w:rPr>
              <w:t>/</w:t>
            </w:r>
            <w:r>
              <w:rPr>
                <w:sz w:val="20"/>
              </w:rPr>
              <w:t>户</w:t>
            </w:r>
          </w:p>
        </w:tc>
        <w:tc>
          <w:tcPr>
            <w:tcW w:w="1609" w:type="dxa"/>
            <w:tcBorders/>
          </w:tcPr>
          <w:p>
            <w:pPr>
              <w:pStyle w:val="style4098"/>
              <w:spacing w:before="9"/>
              <w:rPr>
                <w:rFonts w:ascii="宋体"/>
                <w:sz w:val="15"/>
              </w:rPr>
            </w:pPr>
          </w:p>
          <w:p>
            <w:pPr>
              <w:pStyle w:val="style4098"/>
              <w:ind w:left="339" w:right="332"/>
              <w:jc w:val="center"/>
              <w:rPr>
                <w:rFonts w:ascii="Times New Roman"/>
                <w:sz w:val="20"/>
              </w:rPr>
            </w:pPr>
            <w:r>
              <w:rPr>
                <w:rFonts w:ascii="Times New Roman"/>
                <w:sz w:val="20"/>
              </w:rPr>
              <w:t>3350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spacing w:before="1"/>
              <w:ind w:left="9"/>
              <w:jc w:val="center"/>
              <w:rPr>
                <w:rFonts w:ascii="Times New Roman"/>
                <w:sz w:val="20"/>
              </w:rPr>
            </w:pPr>
            <w:r>
              <w:rPr>
                <w:rFonts w:ascii="Times New Roman"/>
                <w:w w:val="99"/>
                <w:sz w:val="20"/>
              </w:rPr>
              <w:t>2</w:t>
            </w:r>
          </w:p>
        </w:tc>
        <w:tc>
          <w:tcPr>
            <w:tcW w:w="2113" w:type="dxa"/>
            <w:tcBorders/>
          </w:tcPr>
          <w:p>
            <w:pPr>
              <w:pStyle w:val="style4098"/>
              <w:spacing w:before="9"/>
              <w:rPr>
                <w:rFonts w:ascii="宋体"/>
                <w:sz w:val="14"/>
              </w:rPr>
            </w:pPr>
          </w:p>
          <w:p>
            <w:pPr>
              <w:pStyle w:val="style4098"/>
              <w:ind w:left="234" w:right="229"/>
              <w:jc w:val="center"/>
              <w:rPr>
                <w:sz w:val="20"/>
              </w:rPr>
            </w:pPr>
            <w:r>
              <w:rPr>
                <w:sz w:val="20"/>
              </w:rPr>
              <w:t>煤气开户费</w:t>
            </w:r>
          </w:p>
        </w:tc>
        <w:tc>
          <w:tcPr>
            <w:tcW w:w="1509" w:type="dxa"/>
            <w:tcBorders/>
          </w:tcPr>
          <w:p>
            <w:pPr>
              <w:pStyle w:val="style4098"/>
              <w:spacing w:before="9"/>
              <w:rPr>
                <w:rFonts w:ascii="宋体"/>
                <w:sz w:val="14"/>
              </w:rPr>
            </w:pPr>
          </w:p>
          <w:p>
            <w:pPr>
              <w:pStyle w:val="style4098"/>
              <w:ind w:left="33" w:right="26"/>
              <w:jc w:val="center"/>
              <w:rPr>
                <w:sz w:val="20"/>
              </w:rPr>
            </w:pPr>
            <w:r>
              <w:rPr>
                <w:sz w:val="20"/>
              </w:rPr>
              <w:t>普通表</w:t>
            </w:r>
          </w:p>
        </w:tc>
        <w:tc>
          <w:tcPr>
            <w:tcW w:w="1336" w:type="dxa"/>
            <w:tcBorders/>
          </w:tcPr>
          <w:p>
            <w:pPr>
              <w:pStyle w:val="style4098"/>
              <w:spacing w:before="189"/>
              <w:ind w:left="439"/>
              <w:rPr>
                <w:sz w:val="20"/>
              </w:rPr>
            </w:pPr>
            <w:r>
              <w:rPr>
                <w:sz w:val="20"/>
              </w:rPr>
              <w:t>元</w:t>
            </w:r>
            <w:r>
              <w:rPr>
                <w:rFonts w:ascii="Times New Roman" w:eastAsia="Times New Roman"/>
                <w:sz w:val="20"/>
              </w:rPr>
              <w:t>/</w:t>
            </w:r>
            <w:r>
              <w:rPr>
                <w:sz w:val="20"/>
              </w:rPr>
              <w:t>户</w:t>
            </w:r>
          </w:p>
        </w:tc>
        <w:tc>
          <w:tcPr>
            <w:tcW w:w="1609" w:type="dxa"/>
            <w:tcBorders/>
          </w:tcPr>
          <w:p>
            <w:pPr>
              <w:pStyle w:val="style4098"/>
              <w:spacing w:before="9"/>
              <w:rPr>
                <w:rFonts w:ascii="宋体"/>
                <w:sz w:val="15"/>
              </w:rPr>
            </w:pPr>
          </w:p>
          <w:p>
            <w:pPr>
              <w:pStyle w:val="style4098"/>
              <w:spacing w:before="1"/>
              <w:ind w:left="339" w:right="332"/>
              <w:jc w:val="center"/>
              <w:rPr>
                <w:rFonts w:ascii="Times New Roman"/>
                <w:sz w:val="20"/>
              </w:rPr>
            </w:pPr>
            <w:r>
              <w:rPr>
                <w:rFonts w:ascii="Times New Roman"/>
                <w:sz w:val="20"/>
              </w:rPr>
              <w:t>3100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8"/>
              <w:rPr>
                <w:rFonts w:ascii="宋体"/>
                <w:sz w:val="15"/>
              </w:rPr>
            </w:pPr>
          </w:p>
          <w:p>
            <w:pPr>
              <w:pStyle w:val="style4098"/>
              <w:ind w:left="9"/>
              <w:jc w:val="center"/>
              <w:rPr>
                <w:rFonts w:ascii="Times New Roman"/>
                <w:sz w:val="20"/>
              </w:rPr>
            </w:pPr>
            <w:r>
              <w:rPr>
                <w:rFonts w:ascii="Times New Roman"/>
                <w:w w:val="99"/>
                <w:sz w:val="20"/>
              </w:rPr>
              <w:t>3</w:t>
            </w:r>
          </w:p>
        </w:tc>
        <w:tc>
          <w:tcPr>
            <w:tcW w:w="2113" w:type="dxa"/>
            <w:tcBorders/>
          </w:tcPr>
          <w:p>
            <w:pPr>
              <w:pStyle w:val="style4098"/>
              <w:spacing w:before="7"/>
              <w:rPr>
                <w:rFonts w:ascii="宋体"/>
                <w:sz w:val="14"/>
              </w:rPr>
            </w:pPr>
          </w:p>
          <w:p>
            <w:pPr>
              <w:pStyle w:val="style4098"/>
              <w:spacing w:before="1"/>
              <w:ind w:left="234" w:right="229"/>
              <w:jc w:val="center"/>
              <w:rPr>
                <w:sz w:val="20"/>
              </w:rPr>
            </w:pPr>
            <w:r>
              <w:rPr>
                <w:sz w:val="20"/>
              </w:rPr>
              <w:t>用水开户费</w:t>
            </w:r>
          </w:p>
        </w:tc>
        <w:tc>
          <w:tcPr>
            <w:tcW w:w="1509" w:type="dxa"/>
            <w:tcBorders/>
          </w:tcPr>
          <w:p>
            <w:pPr>
              <w:pStyle w:val="style4098"/>
              <w:rPr>
                <w:rFonts w:ascii="Times New Roman"/>
                <w:sz w:val="20"/>
              </w:rPr>
            </w:pPr>
          </w:p>
        </w:tc>
        <w:tc>
          <w:tcPr>
            <w:tcW w:w="1336" w:type="dxa"/>
            <w:tcBorders/>
          </w:tcPr>
          <w:p>
            <w:pPr>
              <w:pStyle w:val="style4098"/>
              <w:spacing w:before="187"/>
              <w:ind w:left="439"/>
              <w:rPr>
                <w:sz w:val="20"/>
              </w:rPr>
            </w:pPr>
            <w:r>
              <w:rPr>
                <w:sz w:val="20"/>
              </w:rPr>
              <w:t>元</w:t>
            </w:r>
            <w:r>
              <w:rPr>
                <w:rFonts w:ascii="Times New Roman" w:eastAsia="Times New Roman"/>
                <w:sz w:val="20"/>
              </w:rPr>
              <w:t>/</w:t>
            </w:r>
            <w:r>
              <w:rPr>
                <w:sz w:val="20"/>
              </w:rPr>
              <w:t>户</w:t>
            </w:r>
          </w:p>
        </w:tc>
        <w:tc>
          <w:tcPr>
            <w:tcW w:w="1609" w:type="dxa"/>
            <w:tcBorders/>
          </w:tcPr>
          <w:p>
            <w:pPr>
              <w:pStyle w:val="style4098"/>
              <w:spacing w:before="8"/>
              <w:rPr>
                <w:rFonts w:ascii="宋体"/>
                <w:sz w:val="15"/>
              </w:rPr>
            </w:pPr>
          </w:p>
          <w:p>
            <w:pPr>
              <w:pStyle w:val="style4098"/>
              <w:ind w:left="339" w:right="332"/>
              <w:jc w:val="center"/>
              <w:rPr>
                <w:rFonts w:ascii="Times New Roman"/>
                <w:sz w:val="20"/>
              </w:rPr>
            </w:pPr>
            <w:r>
              <w:rPr>
                <w:rFonts w:ascii="Times New Roman"/>
                <w:sz w:val="20"/>
              </w:rPr>
              <w:t>1200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ind w:left="9"/>
              <w:jc w:val="center"/>
              <w:rPr>
                <w:rFonts w:ascii="Times New Roman"/>
                <w:sz w:val="20"/>
              </w:rPr>
            </w:pPr>
            <w:r>
              <w:rPr>
                <w:rFonts w:ascii="Times New Roman"/>
                <w:w w:val="99"/>
                <w:sz w:val="20"/>
              </w:rPr>
              <w:t>4</w:t>
            </w:r>
          </w:p>
        </w:tc>
        <w:tc>
          <w:tcPr>
            <w:tcW w:w="2113" w:type="dxa"/>
            <w:tcBorders/>
          </w:tcPr>
          <w:p>
            <w:pPr>
              <w:pStyle w:val="style4098"/>
              <w:spacing w:before="8"/>
              <w:rPr>
                <w:rFonts w:ascii="宋体"/>
                <w:sz w:val="14"/>
              </w:rPr>
            </w:pPr>
          </w:p>
          <w:p>
            <w:pPr>
              <w:pStyle w:val="style4098"/>
              <w:ind w:left="234" w:right="229"/>
              <w:jc w:val="center"/>
              <w:rPr>
                <w:sz w:val="20"/>
              </w:rPr>
            </w:pPr>
            <w:r>
              <w:rPr>
                <w:sz w:val="20"/>
              </w:rPr>
              <w:t>用电开户费</w:t>
            </w:r>
          </w:p>
        </w:tc>
        <w:tc>
          <w:tcPr>
            <w:tcW w:w="1509" w:type="dxa"/>
            <w:tcBorders/>
          </w:tcPr>
          <w:p>
            <w:pPr>
              <w:pStyle w:val="style4098"/>
              <w:rPr>
                <w:rFonts w:ascii="Times New Roman"/>
                <w:sz w:val="20"/>
              </w:rPr>
            </w:pPr>
          </w:p>
        </w:tc>
        <w:tc>
          <w:tcPr>
            <w:tcW w:w="1336" w:type="dxa"/>
            <w:tcBorders/>
          </w:tcPr>
          <w:p>
            <w:pPr>
              <w:pStyle w:val="style4098"/>
              <w:spacing w:before="188"/>
              <w:ind w:left="439"/>
              <w:rPr>
                <w:sz w:val="20"/>
              </w:rPr>
            </w:pPr>
            <w:r>
              <w:rPr>
                <w:sz w:val="20"/>
              </w:rPr>
              <w:t>元</w:t>
            </w:r>
            <w:r>
              <w:rPr>
                <w:rFonts w:ascii="Times New Roman" w:eastAsia="Times New Roman"/>
                <w:sz w:val="20"/>
              </w:rPr>
              <w:t>/</w:t>
            </w:r>
            <w:r>
              <w:rPr>
                <w:sz w:val="20"/>
              </w:rPr>
              <w:t>户</w:t>
            </w:r>
          </w:p>
        </w:tc>
        <w:tc>
          <w:tcPr>
            <w:tcW w:w="1609" w:type="dxa"/>
            <w:tcBorders/>
          </w:tcPr>
          <w:p>
            <w:pPr>
              <w:pStyle w:val="style4098"/>
              <w:spacing w:before="9"/>
              <w:rPr>
                <w:rFonts w:ascii="宋体"/>
                <w:sz w:val="15"/>
              </w:rPr>
            </w:pPr>
          </w:p>
          <w:p>
            <w:pPr>
              <w:pStyle w:val="style4098"/>
              <w:ind w:left="342" w:right="332"/>
              <w:jc w:val="center"/>
              <w:rPr>
                <w:rFonts w:ascii="Times New Roman"/>
                <w:sz w:val="20"/>
              </w:rPr>
            </w:pPr>
            <w:r>
              <w:rPr>
                <w:rFonts w:ascii="Times New Roman"/>
                <w:sz w:val="20"/>
              </w:rPr>
              <w:t>500</w:t>
            </w:r>
          </w:p>
        </w:tc>
        <w:tc>
          <w:tcPr>
            <w:tcW w:w="1486" w:type="dxa"/>
            <w:tcBorders/>
          </w:tcPr>
          <w:p>
            <w:pPr>
              <w:pStyle w:val="style4098"/>
              <w:rPr>
                <w:rFonts w:ascii="Times New Roman"/>
                <w:sz w:val="20"/>
              </w:rPr>
            </w:pPr>
          </w:p>
        </w:tc>
      </w:tr>
      <w:tr>
        <w:tblPrEx/>
        <w:trPr>
          <w:trHeight w:val="629" w:hRule="atLeast"/>
        </w:trPr>
        <w:tc>
          <w:tcPr>
            <w:tcW w:w="719" w:type="dxa"/>
            <w:tcBorders/>
          </w:tcPr>
          <w:p>
            <w:pPr>
              <w:pStyle w:val="style4098"/>
              <w:spacing w:before="9"/>
              <w:rPr>
                <w:rFonts w:ascii="宋体"/>
                <w:sz w:val="15"/>
              </w:rPr>
            </w:pPr>
          </w:p>
          <w:p>
            <w:pPr>
              <w:pStyle w:val="style4098"/>
              <w:spacing w:before="1"/>
              <w:ind w:left="9"/>
              <w:jc w:val="center"/>
              <w:rPr>
                <w:rFonts w:ascii="Times New Roman"/>
                <w:sz w:val="20"/>
              </w:rPr>
            </w:pPr>
            <w:r>
              <w:rPr>
                <w:rFonts w:ascii="Times New Roman"/>
                <w:w w:val="99"/>
                <w:sz w:val="20"/>
              </w:rPr>
              <w:t>5</w:t>
            </w:r>
          </w:p>
        </w:tc>
        <w:tc>
          <w:tcPr>
            <w:tcW w:w="2113" w:type="dxa"/>
            <w:tcBorders/>
          </w:tcPr>
          <w:p>
            <w:pPr>
              <w:pStyle w:val="style4098"/>
              <w:spacing w:before="9"/>
              <w:rPr>
                <w:rFonts w:ascii="宋体"/>
                <w:sz w:val="14"/>
              </w:rPr>
            </w:pPr>
          </w:p>
          <w:p>
            <w:pPr>
              <w:pStyle w:val="style4098"/>
              <w:ind w:left="234" w:right="227"/>
              <w:jc w:val="center"/>
              <w:rPr>
                <w:sz w:val="20"/>
              </w:rPr>
            </w:pPr>
            <w:r>
              <w:rPr>
                <w:sz w:val="20"/>
              </w:rPr>
              <w:t>分水表、分电表</w:t>
            </w:r>
          </w:p>
        </w:tc>
        <w:tc>
          <w:tcPr>
            <w:tcW w:w="1509" w:type="dxa"/>
            <w:tcBorders/>
          </w:tcPr>
          <w:p>
            <w:pPr>
              <w:pStyle w:val="style4098"/>
              <w:rPr>
                <w:rFonts w:ascii="Times New Roman"/>
                <w:sz w:val="20"/>
              </w:rPr>
            </w:pPr>
          </w:p>
        </w:tc>
        <w:tc>
          <w:tcPr>
            <w:tcW w:w="1336" w:type="dxa"/>
            <w:tcBorders/>
          </w:tcPr>
          <w:p>
            <w:pPr>
              <w:pStyle w:val="style4098"/>
              <w:spacing w:before="188"/>
              <w:ind w:left="439"/>
              <w:rPr>
                <w:sz w:val="20"/>
              </w:rPr>
            </w:pPr>
            <w:r>
              <w:rPr>
                <w:sz w:val="20"/>
              </w:rPr>
              <w:t>元</w:t>
            </w:r>
            <w:r>
              <w:rPr>
                <w:rFonts w:ascii="Times New Roman" w:eastAsia="Times New Roman"/>
                <w:sz w:val="20"/>
              </w:rPr>
              <w:t>/</w:t>
            </w:r>
            <w:r>
              <w:rPr>
                <w:sz w:val="20"/>
              </w:rPr>
              <w:t>户</w:t>
            </w:r>
          </w:p>
        </w:tc>
        <w:tc>
          <w:tcPr>
            <w:tcW w:w="1609" w:type="dxa"/>
            <w:tcBorders/>
          </w:tcPr>
          <w:p>
            <w:pPr>
              <w:pStyle w:val="style4098"/>
              <w:spacing w:before="9"/>
              <w:rPr>
                <w:rFonts w:ascii="宋体"/>
                <w:sz w:val="15"/>
              </w:rPr>
            </w:pPr>
          </w:p>
          <w:p>
            <w:pPr>
              <w:pStyle w:val="style4098"/>
              <w:spacing w:before="1"/>
              <w:ind w:left="342" w:right="332"/>
              <w:jc w:val="center"/>
              <w:rPr>
                <w:rFonts w:ascii="Times New Roman"/>
                <w:sz w:val="20"/>
              </w:rPr>
            </w:pPr>
            <w:r>
              <w:rPr>
                <w:rFonts w:ascii="Times New Roman"/>
                <w:sz w:val="20"/>
              </w:rPr>
              <w:t>100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8"/>
              <w:rPr>
                <w:rFonts w:ascii="宋体"/>
                <w:sz w:val="15"/>
              </w:rPr>
            </w:pPr>
          </w:p>
          <w:p>
            <w:pPr>
              <w:pStyle w:val="style4098"/>
              <w:ind w:left="9"/>
              <w:jc w:val="center"/>
              <w:rPr>
                <w:rFonts w:ascii="Times New Roman"/>
                <w:sz w:val="20"/>
              </w:rPr>
            </w:pPr>
            <w:r>
              <w:rPr>
                <w:rFonts w:ascii="Times New Roman"/>
                <w:w w:val="99"/>
                <w:sz w:val="20"/>
              </w:rPr>
              <w:t>6</w:t>
            </w:r>
          </w:p>
        </w:tc>
        <w:tc>
          <w:tcPr>
            <w:tcW w:w="2113" w:type="dxa"/>
            <w:tcBorders/>
          </w:tcPr>
          <w:p>
            <w:pPr>
              <w:pStyle w:val="style4098"/>
              <w:spacing w:before="7"/>
              <w:rPr>
                <w:rFonts w:ascii="宋体"/>
                <w:sz w:val="14"/>
              </w:rPr>
            </w:pPr>
          </w:p>
          <w:p>
            <w:pPr>
              <w:pStyle w:val="style4098"/>
              <w:spacing w:before="1"/>
              <w:ind w:left="234" w:right="227"/>
              <w:jc w:val="center"/>
              <w:rPr>
                <w:sz w:val="20"/>
              </w:rPr>
            </w:pPr>
            <w:r>
              <w:rPr>
                <w:sz w:val="20"/>
              </w:rPr>
              <w:t>数字、有线电视</w:t>
            </w:r>
          </w:p>
        </w:tc>
        <w:tc>
          <w:tcPr>
            <w:tcW w:w="1509" w:type="dxa"/>
            <w:tcBorders/>
          </w:tcPr>
          <w:p>
            <w:pPr>
              <w:pStyle w:val="style4098"/>
              <w:rPr>
                <w:rFonts w:ascii="Times New Roman"/>
                <w:sz w:val="20"/>
              </w:rPr>
            </w:pPr>
          </w:p>
        </w:tc>
        <w:tc>
          <w:tcPr>
            <w:tcW w:w="1336" w:type="dxa"/>
            <w:tcBorders/>
          </w:tcPr>
          <w:p>
            <w:pPr>
              <w:pStyle w:val="style4098"/>
              <w:spacing w:before="187"/>
              <w:ind w:left="439"/>
              <w:rPr>
                <w:sz w:val="20"/>
              </w:rPr>
            </w:pPr>
            <w:r>
              <w:rPr>
                <w:sz w:val="20"/>
              </w:rPr>
              <w:t>元</w:t>
            </w:r>
            <w:r>
              <w:rPr>
                <w:rFonts w:ascii="Times New Roman" w:eastAsia="Times New Roman"/>
                <w:sz w:val="20"/>
              </w:rPr>
              <w:t>/</w:t>
            </w:r>
            <w:r>
              <w:rPr>
                <w:sz w:val="20"/>
              </w:rPr>
              <w:t>户</w:t>
            </w:r>
          </w:p>
        </w:tc>
        <w:tc>
          <w:tcPr>
            <w:tcW w:w="1609" w:type="dxa"/>
            <w:tcBorders/>
          </w:tcPr>
          <w:p>
            <w:pPr>
              <w:pStyle w:val="style4098"/>
              <w:spacing w:before="8"/>
              <w:rPr>
                <w:rFonts w:ascii="宋体"/>
                <w:sz w:val="15"/>
              </w:rPr>
            </w:pPr>
          </w:p>
          <w:p>
            <w:pPr>
              <w:pStyle w:val="style4098"/>
              <w:ind w:left="342" w:right="332"/>
              <w:jc w:val="center"/>
              <w:rPr>
                <w:rFonts w:ascii="Times New Roman"/>
                <w:sz w:val="20"/>
              </w:rPr>
            </w:pPr>
            <w:r>
              <w:rPr>
                <w:rFonts w:ascii="Times New Roman"/>
                <w:sz w:val="20"/>
              </w:rPr>
              <w:t>265</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ind w:left="9"/>
              <w:jc w:val="center"/>
              <w:rPr>
                <w:rFonts w:ascii="Times New Roman"/>
                <w:sz w:val="20"/>
              </w:rPr>
            </w:pPr>
            <w:r>
              <w:rPr>
                <w:rFonts w:ascii="Times New Roman"/>
                <w:w w:val="99"/>
                <w:sz w:val="20"/>
              </w:rPr>
              <w:t>7</w:t>
            </w:r>
          </w:p>
        </w:tc>
        <w:tc>
          <w:tcPr>
            <w:tcW w:w="2113" w:type="dxa"/>
            <w:tcBorders/>
          </w:tcPr>
          <w:p>
            <w:pPr>
              <w:pStyle w:val="style4098"/>
              <w:spacing w:before="8"/>
              <w:rPr>
                <w:rFonts w:ascii="宋体"/>
                <w:sz w:val="14"/>
              </w:rPr>
            </w:pPr>
          </w:p>
          <w:p>
            <w:pPr>
              <w:pStyle w:val="style4098"/>
              <w:ind w:left="234" w:right="224"/>
              <w:jc w:val="center"/>
              <w:rPr>
                <w:sz w:val="20"/>
              </w:rPr>
            </w:pPr>
            <w:r>
              <w:rPr>
                <w:sz w:val="20"/>
              </w:rPr>
              <w:t>电话（网络）</w:t>
            </w:r>
          </w:p>
        </w:tc>
        <w:tc>
          <w:tcPr>
            <w:tcW w:w="1509" w:type="dxa"/>
            <w:tcBorders/>
          </w:tcPr>
          <w:p>
            <w:pPr>
              <w:pStyle w:val="style4098"/>
              <w:rPr>
                <w:rFonts w:ascii="Times New Roman"/>
                <w:sz w:val="20"/>
              </w:rPr>
            </w:pPr>
          </w:p>
        </w:tc>
        <w:tc>
          <w:tcPr>
            <w:tcW w:w="1336" w:type="dxa"/>
            <w:tcBorders/>
          </w:tcPr>
          <w:p>
            <w:pPr>
              <w:pStyle w:val="style4098"/>
              <w:spacing w:before="188"/>
              <w:ind w:left="439"/>
              <w:rPr>
                <w:sz w:val="20"/>
              </w:rPr>
            </w:pPr>
            <w:r>
              <w:rPr>
                <w:sz w:val="20"/>
              </w:rPr>
              <w:t>元</w:t>
            </w:r>
            <w:r>
              <w:rPr>
                <w:rFonts w:ascii="Times New Roman" w:eastAsia="Times New Roman"/>
                <w:sz w:val="20"/>
              </w:rPr>
              <w:t>/</w:t>
            </w:r>
            <w:r>
              <w:rPr>
                <w:sz w:val="20"/>
              </w:rPr>
              <w:t>户</w:t>
            </w:r>
          </w:p>
        </w:tc>
        <w:tc>
          <w:tcPr>
            <w:tcW w:w="1609" w:type="dxa"/>
            <w:tcBorders/>
          </w:tcPr>
          <w:p>
            <w:pPr>
              <w:pStyle w:val="style4098"/>
              <w:spacing w:before="9"/>
              <w:rPr>
                <w:rFonts w:ascii="宋体"/>
                <w:sz w:val="15"/>
              </w:rPr>
            </w:pPr>
          </w:p>
          <w:p>
            <w:pPr>
              <w:pStyle w:val="style4098"/>
              <w:ind w:left="342" w:right="332"/>
              <w:jc w:val="center"/>
              <w:rPr>
                <w:rFonts w:ascii="Times New Roman"/>
                <w:sz w:val="20"/>
              </w:rPr>
            </w:pPr>
            <w:r>
              <w:rPr>
                <w:rFonts w:ascii="Times New Roman"/>
                <w:sz w:val="20"/>
              </w:rPr>
              <w:t>200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spacing w:before="1"/>
              <w:ind w:left="9"/>
              <w:jc w:val="center"/>
              <w:rPr>
                <w:rFonts w:ascii="Times New Roman"/>
                <w:sz w:val="20"/>
              </w:rPr>
            </w:pPr>
            <w:r>
              <w:rPr>
                <w:rFonts w:ascii="Times New Roman"/>
                <w:w w:val="99"/>
                <w:sz w:val="20"/>
              </w:rPr>
              <w:t>8</w:t>
            </w:r>
          </w:p>
        </w:tc>
        <w:tc>
          <w:tcPr>
            <w:tcW w:w="2113" w:type="dxa"/>
            <w:tcBorders/>
          </w:tcPr>
          <w:p>
            <w:pPr>
              <w:pStyle w:val="style4098"/>
              <w:spacing w:before="9"/>
              <w:rPr>
                <w:rFonts w:ascii="宋体"/>
                <w:sz w:val="14"/>
              </w:rPr>
            </w:pPr>
          </w:p>
          <w:p>
            <w:pPr>
              <w:pStyle w:val="style4098"/>
              <w:ind w:left="234" w:right="224"/>
              <w:jc w:val="center"/>
              <w:rPr>
                <w:sz w:val="20"/>
              </w:rPr>
            </w:pPr>
            <w:r>
              <w:rPr>
                <w:sz w:val="20"/>
              </w:rPr>
              <w:t>三相电</w:t>
            </w:r>
          </w:p>
        </w:tc>
        <w:tc>
          <w:tcPr>
            <w:tcW w:w="1509" w:type="dxa"/>
            <w:tcBorders/>
          </w:tcPr>
          <w:p>
            <w:pPr>
              <w:pStyle w:val="style4098"/>
              <w:rPr>
                <w:rFonts w:ascii="Times New Roman"/>
                <w:sz w:val="20"/>
              </w:rPr>
            </w:pPr>
          </w:p>
        </w:tc>
        <w:tc>
          <w:tcPr>
            <w:tcW w:w="1336" w:type="dxa"/>
            <w:tcBorders/>
          </w:tcPr>
          <w:p>
            <w:pPr>
              <w:pStyle w:val="style4098"/>
              <w:spacing w:before="188"/>
              <w:ind w:left="439"/>
              <w:rPr>
                <w:sz w:val="20"/>
              </w:rPr>
            </w:pPr>
            <w:r>
              <w:rPr>
                <w:sz w:val="20"/>
              </w:rPr>
              <w:t>元</w:t>
            </w:r>
            <w:r>
              <w:rPr>
                <w:rFonts w:ascii="Times New Roman" w:eastAsia="Times New Roman"/>
                <w:sz w:val="20"/>
              </w:rPr>
              <w:t>/</w:t>
            </w:r>
            <w:r>
              <w:rPr>
                <w:sz w:val="20"/>
              </w:rPr>
              <w:t>户</w:t>
            </w:r>
          </w:p>
        </w:tc>
        <w:tc>
          <w:tcPr>
            <w:tcW w:w="1609" w:type="dxa"/>
            <w:tcBorders/>
          </w:tcPr>
          <w:p>
            <w:pPr>
              <w:pStyle w:val="style4098"/>
              <w:spacing w:before="9"/>
              <w:rPr>
                <w:rFonts w:ascii="宋体"/>
                <w:sz w:val="15"/>
              </w:rPr>
            </w:pPr>
          </w:p>
          <w:p>
            <w:pPr>
              <w:pStyle w:val="style4098"/>
              <w:spacing w:before="1"/>
              <w:ind w:left="339" w:right="332"/>
              <w:jc w:val="center"/>
              <w:rPr>
                <w:rFonts w:ascii="Times New Roman"/>
                <w:sz w:val="20"/>
              </w:rPr>
            </w:pPr>
            <w:r>
              <w:rPr>
                <w:rFonts w:ascii="Times New Roman"/>
                <w:sz w:val="20"/>
              </w:rPr>
              <w:t>2500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8"/>
              <w:rPr>
                <w:rFonts w:ascii="宋体"/>
                <w:sz w:val="15"/>
              </w:rPr>
            </w:pPr>
          </w:p>
          <w:p>
            <w:pPr>
              <w:pStyle w:val="style4098"/>
              <w:ind w:left="9"/>
              <w:jc w:val="center"/>
              <w:rPr>
                <w:rFonts w:ascii="Times New Roman"/>
                <w:sz w:val="20"/>
              </w:rPr>
            </w:pPr>
            <w:r>
              <w:rPr>
                <w:rFonts w:ascii="Times New Roman"/>
                <w:w w:val="99"/>
                <w:sz w:val="20"/>
              </w:rPr>
              <w:t>9</w:t>
            </w:r>
          </w:p>
        </w:tc>
        <w:tc>
          <w:tcPr>
            <w:tcW w:w="2113" w:type="dxa"/>
            <w:tcBorders/>
          </w:tcPr>
          <w:p>
            <w:pPr>
              <w:pStyle w:val="style4098"/>
              <w:spacing w:before="7"/>
              <w:rPr>
                <w:rFonts w:ascii="宋体"/>
                <w:sz w:val="14"/>
              </w:rPr>
            </w:pPr>
          </w:p>
          <w:p>
            <w:pPr>
              <w:pStyle w:val="style4098"/>
              <w:spacing w:before="1"/>
              <w:ind w:left="234" w:right="224"/>
              <w:jc w:val="center"/>
              <w:rPr>
                <w:sz w:val="20"/>
              </w:rPr>
            </w:pPr>
            <w:r>
              <w:rPr>
                <w:sz w:val="20"/>
              </w:rPr>
              <w:t>砖围墙</w:t>
            </w:r>
          </w:p>
        </w:tc>
        <w:tc>
          <w:tcPr>
            <w:tcW w:w="1509" w:type="dxa"/>
            <w:tcBorders/>
          </w:tcPr>
          <w:p>
            <w:pPr>
              <w:pStyle w:val="style4098"/>
              <w:rPr>
                <w:rFonts w:ascii="Times New Roman"/>
                <w:sz w:val="20"/>
              </w:rPr>
            </w:pPr>
          </w:p>
        </w:tc>
        <w:tc>
          <w:tcPr>
            <w:tcW w:w="1336" w:type="dxa"/>
            <w:tcBorders/>
          </w:tcPr>
          <w:p>
            <w:pPr>
              <w:pStyle w:val="style4098"/>
              <w:spacing w:before="187"/>
              <w:ind w:left="432"/>
              <w:rPr>
                <w:rFonts w:ascii="Times New Roman" w:eastAsia="Times New Roman" w:hAnsi="Times New Roman"/>
                <w:sz w:val="20"/>
              </w:rPr>
            </w:pPr>
            <w:r>
              <w:rPr>
                <w:sz w:val="20"/>
              </w:rPr>
              <w:t>元</w:t>
            </w:r>
            <w:r>
              <w:rPr>
                <w:rFonts w:ascii="Times New Roman" w:eastAsia="Times New Roman" w:hAnsi="Times New Roman"/>
                <w:sz w:val="20"/>
              </w:rPr>
              <w:t>/m³</w:t>
            </w:r>
          </w:p>
        </w:tc>
        <w:tc>
          <w:tcPr>
            <w:tcW w:w="1609" w:type="dxa"/>
            <w:tcBorders/>
          </w:tcPr>
          <w:p>
            <w:pPr>
              <w:pStyle w:val="style4098"/>
              <w:spacing w:before="8"/>
              <w:rPr>
                <w:rFonts w:ascii="宋体"/>
                <w:sz w:val="15"/>
              </w:rPr>
            </w:pPr>
          </w:p>
          <w:p>
            <w:pPr>
              <w:pStyle w:val="style4098"/>
              <w:ind w:left="342" w:right="332"/>
              <w:jc w:val="center"/>
              <w:rPr>
                <w:rFonts w:ascii="Times New Roman"/>
                <w:sz w:val="20"/>
              </w:rPr>
            </w:pPr>
            <w:r>
              <w:rPr>
                <w:rFonts w:ascii="Times New Roman"/>
                <w:sz w:val="20"/>
              </w:rPr>
              <w:t>280</w:t>
            </w:r>
          </w:p>
        </w:tc>
        <w:tc>
          <w:tcPr>
            <w:tcW w:w="1486" w:type="dxa"/>
            <w:tcBorders/>
          </w:tcPr>
          <w:p>
            <w:pPr>
              <w:pStyle w:val="style4098"/>
              <w:rPr>
                <w:rFonts w:ascii="Times New Roman"/>
                <w:sz w:val="20"/>
              </w:rPr>
            </w:pPr>
          </w:p>
        </w:tc>
      </w:tr>
      <w:tr>
        <w:tblPrEx/>
        <w:trPr>
          <w:trHeight w:val="629" w:hRule="atLeast"/>
        </w:trPr>
        <w:tc>
          <w:tcPr>
            <w:tcW w:w="719" w:type="dxa"/>
            <w:tcBorders/>
          </w:tcPr>
          <w:p>
            <w:pPr>
              <w:pStyle w:val="style4098"/>
              <w:spacing w:before="9"/>
              <w:rPr>
                <w:rFonts w:ascii="宋体"/>
                <w:sz w:val="15"/>
              </w:rPr>
            </w:pPr>
          </w:p>
          <w:p>
            <w:pPr>
              <w:pStyle w:val="style4098"/>
              <w:ind w:left="116" w:right="107"/>
              <w:jc w:val="center"/>
              <w:rPr>
                <w:rFonts w:ascii="Times New Roman"/>
                <w:sz w:val="20"/>
              </w:rPr>
            </w:pPr>
            <w:r>
              <w:rPr>
                <w:rFonts w:ascii="Times New Roman"/>
                <w:sz w:val="20"/>
              </w:rPr>
              <w:t>10</w:t>
            </w:r>
          </w:p>
        </w:tc>
        <w:tc>
          <w:tcPr>
            <w:tcW w:w="2113" w:type="dxa"/>
            <w:tcBorders/>
          </w:tcPr>
          <w:p>
            <w:pPr>
              <w:pStyle w:val="style4098"/>
              <w:spacing w:before="8"/>
              <w:rPr>
                <w:rFonts w:ascii="宋体"/>
                <w:sz w:val="14"/>
              </w:rPr>
            </w:pPr>
          </w:p>
          <w:p>
            <w:pPr>
              <w:pStyle w:val="style4098"/>
              <w:ind w:left="234" w:right="229"/>
              <w:jc w:val="center"/>
              <w:rPr>
                <w:sz w:val="20"/>
              </w:rPr>
            </w:pPr>
            <w:r>
              <w:rPr>
                <w:sz w:val="20"/>
              </w:rPr>
              <w:t>空心砖、石砌围墙</w:t>
            </w:r>
          </w:p>
        </w:tc>
        <w:tc>
          <w:tcPr>
            <w:tcW w:w="1509" w:type="dxa"/>
            <w:tcBorders/>
          </w:tcPr>
          <w:p>
            <w:pPr>
              <w:pStyle w:val="style4098"/>
              <w:rPr>
                <w:rFonts w:ascii="Times New Roman"/>
                <w:sz w:val="20"/>
              </w:rPr>
            </w:pPr>
          </w:p>
        </w:tc>
        <w:tc>
          <w:tcPr>
            <w:tcW w:w="1336" w:type="dxa"/>
            <w:tcBorders/>
          </w:tcPr>
          <w:p>
            <w:pPr>
              <w:pStyle w:val="style4098"/>
              <w:spacing w:before="188"/>
              <w:ind w:left="432"/>
              <w:rPr>
                <w:rFonts w:ascii="Times New Roman" w:eastAsia="Times New Roman" w:hAnsi="Times New Roman"/>
                <w:sz w:val="20"/>
              </w:rPr>
            </w:pPr>
            <w:r>
              <w:rPr>
                <w:sz w:val="20"/>
              </w:rPr>
              <w:t>元</w:t>
            </w:r>
            <w:r>
              <w:rPr>
                <w:rFonts w:ascii="Times New Roman" w:eastAsia="Times New Roman" w:hAnsi="Times New Roman"/>
                <w:sz w:val="20"/>
              </w:rPr>
              <w:t>/m³</w:t>
            </w:r>
          </w:p>
        </w:tc>
        <w:tc>
          <w:tcPr>
            <w:tcW w:w="1609" w:type="dxa"/>
            <w:tcBorders/>
          </w:tcPr>
          <w:p>
            <w:pPr>
              <w:pStyle w:val="style4098"/>
              <w:spacing w:before="9"/>
              <w:rPr>
                <w:rFonts w:ascii="宋体"/>
                <w:sz w:val="15"/>
              </w:rPr>
            </w:pPr>
          </w:p>
          <w:p>
            <w:pPr>
              <w:pStyle w:val="style4098"/>
              <w:ind w:left="342" w:right="332"/>
              <w:jc w:val="center"/>
              <w:rPr>
                <w:rFonts w:ascii="Times New Roman"/>
                <w:sz w:val="20"/>
              </w:rPr>
            </w:pPr>
            <w:r>
              <w:rPr>
                <w:rFonts w:ascii="Times New Roman"/>
                <w:sz w:val="20"/>
              </w:rPr>
              <w:t>220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spacing w:before="1"/>
              <w:ind w:left="116" w:right="107"/>
              <w:jc w:val="center"/>
              <w:rPr>
                <w:rFonts w:ascii="Times New Roman"/>
                <w:sz w:val="20"/>
              </w:rPr>
            </w:pPr>
            <w:r>
              <w:rPr>
                <w:rFonts w:ascii="Times New Roman"/>
                <w:sz w:val="20"/>
              </w:rPr>
              <w:t>11</w:t>
            </w:r>
          </w:p>
        </w:tc>
        <w:tc>
          <w:tcPr>
            <w:tcW w:w="2113" w:type="dxa"/>
            <w:tcBorders/>
          </w:tcPr>
          <w:p>
            <w:pPr>
              <w:pStyle w:val="style4098"/>
              <w:spacing w:before="9"/>
              <w:rPr>
                <w:rFonts w:ascii="宋体"/>
                <w:sz w:val="14"/>
              </w:rPr>
            </w:pPr>
          </w:p>
          <w:p>
            <w:pPr>
              <w:pStyle w:val="style4098"/>
              <w:ind w:left="234" w:right="224"/>
              <w:jc w:val="center"/>
              <w:rPr>
                <w:sz w:val="20"/>
              </w:rPr>
            </w:pPr>
            <w:r>
              <w:rPr>
                <w:sz w:val="20"/>
              </w:rPr>
              <w:t>其他简易围墙</w:t>
            </w:r>
          </w:p>
        </w:tc>
        <w:tc>
          <w:tcPr>
            <w:tcW w:w="1509" w:type="dxa"/>
            <w:tcBorders/>
          </w:tcPr>
          <w:p>
            <w:pPr>
              <w:pStyle w:val="style4098"/>
              <w:rPr>
                <w:rFonts w:ascii="Times New Roman"/>
                <w:sz w:val="20"/>
              </w:rPr>
            </w:pPr>
          </w:p>
        </w:tc>
        <w:tc>
          <w:tcPr>
            <w:tcW w:w="1336" w:type="dxa"/>
            <w:tcBorders/>
          </w:tcPr>
          <w:p>
            <w:pPr>
              <w:pStyle w:val="style4098"/>
              <w:spacing w:before="188"/>
              <w:ind w:left="432"/>
              <w:rPr>
                <w:rFonts w:ascii="Times New Roman" w:eastAsia="Times New Roman" w:hAnsi="Times New Roman"/>
                <w:sz w:val="20"/>
              </w:rPr>
            </w:pPr>
            <w:r>
              <w:rPr>
                <w:sz w:val="20"/>
              </w:rPr>
              <w:t>元</w:t>
            </w:r>
            <w:r>
              <w:rPr>
                <w:rFonts w:ascii="Times New Roman" w:eastAsia="Times New Roman" w:hAnsi="Times New Roman"/>
                <w:sz w:val="20"/>
              </w:rPr>
              <w:t>/m³</w:t>
            </w:r>
          </w:p>
        </w:tc>
        <w:tc>
          <w:tcPr>
            <w:tcW w:w="1609" w:type="dxa"/>
            <w:tcBorders/>
          </w:tcPr>
          <w:p>
            <w:pPr>
              <w:pStyle w:val="style4098"/>
              <w:spacing w:before="9"/>
              <w:rPr>
                <w:rFonts w:ascii="宋体"/>
                <w:sz w:val="15"/>
              </w:rPr>
            </w:pPr>
          </w:p>
          <w:p>
            <w:pPr>
              <w:pStyle w:val="style4098"/>
              <w:spacing w:before="1"/>
              <w:ind w:left="342" w:right="332"/>
              <w:jc w:val="center"/>
              <w:rPr>
                <w:rFonts w:ascii="Times New Roman"/>
                <w:sz w:val="20"/>
              </w:rPr>
            </w:pPr>
            <w:r>
              <w:rPr>
                <w:rFonts w:ascii="Times New Roman"/>
                <w:sz w:val="20"/>
              </w:rPr>
              <w:t>100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8"/>
              <w:rPr>
                <w:rFonts w:ascii="宋体"/>
                <w:sz w:val="15"/>
              </w:rPr>
            </w:pPr>
          </w:p>
          <w:p>
            <w:pPr>
              <w:pStyle w:val="style4098"/>
              <w:ind w:left="116" w:right="107"/>
              <w:jc w:val="center"/>
              <w:rPr>
                <w:rFonts w:ascii="Times New Roman"/>
                <w:sz w:val="20"/>
              </w:rPr>
            </w:pPr>
            <w:r>
              <w:rPr>
                <w:rFonts w:ascii="Times New Roman"/>
                <w:sz w:val="20"/>
              </w:rPr>
              <w:t>12</w:t>
            </w:r>
          </w:p>
        </w:tc>
        <w:tc>
          <w:tcPr>
            <w:tcW w:w="2113" w:type="dxa"/>
            <w:tcBorders/>
          </w:tcPr>
          <w:p>
            <w:pPr>
              <w:pStyle w:val="style4098"/>
              <w:spacing w:before="7"/>
              <w:rPr>
                <w:rFonts w:ascii="宋体"/>
                <w:sz w:val="14"/>
              </w:rPr>
            </w:pPr>
          </w:p>
          <w:p>
            <w:pPr>
              <w:pStyle w:val="style4098"/>
              <w:spacing w:before="1"/>
              <w:ind w:left="234" w:right="229"/>
              <w:jc w:val="center"/>
              <w:rPr>
                <w:sz w:val="20"/>
              </w:rPr>
            </w:pPr>
            <w:r>
              <w:rPr>
                <w:sz w:val="20"/>
              </w:rPr>
              <w:t>浆砌石堡坎</w:t>
            </w:r>
          </w:p>
        </w:tc>
        <w:tc>
          <w:tcPr>
            <w:tcW w:w="1509" w:type="dxa"/>
            <w:tcBorders/>
          </w:tcPr>
          <w:p>
            <w:pPr>
              <w:pStyle w:val="style4098"/>
              <w:spacing w:before="187"/>
              <w:ind w:left="33" w:right="26"/>
              <w:jc w:val="center"/>
              <w:rPr>
                <w:sz w:val="20"/>
              </w:rPr>
            </w:pPr>
            <w:r>
              <w:rPr>
                <w:sz w:val="20"/>
              </w:rPr>
              <w:t xml:space="preserve">高度 </w:t>
            </w:r>
            <w:r>
              <w:rPr>
                <w:rFonts w:ascii="Times New Roman" w:eastAsia="Times New Roman"/>
                <w:sz w:val="20"/>
              </w:rPr>
              <w:t xml:space="preserve">1.5 </w:t>
            </w:r>
            <w:r>
              <w:rPr>
                <w:sz w:val="20"/>
              </w:rPr>
              <w:t>米以上</w:t>
            </w:r>
          </w:p>
        </w:tc>
        <w:tc>
          <w:tcPr>
            <w:tcW w:w="1336" w:type="dxa"/>
            <w:tcBorders/>
          </w:tcPr>
          <w:p>
            <w:pPr>
              <w:pStyle w:val="style4098"/>
              <w:spacing w:before="187"/>
              <w:ind w:left="432"/>
              <w:rPr>
                <w:rFonts w:ascii="Times New Roman" w:eastAsia="Times New Roman" w:hAnsi="Times New Roman"/>
                <w:sz w:val="20"/>
              </w:rPr>
            </w:pPr>
            <w:r>
              <w:rPr>
                <w:sz w:val="20"/>
              </w:rPr>
              <w:t>元</w:t>
            </w:r>
            <w:r>
              <w:rPr>
                <w:rFonts w:ascii="Times New Roman" w:eastAsia="Times New Roman" w:hAnsi="Times New Roman"/>
                <w:sz w:val="20"/>
              </w:rPr>
              <w:t>/m³</w:t>
            </w:r>
          </w:p>
        </w:tc>
        <w:tc>
          <w:tcPr>
            <w:tcW w:w="1609" w:type="dxa"/>
            <w:tcBorders/>
          </w:tcPr>
          <w:p>
            <w:pPr>
              <w:pStyle w:val="style4098"/>
              <w:spacing w:before="8"/>
              <w:rPr>
                <w:rFonts w:ascii="宋体"/>
                <w:sz w:val="15"/>
              </w:rPr>
            </w:pPr>
          </w:p>
          <w:p>
            <w:pPr>
              <w:pStyle w:val="style4098"/>
              <w:ind w:left="342" w:right="332"/>
              <w:jc w:val="center"/>
              <w:rPr>
                <w:rFonts w:ascii="Times New Roman"/>
                <w:sz w:val="20"/>
              </w:rPr>
            </w:pPr>
            <w:r>
              <w:rPr>
                <w:rFonts w:ascii="Times New Roman"/>
                <w:sz w:val="20"/>
              </w:rPr>
              <w:t>250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ind w:left="116" w:right="107"/>
              <w:jc w:val="center"/>
              <w:rPr>
                <w:rFonts w:ascii="Times New Roman"/>
                <w:sz w:val="20"/>
              </w:rPr>
            </w:pPr>
            <w:r>
              <w:rPr>
                <w:rFonts w:ascii="Times New Roman"/>
                <w:sz w:val="20"/>
              </w:rPr>
              <w:t>13</w:t>
            </w:r>
          </w:p>
        </w:tc>
        <w:tc>
          <w:tcPr>
            <w:tcW w:w="2113" w:type="dxa"/>
            <w:tcBorders/>
          </w:tcPr>
          <w:p>
            <w:pPr>
              <w:pStyle w:val="style4098"/>
              <w:spacing w:before="8"/>
              <w:rPr>
                <w:rFonts w:ascii="宋体"/>
                <w:sz w:val="14"/>
              </w:rPr>
            </w:pPr>
          </w:p>
          <w:p>
            <w:pPr>
              <w:pStyle w:val="style4098"/>
              <w:ind w:left="234" w:right="229"/>
              <w:jc w:val="center"/>
              <w:rPr>
                <w:sz w:val="20"/>
              </w:rPr>
            </w:pPr>
            <w:r>
              <w:rPr>
                <w:sz w:val="20"/>
              </w:rPr>
              <w:t>浆砌石堡坎</w:t>
            </w:r>
          </w:p>
        </w:tc>
        <w:tc>
          <w:tcPr>
            <w:tcW w:w="1509" w:type="dxa"/>
            <w:tcBorders/>
          </w:tcPr>
          <w:p>
            <w:pPr>
              <w:pStyle w:val="style4098"/>
              <w:spacing w:before="188"/>
              <w:ind w:left="33" w:right="26"/>
              <w:jc w:val="center"/>
              <w:rPr>
                <w:sz w:val="20"/>
              </w:rPr>
            </w:pPr>
            <w:r>
              <w:rPr>
                <w:sz w:val="20"/>
              </w:rPr>
              <w:t xml:space="preserve">高度 </w:t>
            </w:r>
            <w:r>
              <w:rPr>
                <w:rFonts w:ascii="Times New Roman" w:eastAsia="Times New Roman"/>
                <w:sz w:val="20"/>
              </w:rPr>
              <w:t xml:space="preserve">1.5 </w:t>
            </w:r>
            <w:r>
              <w:rPr>
                <w:sz w:val="20"/>
              </w:rPr>
              <w:t>米以下</w:t>
            </w:r>
          </w:p>
        </w:tc>
        <w:tc>
          <w:tcPr>
            <w:tcW w:w="1336" w:type="dxa"/>
            <w:tcBorders/>
          </w:tcPr>
          <w:p>
            <w:pPr>
              <w:pStyle w:val="style4098"/>
              <w:spacing w:before="188"/>
              <w:ind w:left="432"/>
              <w:rPr>
                <w:rFonts w:ascii="Times New Roman" w:eastAsia="Times New Roman" w:hAnsi="Times New Roman"/>
                <w:sz w:val="20"/>
              </w:rPr>
            </w:pPr>
            <w:r>
              <w:rPr>
                <w:sz w:val="20"/>
              </w:rPr>
              <w:t>元</w:t>
            </w:r>
            <w:r>
              <w:rPr>
                <w:rFonts w:ascii="Times New Roman" w:eastAsia="Times New Roman" w:hAnsi="Times New Roman"/>
                <w:sz w:val="20"/>
              </w:rPr>
              <w:t>/m³</w:t>
            </w:r>
          </w:p>
        </w:tc>
        <w:tc>
          <w:tcPr>
            <w:tcW w:w="1609" w:type="dxa"/>
            <w:tcBorders/>
          </w:tcPr>
          <w:p>
            <w:pPr>
              <w:pStyle w:val="style4098"/>
              <w:spacing w:before="9"/>
              <w:rPr>
                <w:rFonts w:ascii="宋体"/>
                <w:sz w:val="15"/>
              </w:rPr>
            </w:pPr>
          </w:p>
          <w:p>
            <w:pPr>
              <w:pStyle w:val="style4098"/>
              <w:ind w:left="342" w:right="332"/>
              <w:jc w:val="center"/>
              <w:rPr>
                <w:rFonts w:ascii="Times New Roman"/>
                <w:sz w:val="20"/>
              </w:rPr>
            </w:pPr>
            <w:r>
              <w:rPr>
                <w:rFonts w:ascii="Times New Roman"/>
                <w:sz w:val="20"/>
              </w:rPr>
              <w:t>225</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spacing w:before="1"/>
              <w:ind w:left="116" w:right="107"/>
              <w:jc w:val="center"/>
              <w:rPr>
                <w:rFonts w:ascii="Times New Roman"/>
                <w:sz w:val="20"/>
              </w:rPr>
            </w:pPr>
            <w:r>
              <w:rPr>
                <w:rFonts w:ascii="Times New Roman"/>
                <w:sz w:val="20"/>
              </w:rPr>
              <w:t>14</w:t>
            </w:r>
          </w:p>
        </w:tc>
        <w:tc>
          <w:tcPr>
            <w:tcW w:w="2113" w:type="dxa"/>
            <w:tcBorders/>
          </w:tcPr>
          <w:p>
            <w:pPr>
              <w:pStyle w:val="style4098"/>
              <w:spacing w:before="9"/>
              <w:rPr>
                <w:rFonts w:ascii="宋体"/>
                <w:sz w:val="14"/>
              </w:rPr>
            </w:pPr>
          </w:p>
          <w:p>
            <w:pPr>
              <w:pStyle w:val="style4098"/>
              <w:ind w:left="234" w:right="229"/>
              <w:jc w:val="center"/>
              <w:rPr>
                <w:sz w:val="20"/>
              </w:rPr>
            </w:pPr>
            <w:r>
              <w:rPr>
                <w:sz w:val="20"/>
              </w:rPr>
              <w:t>干砌石堡坎</w:t>
            </w:r>
          </w:p>
        </w:tc>
        <w:tc>
          <w:tcPr>
            <w:tcW w:w="1509" w:type="dxa"/>
            <w:tcBorders/>
          </w:tcPr>
          <w:p>
            <w:pPr>
              <w:pStyle w:val="style4098"/>
              <w:rPr>
                <w:rFonts w:ascii="Times New Roman"/>
                <w:sz w:val="20"/>
              </w:rPr>
            </w:pPr>
          </w:p>
        </w:tc>
        <w:tc>
          <w:tcPr>
            <w:tcW w:w="1336" w:type="dxa"/>
            <w:tcBorders/>
          </w:tcPr>
          <w:p>
            <w:pPr>
              <w:pStyle w:val="style4098"/>
              <w:spacing w:before="189"/>
              <w:ind w:left="432"/>
              <w:rPr>
                <w:rFonts w:ascii="Times New Roman" w:eastAsia="Times New Roman" w:hAnsi="Times New Roman"/>
                <w:sz w:val="20"/>
              </w:rPr>
            </w:pPr>
            <w:r>
              <w:rPr>
                <w:sz w:val="20"/>
              </w:rPr>
              <w:t>元</w:t>
            </w:r>
            <w:r>
              <w:rPr>
                <w:rFonts w:ascii="Times New Roman" w:eastAsia="Times New Roman" w:hAnsi="Times New Roman"/>
                <w:sz w:val="20"/>
              </w:rPr>
              <w:t>/m³</w:t>
            </w:r>
          </w:p>
        </w:tc>
        <w:tc>
          <w:tcPr>
            <w:tcW w:w="1609" w:type="dxa"/>
            <w:tcBorders/>
          </w:tcPr>
          <w:p>
            <w:pPr>
              <w:pStyle w:val="style4098"/>
              <w:spacing w:before="9"/>
              <w:rPr>
                <w:rFonts w:ascii="宋体"/>
                <w:sz w:val="15"/>
              </w:rPr>
            </w:pPr>
          </w:p>
          <w:p>
            <w:pPr>
              <w:pStyle w:val="style4098"/>
              <w:spacing w:before="1"/>
              <w:ind w:left="342" w:right="332"/>
              <w:jc w:val="center"/>
              <w:rPr>
                <w:rFonts w:ascii="Times New Roman"/>
                <w:sz w:val="20"/>
              </w:rPr>
            </w:pPr>
            <w:r>
              <w:rPr>
                <w:rFonts w:ascii="Times New Roman"/>
                <w:sz w:val="20"/>
              </w:rPr>
              <w:t>150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8"/>
              <w:rPr>
                <w:rFonts w:ascii="宋体"/>
                <w:sz w:val="15"/>
              </w:rPr>
            </w:pPr>
          </w:p>
          <w:p>
            <w:pPr>
              <w:pStyle w:val="style4098"/>
              <w:ind w:left="116" w:right="107"/>
              <w:jc w:val="center"/>
              <w:rPr>
                <w:rFonts w:ascii="Times New Roman"/>
                <w:sz w:val="20"/>
              </w:rPr>
            </w:pPr>
            <w:r>
              <w:rPr>
                <w:rFonts w:ascii="Times New Roman"/>
                <w:sz w:val="20"/>
              </w:rPr>
              <w:t>15</w:t>
            </w:r>
          </w:p>
        </w:tc>
        <w:tc>
          <w:tcPr>
            <w:tcW w:w="2113" w:type="dxa"/>
            <w:tcBorders/>
          </w:tcPr>
          <w:p>
            <w:pPr>
              <w:pStyle w:val="style4098"/>
              <w:spacing w:before="7"/>
              <w:rPr>
                <w:rFonts w:ascii="宋体"/>
                <w:sz w:val="14"/>
              </w:rPr>
            </w:pPr>
          </w:p>
          <w:p>
            <w:pPr>
              <w:pStyle w:val="style4098"/>
              <w:spacing w:before="1"/>
              <w:ind w:left="234" w:right="227"/>
              <w:jc w:val="center"/>
              <w:rPr>
                <w:sz w:val="20"/>
              </w:rPr>
            </w:pPr>
            <w:r>
              <w:rPr>
                <w:sz w:val="20"/>
              </w:rPr>
              <w:t>水泥院坝</w:t>
            </w:r>
          </w:p>
        </w:tc>
        <w:tc>
          <w:tcPr>
            <w:tcW w:w="1509" w:type="dxa"/>
            <w:tcBorders/>
          </w:tcPr>
          <w:p>
            <w:pPr>
              <w:pStyle w:val="style4098"/>
              <w:rPr>
                <w:rFonts w:ascii="Times New Roman"/>
                <w:sz w:val="20"/>
              </w:rPr>
            </w:pPr>
          </w:p>
        </w:tc>
        <w:tc>
          <w:tcPr>
            <w:tcW w:w="1336" w:type="dxa"/>
            <w:tcBorders/>
          </w:tcPr>
          <w:p>
            <w:pPr>
              <w:pStyle w:val="style4098"/>
              <w:spacing w:before="187"/>
              <w:ind w:left="439"/>
              <w:rPr>
                <w:sz w:val="20"/>
              </w:rPr>
            </w:pPr>
            <w:r>
              <w:rPr>
                <w:sz w:val="20"/>
              </w:rPr>
              <w:t>元</w:t>
            </w:r>
            <w:r>
              <w:rPr>
                <w:rFonts w:ascii="Times New Roman" w:eastAsia="Times New Roman"/>
                <w:sz w:val="20"/>
              </w:rPr>
              <w:t>/</w:t>
            </w:r>
            <w:r>
              <w:rPr>
                <w:sz w:val="20"/>
              </w:rPr>
              <w:t>㎡</w:t>
            </w:r>
          </w:p>
        </w:tc>
        <w:tc>
          <w:tcPr>
            <w:tcW w:w="1609" w:type="dxa"/>
            <w:tcBorders/>
          </w:tcPr>
          <w:p>
            <w:pPr>
              <w:pStyle w:val="style4098"/>
              <w:spacing w:before="8"/>
              <w:rPr>
                <w:rFonts w:ascii="宋体"/>
                <w:sz w:val="15"/>
              </w:rPr>
            </w:pPr>
          </w:p>
          <w:p>
            <w:pPr>
              <w:pStyle w:val="style4098"/>
              <w:ind w:left="342" w:right="332"/>
              <w:jc w:val="center"/>
              <w:rPr>
                <w:rFonts w:ascii="Times New Roman"/>
                <w:sz w:val="20"/>
              </w:rPr>
            </w:pPr>
            <w:r>
              <w:rPr>
                <w:rFonts w:ascii="Times New Roman"/>
                <w:sz w:val="20"/>
              </w:rPr>
              <w:t>50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ind w:left="116" w:right="107"/>
              <w:jc w:val="center"/>
              <w:rPr>
                <w:rFonts w:ascii="Times New Roman"/>
                <w:sz w:val="20"/>
              </w:rPr>
            </w:pPr>
            <w:r>
              <w:rPr>
                <w:rFonts w:ascii="Times New Roman"/>
                <w:sz w:val="20"/>
              </w:rPr>
              <w:t>16</w:t>
            </w:r>
          </w:p>
        </w:tc>
        <w:tc>
          <w:tcPr>
            <w:tcW w:w="2113" w:type="dxa"/>
            <w:tcBorders/>
          </w:tcPr>
          <w:p>
            <w:pPr>
              <w:pStyle w:val="style4098"/>
              <w:spacing w:before="8"/>
              <w:rPr>
                <w:rFonts w:ascii="宋体"/>
                <w:sz w:val="14"/>
              </w:rPr>
            </w:pPr>
          </w:p>
          <w:p>
            <w:pPr>
              <w:pStyle w:val="style4098"/>
              <w:ind w:left="234" w:right="227"/>
              <w:jc w:val="center"/>
              <w:rPr>
                <w:sz w:val="20"/>
              </w:rPr>
            </w:pPr>
            <w:r>
              <w:rPr>
                <w:sz w:val="20"/>
              </w:rPr>
              <w:t>土质院坝</w:t>
            </w:r>
          </w:p>
        </w:tc>
        <w:tc>
          <w:tcPr>
            <w:tcW w:w="1509" w:type="dxa"/>
            <w:tcBorders/>
          </w:tcPr>
          <w:p>
            <w:pPr>
              <w:pStyle w:val="style4098"/>
              <w:rPr>
                <w:rFonts w:ascii="Times New Roman"/>
                <w:sz w:val="20"/>
              </w:rPr>
            </w:pPr>
          </w:p>
        </w:tc>
        <w:tc>
          <w:tcPr>
            <w:tcW w:w="1336" w:type="dxa"/>
            <w:tcBorders/>
          </w:tcPr>
          <w:p>
            <w:pPr>
              <w:pStyle w:val="style4098"/>
              <w:spacing w:before="188"/>
              <w:ind w:left="439"/>
              <w:rPr>
                <w:sz w:val="20"/>
              </w:rPr>
            </w:pPr>
            <w:r>
              <w:rPr>
                <w:sz w:val="20"/>
              </w:rPr>
              <w:t>元</w:t>
            </w:r>
            <w:r>
              <w:rPr>
                <w:rFonts w:ascii="Times New Roman" w:eastAsia="Times New Roman"/>
                <w:sz w:val="20"/>
              </w:rPr>
              <w:t>/</w:t>
            </w:r>
            <w:r>
              <w:rPr>
                <w:sz w:val="20"/>
              </w:rPr>
              <w:t>㎡</w:t>
            </w:r>
          </w:p>
        </w:tc>
        <w:tc>
          <w:tcPr>
            <w:tcW w:w="1609" w:type="dxa"/>
            <w:tcBorders/>
          </w:tcPr>
          <w:p>
            <w:pPr>
              <w:pStyle w:val="style4098"/>
              <w:spacing w:before="9"/>
              <w:rPr>
                <w:rFonts w:ascii="宋体"/>
                <w:sz w:val="15"/>
              </w:rPr>
            </w:pPr>
          </w:p>
          <w:p>
            <w:pPr>
              <w:pStyle w:val="style4098"/>
              <w:ind w:left="342" w:right="332"/>
              <w:jc w:val="center"/>
              <w:rPr>
                <w:rFonts w:ascii="Times New Roman"/>
                <w:sz w:val="20"/>
              </w:rPr>
            </w:pPr>
            <w:r>
              <w:rPr>
                <w:rFonts w:ascii="Times New Roman"/>
                <w:sz w:val="20"/>
              </w:rPr>
              <w:t>12</w:t>
            </w:r>
          </w:p>
        </w:tc>
        <w:tc>
          <w:tcPr>
            <w:tcW w:w="1486" w:type="dxa"/>
            <w:tcBorders/>
          </w:tcPr>
          <w:p>
            <w:pPr>
              <w:pStyle w:val="style4098"/>
              <w:rPr>
                <w:rFonts w:ascii="Times New Roman"/>
                <w:sz w:val="20"/>
              </w:rPr>
            </w:pPr>
          </w:p>
        </w:tc>
      </w:tr>
      <w:tr>
        <w:tblPrEx/>
        <w:trPr>
          <w:trHeight w:val="628" w:hRule="atLeast"/>
        </w:trPr>
        <w:tc>
          <w:tcPr>
            <w:tcW w:w="719" w:type="dxa"/>
            <w:tcBorders/>
          </w:tcPr>
          <w:p>
            <w:pPr>
              <w:pStyle w:val="style4098"/>
              <w:spacing w:before="9"/>
              <w:rPr>
                <w:rFonts w:ascii="宋体"/>
                <w:sz w:val="15"/>
              </w:rPr>
            </w:pPr>
          </w:p>
          <w:p>
            <w:pPr>
              <w:pStyle w:val="style4098"/>
              <w:spacing w:before="1"/>
              <w:ind w:left="116" w:right="107"/>
              <w:jc w:val="center"/>
              <w:rPr>
                <w:rFonts w:ascii="Times New Roman"/>
                <w:sz w:val="20"/>
              </w:rPr>
            </w:pPr>
            <w:r>
              <w:rPr>
                <w:rFonts w:ascii="Times New Roman"/>
                <w:sz w:val="20"/>
              </w:rPr>
              <w:t>17</w:t>
            </w:r>
          </w:p>
        </w:tc>
        <w:tc>
          <w:tcPr>
            <w:tcW w:w="2113" w:type="dxa"/>
            <w:tcBorders/>
          </w:tcPr>
          <w:p>
            <w:pPr>
              <w:pStyle w:val="style4098"/>
              <w:spacing w:before="9"/>
              <w:rPr>
                <w:rFonts w:ascii="宋体"/>
                <w:sz w:val="14"/>
              </w:rPr>
            </w:pPr>
          </w:p>
          <w:p>
            <w:pPr>
              <w:pStyle w:val="style4098"/>
              <w:ind w:left="234" w:right="229"/>
              <w:jc w:val="center"/>
              <w:rPr>
                <w:sz w:val="20"/>
              </w:rPr>
            </w:pPr>
            <w:r>
              <w:rPr>
                <w:sz w:val="20"/>
              </w:rPr>
              <w:t>花池</w:t>
            </w:r>
          </w:p>
        </w:tc>
        <w:tc>
          <w:tcPr>
            <w:tcW w:w="1509" w:type="dxa"/>
            <w:tcBorders/>
          </w:tcPr>
          <w:p>
            <w:pPr>
              <w:pStyle w:val="style4098"/>
              <w:rPr>
                <w:rFonts w:ascii="Times New Roman"/>
                <w:sz w:val="20"/>
              </w:rPr>
            </w:pPr>
          </w:p>
        </w:tc>
        <w:tc>
          <w:tcPr>
            <w:tcW w:w="1336" w:type="dxa"/>
            <w:tcBorders/>
          </w:tcPr>
          <w:p>
            <w:pPr>
              <w:pStyle w:val="style4098"/>
              <w:spacing w:before="189"/>
              <w:ind w:left="439"/>
              <w:rPr>
                <w:sz w:val="20"/>
              </w:rPr>
            </w:pPr>
            <w:r>
              <w:rPr>
                <w:sz w:val="20"/>
              </w:rPr>
              <w:t>元</w:t>
            </w:r>
            <w:r>
              <w:rPr>
                <w:rFonts w:ascii="Times New Roman" w:eastAsia="Times New Roman"/>
                <w:sz w:val="20"/>
              </w:rPr>
              <w:t>/</w:t>
            </w:r>
            <w:r>
              <w:rPr>
                <w:sz w:val="20"/>
              </w:rPr>
              <w:t>㎡</w:t>
            </w:r>
          </w:p>
        </w:tc>
        <w:tc>
          <w:tcPr>
            <w:tcW w:w="1609" w:type="dxa"/>
            <w:tcBorders/>
          </w:tcPr>
          <w:p>
            <w:pPr>
              <w:pStyle w:val="style4098"/>
              <w:spacing w:before="9"/>
              <w:rPr>
                <w:rFonts w:ascii="宋体"/>
                <w:sz w:val="15"/>
              </w:rPr>
            </w:pPr>
          </w:p>
          <w:p>
            <w:pPr>
              <w:pStyle w:val="style4098"/>
              <w:spacing w:before="1"/>
              <w:ind w:left="342" w:right="332"/>
              <w:jc w:val="center"/>
              <w:rPr>
                <w:rFonts w:ascii="Times New Roman"/>
                <w:sz w:val="20"/>
              </w:rPr>
            </w:pPr>
            <w:r>
              <w:rPr>
                <w:rFonts w:ascii="Times New Roman"/>
                <w:sz w:val="20"/>
              </w:rPr>
              <w:t>140</w:t>
            </w:r>
          </w:p>
        </w:tc>
        <w:tc>
          <w:tcPr>
            <w:tcW w:w="1486" w:type="dxa"/>
            <w:tcBorders/>
          </w:tcPr>
          <w:p>
            <w:pPr>
              <w:pStyle w:val="style4098"/>
              <w:rPr>
                <w:rFonts w:ascii="Times New Roman"/>
                <w:sz w:val="20"/>
              </w:rPr>
            </w:pPr>
          </w:p>
        </w:tc>
      </w:tr>
    </w:tbl>
    <w:p>
      <w:pPr>
        <w:pStyle w:val="style0"/>
        <w:spacing w:after="0"/>
        <w:rPr>
          <w:rFonts w:ascii="Times New Roman"/>
          <w:sz w:val="20"/>
        </w:rPr>
        <w:sectPr>
          <w:type w:val="continuous"/>
          <w:pgSz w:w="11910" w:h="16840" w:orient="portrait"/>
          <w:pgMar w:top="1520" w:right="1200" w:bottom="280" w:left="1460" w:header="720" w:footer="720" w:gutter="0"/>
          <w:cols w:space="720" w:num="1"/>
        </w:sectPr>
      </w:pPr>
    </w:p>
    <w:p>
      <w:pPr>
        <w:pStyle w:val="style66"/>
        <w:rPr>
          <w:rFonts w:ascii="宋体"/>
          <w:sz w:val="20"/>
        </w:rPr>
      </w:pPr>
    </w:p>
    <w:p>
      <w:pPr>
        <w:pStyle w:val="style66"/>
        <w:rPr>
          <w:rFonts w:ascii="宋体"/>
          <w:sz w:val="20"/>
        </w:rPr>
      </w:pPr>
    </w:p>
    <w:p>
      <w:pPr>
        <w:pStyle w:val="style66"/>
        <w:spacing w:before="8"/>
        <w:rPr>
          <w:rFonts w:ascii="宋体"/>
          <w:sz w:val="17"/>
        </w:rPr>
      </w:pPr>
    </w:p>
    <w:p>
      <w:pPr>
        <w:pStyle w:val="style0"/>
        <w:spacing w:before="48"/>
        <w:ind w:left="911" w:right="0" w:firstLine="0"/>
        <w:jc w:val="left"/>
        <w:rPr>
          <w:rFonts w:ascii="宋体" w:eastAsia="宋体" w:hint="eastAsia"/>
          <w:sz w:val="40"/>
        </w:rPr>
      </w:pPr>
      <w:r>
        <w:rPr>
          <w:rFonts w:ascii="宋体" w:eastAsia="宋体" w:hint="eastAsia"/>
          <w:sz w:val="40"/>
        </w:rPr>
        <w:t>附属物及附属设施补偿标准（续上表）</w:t>
      </w:r>
    </w:p>
    <w:p>
      <w:pPr>
        <w:pStyle w:val="style66"/>
        <w:spacing w:before="1"/>
        <w:rPr>
          <w:rFonts w:ascii="宋体"/>
          <w:sz w:val="8"/>
        </w:rPr>
      </w:pPr>
    </w:p>
    <w:tbl>
      <w:tblPr>
        <w:tblStyle w:val="style105"/>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19"/>
        <w:gridCol w:w="2113"/>
        <w:gridCol w:w="1509"/>
        <w:gridCol w:w="1336"/>
        <w:gridCol w:w="1609"/>
        <w:gridCol w:w="1486"/>
      </w:tblGrid>
      <w:tr>
        <w:trPr>
          <w:trHeight w:val="630" w:hRule="atLeast"/>
        </w:trPr>
        <w:tc>
          <w:tcPr>
            <w:tcW w:w="719" w:type="dxa"/>
            <w:tcBorders/>
          </w:tcPr>
          <w:p>
            <w:pPr>
              <w:pStyle w:val="style4098"/>
              <w:spacing w:before="175"/>
              <w:ind w:left="114" w:right="109"/>
              <w:jc w:val="center"/>
              <w:rPr>
                <w:b/>
                <w:sz w:val="22"/>
              </w:rPr>
            </w:pPr>
            <w:r>
              <w:rPr>
                <w:b/>
                <w:sz w:val="22"/>
              </w:rPr>
              <w:t>序号</w:t>
            </w:r>
          </w:p>
        </w:tc>
        <w:tc>
          <w:tcPr>
            <w:tcW w:w="2113" w:type="dxa"/>
            <w:tcBorders/>
          </w:tcPr>
          <w:p>
            <w:pPr>
              <w:pStyle w:val="style4098"/>
              <w:spacing w:before="175"/>
              <w:ind w:left="234" w:right="229"/>
              <w:jc w:val="center"/>
              <w:rPr>
                <w:b/>
                <w:sz w:val="22"/>
              </w:rPr>
            </w:pPr>
            <w:r>
              <w:rPr>
                <w:b/>
                <w:sz w:val="22"/>
              </w:rPr>
              <w:t>名称</w:t>
            </w:r>
          </w:p>
        </w:tc>
        <w:tc>
          <w:tcPr>
            <w:tcW w:w="1509" w:type="dxa"/>
            <w:tcBorders/>
          </w:tcPr>
          <w:p>
            <w:pPr>
              <w:pStyle w:val="style4098"/>
              <w:spacing w:before="175"/>
              <w:ind w:left="33" w:right="26"/>
              <w:jc w:val="center"/>
              <w:rPr>
                <w:b/>
                <w:sz w:val="22"/>
              </w:rPr>
            </w:pPr>
            <w:r>
              <w:rPr>
                <w:b/>
                <w:sz w:val="22"/>
              </w:rPr>
              <w:t>规格</w:t>
            </w:r>
          </w:p>
        </w:tc>
        <w:tc>
          <w:tcPr>
            <w:tcW w:w="1336" w:type="dxa"/>
            <w:tcBorders/>
          </w:tcPr>
          <w:p>
            <w:pPr>
              <w:pStyle w:val="style4098"/>
              <w:spacing w:before="175"/>
              <w:ind w:left="411" w:right="402"/>
              <w:jc w:val="center"/>
              <w:rPr>
                <w:b/>
                <w:sz w:val="22"/>
              </w:rPr>
            </w:pPr>
            <w:r>
              <w:rPr>
                <w:b/>
                <w:sz w:val="22"/>
              </w:rPr>
              <w:t>单位</w:t>
            </w:r>
          </w:p>
        </w:tc>
        <w:tc>
          <w:tcPr>
            <w:tcW w:w="1609" w:type="dxa"/>
            <w:tcBorders/>
          </w:tcPr>
          <w:p>
            <w:pPr>
              <w:pStyle w:val="style4098"/>
              <w:spacing w:before="175"/>
              <w:ind w:left="343" w:right="332"/>
              <w:jc w:val="center"/>
              <w:rPr>
                <w:b/>
                <w:sz w:val="22"/>
              </w:rPr>
            </w:pPr>
            <w:r>
              <w:rPr>
                <w:b/>
                <w:sz w:val="22"/>
              </w:rPr>
              <w:t>补偿标准</w:t>
            </w:r>
          </w:p>
        </w:tc>
        <w:tc>
          <w:tcPr>
            <w:tcW w:w="1486" w:type="dxa"/>
            <w:tcBorders/>
          </w:tcPr>
          <w:p>
            <w:pPr>
              <w:pStyle w:val="style4098"/>
              <w:spacing w:before="175"/>
              <w:ind w:left="421" w:right="414"/>
              <w:jc w:val="center"/>
              <w:rPr>
                <w:b/>
                <w:sz w:val="22"/>
              </w:rPr>
            </w:pPr>
            <w:r>
              <w:rPr>
                <w:b/>
                <w:sz w:val="22"/>
              </w:rPr>
              <w:t>备注</w:t>
            </w:r>
          </w:p>
        </w:tc>
      </w:tr>
      <w:tr>
        <w:tblPrEx/>
        <w:trPr>
          <w:trHeight w:val="630" w:hRule="atLeast"/>
        </w:trPr>
        <w:tc>
          <w:tcPr>
            <w:tcW w:w="719" w:type="dxa"/>
            <w:tcBorders/>
          </w:tcPr>
          <w:p>
            <w:pPr>
              <w:pStyle w:val="style4098"/>
              <w:spacing w:before="8"/>
              <w:rPr>
                <w:rFonts w:ascii="宋体"/>
                <w:sz w:val="15"/>
              </w:rPr>
            </w:pPr>
          </w:p>
          <w:p>
            <w:pPr>
              <w:pStyle w:val="style4098"/>
              <w:ind w:left="116" w:right="107"/>
              <w:jc w:val="center"/>
              <w:rPr>
                <w:rFonts w:ascii="Times New Roman"/>
                <w:sz w:val="20"/>
              </w:rPr>
            </w:pPr>
            <w:r>
              <w:rPr>
                <w:rFonts w:ascii="Times New Roman"/>
                <w:sz w:val="20"/>
              </w:rPr>
              <w:t>18</w:t>
            </w:r>
          </w:p>
        </w:tc>
        <w:tc>
          <w:tcPr>
            <w:tcW w:w="2113" w:type="dxa"/>
            <w:tcBorders/>
          </w:tcPr>
          <w:p>
            <w:pPr>
              <w:pStyle w:val="style4098"/>
              <w:spacing w:before="7"/>
              <w:rPr>
                <w:rFonts w:ascii="宋体"/>
                <w:sz w:val="14"/>
              </w:rPr>
            </w:pPr>
          </w:p>
          <w:p>
            <w:pPr>
              <w:pStyle w:val="style4098"/>
              <w:ind w:left="234" w:right="229"/>
              <w:jc w:val="center"/>
              <w:rPr>
                <w:sz w:val="20"/>
              </w:rPr>
            </w:pPr>
            <w:r>
              <w:rPr>
                <w:sz w:val="20"/>
              </w:rPr>
              <w:t>水池</w:t>
            </w:r>
          </w:p>
        </w:tc>
        <w:tc>
          <w:tcPr>
            <w:tcW w:w="1509" w:type="dxa"/>
            <w:tcBorders/>
          </w:tcPr>
          <w:p>
            <w:pPr>
              <w:pStyle w:val="style4098"/>
              <w:rPr>
                <w:rFonts w:ascii="Times New Roman"/>
                <w:sz w:val="20"/>
              </w:rPr>
            </w:pPr>
          </w:p>
        </w:tc>
        <w:tc>
          <w:tcPr>
            <w:tcW w:w="1336" w:type="dxa"/>
            <w:tcBorders/>
          </w:tcPr>
          <w:p>
            <w:pPr>
              <w:pStyle w:val="style4098"/>
              <w:spacing w:before="187"/>
              <w:ind w:left="411" w:right="403"/>
              <w:jc w:val="center"/>
              <w:rPr>
                <w:rFonts w:ascii="Times New Roman" w:eastAsia="Times New Roman" w:hAnsi="Times New Roman"/>
                <w:sz w:val="20"/>
              </w:rPr>
            </w:pPr>
            <w:r>
              <w:rPr>
                <w:sz w:val="20"/>
              </w:rPr>
              <w:t>元</w:t>
            </w:r>
            <w:r>
              <w:rPr>
                <w:rFonts w:ascii="Times New Roman" w:eastAsia="Times New Roman" w:hAnsi="Times New Roman"/>
                <w:sz w:val="20"/>
              </w:rPr>
              <w:t>/m³</w:t>
            </w:r>
          </w:p>
        </w:tc>
        <w:tc>
          <w:tcPr>
            <w:tcW w:w="1609" w:type="dxa"/>
            <w:tcBorders/>
          </w:tcPr>
          <w:p>
            <w:pPr>
              <w:pStyle w:val="style4098"/>
              <w:spacing w:before="8"/>
              <w:rPr>
                <w:rFonts w:ascii="宋体"/>
                <w:sz w:val="15"/>
              </w:rPr>
            </w:pPr>
          </w:p>
          <w:p>
            <w:pPr>
              <w:pStyle w:val="style4098"/>
              <w:ind w:left="342" w:right="332"/>
              <w:jc w:val="center"/>
              <w:rPr>
                <w:rFonts w:ascii="Times New Roman"/>
                <w:sz w:val="20"/>
              </w:rPr>
            </w:pPr>
            <w:r>
              <w:rPr>
                <w:rFonts w:ascii="Times New Roman"/>
                <w:sz w:val="20"/>
              </w:rPr>
              <w:t>440</w:t>
            </w:r>
          </w:p>
        </w:tc>
        <w:tc>
          <w:tcPr>
            <w:tcW w:w="1486" w:type="dxa"/>
            <w:tcBorders/>
          </w:tcPr>
          <w:p>
            <w:pPr>
              <w:pStyle w:val="style4098"/>
              <w:spacing w:before="7"/>
              <w:rPr>
                <w:rFonts w:ascii="宋体"/>
                <w:sz w:val="14"/>
              </w:rPr>
            </w:pPr>
          </w:p>
          <w:p>
            <w:pPr>
              <w:pStyle w:val="style4098"/>
              <w:ind w:left="421" w:right="414"/>
              <w:jc w:val="center"/>
              <w:rPr>
                <w:sz w:val="20"/>
              </w:rPr>
            </w:pPr>
            <w:r>
              <w:rPr>
                <w:sz w:val="20"/>
              </w:rPr>
              <w:t>按砌体</w:t>
            </w:r>
          </w:p>
        </w:tc>
      </w:tr>
      <w:tr>
        <w:tblPrEx/>
        <w:trPr>
          <w:trHeight w:val="630" w:hRule="atLeast"/>
        </w:trPr>
        <w:tc>
          <w:tcPr>
            <w:tcW w:w="719" w:type="dxa"/>
            <w:tcBorders/>
          </w:tcPr>
          <w:p>
            <w:pPr>
              <w:pStyle w:val="style4098"/>
              <w:spacing w:before="8"/>
              <w:rPr>
                <w:rFonts w:ascii="宋体"/>
                <w:sz w:val="15"/>
              </w:rPr>
            </w:pPr>
          </w:p>
          <w:p>
            <w:pPr>
              <w:pStyle w:val="style4098"/>
              <w:spacing w:before="1"/>
              <w:ind w:left="116" w:right="107"/>
              <w:jc w:val="center"/>
              <w:rPr>
                <w:rFonts w:ascii="Times New Roman"/>
                <w:sz w:val="20"/>
              </w:rPr>
            </w:pPr>
            <w:r>
              <w:rPr>
                <w:rFonts w:ascii="Times New Roman"/>
                <w:sz w:val="20"/>
              </w:rPr>
              <w:t>19</w:t>
            </w:r>
          </w:p>
        </w:tc>
        <w:tc>
          <w:tcPr>
            <w:tcW w:w="2113" w:type="dxa"/>
            <w:tcBorders/>
          </w:tcPr>
          <w:p>
            <w:pPr>
              <w:pStyle w:val="style4098"/>
              <w:spacing w:before="8"/>
              <w:rPr>
                <w:rFonts w:ascii="宋体"/>
                <w:sz w:val="14"/>
              </w:rPr>
            </w:pPr>
          </w:p>
          <w:p>
            <w:pPr>
              <w:pStyle w:val="style4098"/>
              <w:ind w:left="234" w:right="227"/>
              <w:jc w:val="center"/>
              <w:rPr>
                <w:sz w:val="20"/>
              </w:rPr>
            </w:pPr>
            <w:r>
              <w:rPr>
                <w:sz w:val="20"/>
              </w:rPr>
              <w:t>土质粪坑</w:t>
            </w:r>
          </w:p>
        </w:tc>
        <w:tc>
          <w:tcPr>
            <w:tcW w:w="1509" w:type="dxa"/>
            <w:tcBorders/>
          </w:tcPr>
          <w:p>
            <w:pPr>
              <w:pStyle w:val="style4098"/>
              <w:rPr>
                <w:rFonts w:ascii="Times New Roman"/>
                <w:sz w:val="20"/>
              </w:rPr>
            </w:pPr>
          </w:p>
        </w:tc>
        <w:tc>
          <w:tcPr>
            <w:tcW w:w="1336" w:type="dxa"/>
            <w:tcBorders/>
          </w:tcPr>
          <w:p>
            <w:pPr>
              <w:pStyle w:val="style4098"/>
              <w:spacing w:before="188"/>
              <w:ind w:left="409" w:right="403"/>
              <w:jc w:val="center"/>
              <w:rPr>
                <w:sz w:val="20"/>
              </w:rPr>
            </w:pPr>
            <w:r>
              <w:rPr>
                <w:sz w:val="20"/>
              </w:rPr>
              <w:t>元</w:t>
            </w:r>
            <w:r>
              <w:rPr>
                <w:rFonts w:ascii="Times New Roman" w:eastAsia="Times New Roman"/>
                <w:sz w:val="20"/>
              </w:rPr>
              <w:t>/</w:t>
            </w:r>
            <w:r>
              <w:rPr>
                <w:sz w:val="20"/>
              </w:rPr>
              <w:t>个</w:t>
            </w:r>
          </w:p>
        </w:tc>
        <w:tc>
          <w:tcPr>
            <w:tcW w:w="1609" w:type="dxa"/>
            <w:tcBorders/>
          </w:tcPr>
          <w:p>
            <w:pPr>
              <w:pStyle w:val="style4098"/>
              <w:spacing w:before="8"/>
              <w:rPr>
                <w:rFonts w:ascii="宋体"/>
                <w:sz w:val="15"/>
              </w:rPr>
            </w:pPr>
          </w:p>
          <w:p>
            <w:pPr>
              <w:pStyle w:val="style4098"/>
              <w:spacing w:before="1"/>
              <w:ind w:left="342" w:right="332"/>
              <w:jc w:val="center"/>
              <w:rPr>
                <w:rFonts w:ascii="Times New Roman"/>
                <w:sz w:val="20"/>
              </w:rPr>
            </w:pPr>
            <w:r>
              <w:rPr>
                <w:rFonts w:ascii="Times New Roman"/>
                <w:sz w:val="20"/>
              </w:rPr>
              <w:t>550</w:t>
            </w:r>
          </w:p>
        </w:tc>
        <w:tc>
          <w:tcPr>
            <w:tcW w:w="1486" w:type="dxa"/>
            <w:vMerge w:val="restart"/>
            <w:tcBorders/>
          </w:tcPr>
          <w:p>
            <w:pPr>
              <w:pStyle w:val="style4098"/>
              <w:spacing w:lineRule="auto" w:line="292"/>
              <w:ind w:left="43" w:right="31"/>
              <w:rPr>
                <w:sz w:val="20"/>
              </w:rPr>
            </w:pPr>
            <w:r>
              <w:rPr>
                <w:rFonts w:hint="eastAsia"/>
                <w:sz w:val="20"/>
                <w:lang w:val="en-US" w:eastAsia="zh-CN"/>
              </w:rPr>
              <w:t>非服务于被征收房屋，</w:t>
            </w:r>
            <w:r>
              <w:rPr>
                <w:sz w:val="20"/>
              </w:rPr>
              <w:t>独立于被征收房屋外单独使用的</w:t>
            </w:r>
          </w:p>
        </w:tc>
      </w:tr>
      <w:tr>
        <w:tblPrEx/>
        <w:trPr>
          <w:trHeight w:val="630" w:hRule="atLeast"/>
        </w:trPr>
        <w:tc>
          <w:tcPr>
            <w:tcW w:w="719" w:type="dxa"/>
            <w:tcBorders/>
          </w:tcPr>
          <w:p>
            <w:pPr>
              <w:pStyle w:val="style4098"/>
              <w:spacing w:before="9"/>
              <w:rPr>
                <w:rFonts w:ascii="宋体"/>
                <w:sz w:val="15"/>
              </w:rPr>
            </w:pPr>
          </w:p>
          <w:p>
            <w:pPr>
              <w:pStyle w:val="style4098"/>
              <w:ind w:left="116" w:right="107"/>
              <w:jc w:val="center"/>
              <w:rPr>
                <w:rFonts w:ascii="Times New Roman"/>
                <w:sz w:val="20"/>
              </w:rPr>
            </w:pPr>
            <w:r>
              <w:rPr>
                <w:rFonts w:ascii="Times New Roman"/>
                <w:sz w:val="20"/>
              </w:rPr>
              <w:t>20</w:t>
            </w:r>
          </w:p>
        </w:tc>
        <w:tc>
          <w:tcPr>
            <w:tcW w:w="2113" w:type="dxa"/>
            <w:tcBorders/>
          </w:tcPr>
          <w:p>
            <w:pPr>
              <w:pStyle w:val="style4098"/>
              <w:spacing w:before="9"/>
              <w:rPr>
                <w:rFonts w:ascii="宋体"/>
                <w:sz w:val="14"/>
              </w:rPr>
            </w:pPr>
          </w:p>
          <w:p>
            <w:pPr>
              <w:pStyle w:val="style4098"/>
              <w:ind w:left="234" w:right="224"/>
              <w:jc w:val="center"/>
              <w:rPr>
                <w:sz w:val="20"/>
              </w:rPr>
            </w:pPr>
            <w:r>
              <w:rPr>
                <w:sz w:val="20"/>
              </w:rPr>
              <w:t>化粪池</w:t>
            </w:r>
          </w:p>
        </w:tc>
        <w:tc>
          <w:tcPr>
            <w:tcW w:w="1509" w:type="dxa"/>
            <w:tcBorders/>
          </w:tcPr>
          <w:p>
            <w:pPr>
              <w:pStyle w:val="style4098"/>
              <w:rPr>
                <w:rFonts w:ascii="Times New Roman"/>
                <w:sz w:val="20"/>
              </w:rPr>
            </w:pPr>
          </w:p>
        </w:tc>
        <w:tc>
          <w:tcPr>
            <w:tcW w:w="1336" w:type="dxa"/>
            <w:tcBorders/>
          </w:tcPr>
          <w:p>
            <w:pPr>
              <w:pStyle w:val="style4098"/>
              <w:spacing w:before="188"/>
              <w:ind w:left="409" w:right="403"/>
              <w:jc w:val="center"/>
              <w:rPr>
                <w:sz w:val="20"/>
              </w:rPr>
            </w:pPr>
            <w:r>
              <w:rPr>
                <w:sz w:val="20"/>
              </w:rPr>
              <w:t>元</w:t>
            </w:r>
            <w:r>
              <w:rPr>
                <w:rFonts w:ascii="Times New Roman" w:eastAsia="Times New Roman"/>
                <w:sz w:val="20"/>
              </w:rPr>
              <w:t>/</w:t>
            </w:r>
            <w:r>
              <w:rPr>
                <w:sz w:val="20"/>
              </w:rPr>
              <w:t>个</w:t>
            </w:r>
          </w:p>
        </w:tc>
        <w:tc>
          <w:tcPr>
            <w:tcW w:w="1609" w:type="dxa"/>
            <w:tcBorders/>
          </w:tcPr>
          <w:p>
            <w:pPr>
              <w:pStyle w:val="style4098"/>
              <w:spacing w:before="9"/>
              <w:rPr>
                <w:rFonts w:ascii="宋体"/>
                <w:sz w:val="15"/>
              </w:rPr>
            </w:pPr>
          </w:p>
          <w:p>
            <w:pPr>
              <w:pStyle w:val="style4098"/>
              <w:ind w:left="339" w:right="332"/>
              <w:jc w:val="center"/>
              <w:rPr>
                <w:rFonts w:ascii="Times New Roman"/>
                <w:sz w:val="20"/>
              </w:rPr>
            </w:pPr>
            <w:r>
              <w:rPr>
                <w:rFonts w:ascii="Times New Roman"/>
                <w:sz w:val="20"/>
              </w:rPr>
              <w:t>1500</w:t>
            </w:r>
          </w:p>
        </w:tc>
        <w:tc>
          <w:tcPr>
            <w:tcW w:w="1486" w:type="dxa"/>
            <w:vMerge w:val="continue"/>
            <w:tcBorders>
              <w:top w:val="nil"/>
            </w:tcBorders>
          </w:tcPr>
          <w:p>
            <w:pPr>
              <w:pStyle w:val="style0"/>
              <w:rPr>
                <w:sz w:val="2"/>
                <w:szCs w:val="2"/>
              </w:rPr>
            </w:pPr>
          </w:p>
        </w:tc>
      </w:tr>
      <w:tr>
        <w:tblPrEx/>
        <w:trPr>
          <w:trHeight w:val="630" w:hRule="atLeast"/>
        </w:trPr>
        <w:tc>
          <w:tcPr>
            <w:tcW w:w="719" w:type="dxa"/>
            <w:tcBorders/>
          </w:tcPr>
          <w:p>
            <w:pPr>
              <w:pStyle w:val="style4098"/>
              <w:spacing w:before="8"/>
              <w:rPr>
                <w:rFonts w:ascii="宋体"/>
                <w:sz w:val="15"/>
              </w:rPr>
            </w:pPr>
          </w:p>
          <w:p>
            <w:pPr>
              <w:pStyle w:val="style4098"/>
              <w:ind w:left="116" w:right="107"/>
              <w:jc w:val="center"/>
              <w:rPr>
                <w:rFonts w:ascii="Times New Roman"/>
                <w:sz w:val="20"/>
              </w:rPr>
            </w:pPr>
            <w:r>
              <w:rPr>
                <w:rFonts w:ascii="Times New Roman"/>
                <w:sz w:val="20"/>
              </w:rPr>
              <w:t>21</w:t>
            </w:r>
          </w:p>
        </w:tc>
        <w:tc>
          <w:tcPr>
            <w:tcW w:w="2113" w:type="dxa"/>
            <w:tcBorders/>
          </w:tcPr>
          <w:p>
            <w:pPr>
              <w:pStyle w:val="style4098"/>
              <w:spacing w:before="7"/>
              <w:rPr>
                <w:rFonts w:ascii="宋体"/>
                <w:sz w:val="14"/>
              </w:rPr>
            </w:pPr>
          </w:p>
          <w:p>
            <w:pPr>
              <w:pStyle w:val="style4098"/>
              <w:ind w:left="234" w:right="224"/>
              <w:jc w:val="center"/>
              <w:rPr>
                <w:sz w:val="20"/>
              </w:rPr>
            </w:pPr>
            <w:r>
              <w:rPr>
                <w:sz w:val="20"/>
              </w:rPr>
              <w:t>沼气池</w:t>
            </w:r>
          </w:p>
        </w:tc>
        <w:tc>
          <w:tcPr>
            <w:tcW w:w="1509" w:type="dxa"/>
            <w:tcBorders/>
          </w:tcPr>
          <w:p>
            <w:pPr>
              <w:pStyle w:val="style4098"/>
              <w:rPr>
                <w:rFonts w:ascii="Times New Roman"/>
                <w:sz w:val="20"/>
              </w:rPr>
            </w:pPr>
          </w:p>
        </w:tc>
        <w:tc>
          <w:tcPr>
            <w:tcW w:w="1336" w:type="dxa"/>
            <w:tcBorders/>
          </w:tcPr>
          <w:p>
            <w:pPr>
              <w:pStyle w:val="style4098"/>
              <w:spacing w:before="187"/>
              <w:ind w:left="411" w:right="403"/>
              <w:jc w:val="center"/>
              <w:rPr>
                <w:rFonts w:ascii="Times New Roman" w:eastAsia="Times New Roman" w:hAnsi="Times New Roman"/>
                <w:sz w:val="20"/>
              </w:rPr>
            </w:pPr>
            <w:r>
              <w:rPr>
                <w:sz w:val="20"/>
              </w:rPr>
              <w:t>元</w:t>
            </w:r>
            <w:r>
              <w:rPr>
                <w:rFonts w:ascii="Times New Roman" w:eastAsia="Times New Roman" w:hAnsi="Times New Roman"/>
                <w:sz w:val="20"/>
              </w:rPr>
              <w:t>/m³</w:t>
            </w:r>
          </w:p>
        </w:tc>
        <w:tc>
          <w:tcPr>
            <w:tcW w:w="1609" w:type="dxa"/>
            <w:tcBorders/>
          </w:tcPr>
          <w:p>
            <w:pPr>
              <w:pStyle w:val="style4098"/>
              <w:spacing w:before="8"/>
              <w:rPr>
                <w:rFonts w:ascii="宋体"/>
                <w:sz w:val="15"/>
              </w:rPr>
            </w:pPr>
          </w:p>
          <w:p>
            <w:pPr>
              <w:pStyle w:val="style4098"/>
              <w:ind w:left="342" w:right="332"/>
              <w:jc w:val="center"/>
              <w:rPr>
                <w:rFonts w:ascii="Times New Roman"/>
                <w:sz w:val="20"/>
              </w:rPr>
            </w:pPr>
            <w:r>
              <w:rPr>
                <w:rFonts w:ascii="Times New Roman"/>
                <w:sz w:val="20"/>
              </w:rPr>
              <w:t>330</w:t>
            </w:r>
          </w:p>
        </w:tc>
        <w:tc>
          <w:tcPr>
            <w:tcW w:w="1486" w:type="dxa"/>
            <w:tcBorders/>
          </w:tcPr>
          <w:p>
            <w:pPr>
              <w:pStyle w:val="style4098"/>
              <w:spacing w:before="7"/>
              <w:rPr>
                <w:rFonts w:ascii="宋体"/>
                <w:sz w:val="14"/>
              </w:rPr>
            </w:pPr>
          </w:p>
          <w:p>
            <w:pPr>
              <w:pStyle w:val="style4098"/>
              <w:ind w:left="421" w:right="414"/>
              <w:jc w:val="center"/>
              <w:rPr>
                <w:sz w:val="20"/>
              </w:rPr>
            </w:pPr>
            <w:r>
              <w:rPr>
                <w:sz w:val="20"/>
              </w:rPr>
              <w:t>按容积</w:t>
            </w:r>
          </w:p>
        </w:tc>
      </w:tr>
      <w:tr>
        <w:tblPrEx/>
        <w:trPr>
          <w:trHeight w:val="629" w:hRule="atLeast"/>
        </w:trPr>
        <w:tc>
          <w:tcPr>
            <w:tcW w:w="719" w:type="dxa"/>
            <w:tcBorders/>
          </w:tcPr>
          <w:p>
            <w:pPr>
              <w:pStyle w:val="style4098"/>
              <w:spacing w:before="8"/>
              <w:rPr>
                <w:rFonts w:ascii="宋体"/>
                <w:sz w:val="15"/>
              </w:rPr>
            </w:pPr>
          </w:p>
          <w:p>
            <w:pPr>
              <w:pStyle w:val="style4098"/>
              <w:spacing w:before="1"/>
              <w:ind w:left="116" w:right="107"/>
              <w:jc w:val="center"/>
              <w:rPr>
                <w:rFonts w:ascii="Times New Roman"/>
                <w:sz w:val="20"/>
              </w:rPr>
            </w:pPr>
            <w:r>
              <w:rPr>
                <w:rFonts w:ascii="Times New Roman"/>
                <w:sz w:val="20"/>
              </w:rPr>
              <w:t>22</w:t>
            </w:r>
          </w:p>
        </w:tc>
        <w:tc>
          <w:tcPr>
            <w:tcW w:w="2113" w:type="dxa"/>
            <w:tcBorders/>
          </w:tcPr>
          <w:p>
            <w:pPr>
              <w:pStyle w:val="style4098"/>
              <w:spacing w:before="8"/>
              <w:rPr>
                <w:rFonts w:ascii="宋体"/>
                <w:sz w:val="14"/>
              </w:rPr>
            </w:pPr>
          </w:p>
          <w:p>
            <w:pPr>
              <w:pStyle w:val="style4098"/>
              <w:ind w:left="234" w:right="224"/>
              <w:jc w:val="center"/>
              <w:rPr>
                <w:sz w:val="20"/>
              </w:rPr>
            </w:pPr>
            <w:r>
              <w:rPr>
                <w:sz w:val="20"/>
              </w:rPr>
              <w:t>砼水井</w:t>
            </w:r>
          </w:p>
        </w:tc>
        <w:tc>
          <w:tcPr>
            <w:tcW w:w="1509" w:type="dxa"/>
            <w:tcBorders/>
          </w:tcPr>
          <w:p>
            <w:pPr>
              <w:pStyle w:val="style4098"/>
              <w:rPr>
                <w:rFonts w:ascii="Times New Roman"/>
                <w:sz w:val="20"/>
              </w:rPr>
            </w:pPr>
          </w:p>
        </w:tc>
        <w:tc>
          <w:tcPr>
            <w:tcW w:w="1336" w:type="dxa"/>
            <w:tcBorders/>
          </w:tcPr>
          <w:p>
            <w:pPr>
              <w:pStyle w:val="style4098"/>
              <w:spacing w:before="187"/>
              <w:ind w:left="411" w:right="403"/>
              <w:jc w:val="center"/>
              <w:rPr>
                <w:rFonts w:ascii="Times New Roman" w:eastAsia="Times New Roman" w:hAnsi="Times New Roman"/>
                <w:sz w:val="20"/>
              </w:rPr>
            </w:pPr>
            <w:r>
              <w:rPr>
                <w:sz w:val="20"/>
              </w:rPr>
              <w:t>元</w:t>
            </w:r>
            <w:r>
              <w:rPr>
                <w:rFonts w:ascii="Times New Roman" w:eastAsia="Times New Roman" w:hAnsi="Times New Roman"/>
                <w:sz w:val="20"/>
              </w:rPr>
              <w:t>/m³</w:t>
            </w:r>
          </w:p>
        </w:tc>
        <w:tc>
          <w:tcPr>
            <w:tcW w:w="1609" w:type="dxa"/>
            <w:tcBorders/>
          </w:tcPr>
          <w:p>
            <w:pPr>
              <w:pStyle w:val="style4098"/>
              <w:spacing w:before="8"/>
              <w:rPr>
                <w:rFonts w:ascii="宋体"/>
                <w:sz w:val="15"/>
              </w:rPr>
            </w:pPr>
          </w:p>
          <w:p>
            <w:pPr>
              <w:pStyle w:val="style4098"/>
              <w:spacing w:before="1"/>
              <w:ind w:left="342" w:right="332"/>
              <w:jc w:val="center"/>
              <w:rPr>
                <w:rFonts w:ascii="Times New Roman"/>
                <w:sz w:val="20"/>
              </w:rPr>
            </w:pPr>
            <w:r>
              <w:rPr>
                <w:rFonts w:ascii="Times New Roman"/>
                <w:sz w:val="20"/>
              </w:rPr>
              <w:t>200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ind w:left="116" w:right="107"/>
              <w:jc w:val="center"/>
              <w:rPr>
                <w:rFonts w:ascii="Times New Roman"/>
                <w:sz w:val="20"/>
              </w:rPr>
            </w:pPr>
            <w:r>
              <w:rPr>
                <w:rFonts w:ascii="Times New Roman"/>
                <w:sz w:val="20"/>
              </w:rPr>
              <w:t>23</w:t>
            </w:r>
          </w:p>
        </w:tc>
        <w:tc>
          <w:tcPr>
            <w:tcW w:w="2113" w:type="dxa"/>
            <w:tcBorders/>
          </w:tcPr>
          <w:p>
            <w:pPr>
              <w:pStyle w:val="style4098"/>
              <w:spacing w:before="9"/>
              <w:rPr>
                <w:rFonts w:ascii="宋体"/>
                <w:sz w:val="14"/>
              </w:rPr>
            </w:pPr>
          </w:p>
          <w:p>
            <w:pPr>
              <w:pStyle w:val="style4098"/>
              <w:ind w:left="234" w:right="229"/>
              <w:jc w:val="center"/>
              <w:rPr>
                <w:sz w:val="20"/>
              </w:rPr>
            </w:pPr>
            <w:r>
              <w:rPr>
                <w:sz w:val="20"/>
              </w:rPr>
              <w:t>铁门</w:t>
            </w:r>
          </w:p>
        </w:tc>
        <w:tc>
          <w:tcPr>
            <w:tcW w:w="1509" w:type="dxa"/>
            <w:tcBorders/>
          </w:tcPr>
          <w:p>
            <w:pPr>
              <w:pStyle w:val="style4098"/>
              <w:rPr>
                <w:rFonts w:ascii="Times New Roman"/>
                <w:sz w:val="20"/>
              </w:rPr>
            </w:pPr>
          </w:p>
        </w:tc>
        <w:tc>
          <w:tcPr>
            <w:tcW w:w="1336" w:type="dxa"/>
            <w:tcBorders/>
          </w:tcPr>
          <w:p>
            <w:pPr>
              <w:pStyle w:val="style4098"/>
              <w:spacing w:before="188"/>
              <w:ind w:left="409" w:right="403"/>
              <w:jc w:val="center"/>
              <w:rPr>
                <w:sz w:val="20"/>
              </w:rPr>
            </w:pPr>
            <w:r>
              <w:rPr>
                <w:sz w:val="20"/>
              </w:rPr>
              <w:t>元</w:t>
            </w:r>
            <w:r>
              <w:rPr>
                <w:rFonts w:ascii="Times New Roman" w:eastAsia="Times New Roman"/>
                <w:sz w:val="20"/>
              </w:rPr>
              <w:t>/</w:t>
            </w:r>
            <w:r>
              <w:rPr>
                <w:sz w:val="20"/>
              </w:rPr>
              <w:t>㎡</w:t>
            </w:r>
          </w:p>
        </w:tc>
        <w:tc>
          <w:tcPr>
            <w:tcW w:w="1609" w:type="dxa"/>
            <w:tcBorders/>
          </w:tcPr>
          <w:p>
            <w:pPr>
              <w:pStyle w:val="style4098"/>
              <w:spacing w:before="9"/>
              <w:rPr>
                <w:rFonts w:ascii="宋体"/>
                <w:sz w:val="15"/>
              </w:rPr>
            </w:pPr>
          </w:p>
          <w:p>
            <w:pPr>
              <w:pStyle w:val="style4098"/>
              <w:ind w:left="342" w:right="332"/>
              <w:jc w:val="center"/>
              <w:rPr>
                <w:rFonts w:ascii="Times New Roman"/>
                <w:sz w:val="20"/>
              </w:rPr>
            </w:pPr>
            <w:r>
              <w:rPr>
                <w:rFonts w:ascii="Times New Roman"/>
                <w:sz w:val="20"/>
              </w:rPr>
              <w:t>65</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8"/>
              <w:rPr>
                <w:rFonts w:ascii="宋体"/>
                <w:sz w:val="15"/>
              </w:rPr>
            </w:pPr>
          </w:p>
          <w:p>
            <w:pPr>
              <w:pStyle w:val="style4098"/>
              <w:ind w:left="116" w:right="107"/>
              <w:jc w:val="center"/>
              <w:rPr>
                <w:rFonts w:ascii="Times New Roman"/>
                <w:sz w:val="20"/>
              </w:rPr>
            </w:pPr>
            <w:r>
              <w:rPr>
                <w:rFonts w:ascii="Times New Roman"/>
                <w:sz w:val="20"/>
              </w:rPr>
              <w:t>24</w:t>
            </w:r>
          </w:p>
        </w:tc>
        <w:tc>
          <w:tcPr>
            <w:tcW w:w="2113" w:type="dxa"/>
            <w:tcBorders/>
          </w:tcPr>
          <w:p>
            <w:pPr>
              <w:pStyle w:val="style4098"/>
              <w:spacing w:before="7"/>
              <w:rPr>
                <w:rFonts w:ascii="宋体"/>
                <w:sz w:val="14"/>
              </w:rPr>
            </w:pPr>
          </w:p>
          <w:p>
            <w:pPr>
              <w:pStyle w:val="style4098"/>
              <w:ind w:left="234" w:right="224"/>
              <w:jc w:val="center"/>
              <w:rPr>
                <w:sz w:val="20"/>
              </w:rPr>
            </w:pPr>
            <w:r>
              <w:rPr>
                <w:sz w:val="20"/>
              </w:rPr>
              <w:t>铁栏杆</w:t>
            </w:r>
          </w:p>
        </w:tc>
        <w:tc>
          <w:tcPr>
            <w:tcW w:w="1509" w:type="dxa"/>
            <w:tcBorders/>
          </w:tcPr>
          <w:p>
            <w:pPr>
              <w:pStyle w:val="style4098"/>
              <w:rPr>
                <w:rFonts w:ascii="Times New Roman"/>
                <w:sz w:val="20"/>
              </w:rPr>
            </w:pPr>
          </w:p>
        </w:tc>
        <w:tc>
          <w:tcPr>
            <w:tcW w:w="1336" w:type="dxa"/>
            <w:tcBorders/>
          </w:tcPr>
          <w:p>
            <w:pPr>
              <w:pStyle w:val="style4098"/>
              <w:spacing w:before="187"/>
              <w:ind w:left="409" w:right="403"/>
              <w:jc w:val="center"/>
              <w:rPr>
                <w:sz w:val="20"/>
              </w:rPr>
            </w:pPr>
            <w:r>
              <w:rPr>
                <w:sz w:val="20"/>
              </w:rPr>
              <w:t>元</w:t>
            </w:r>
            <w:r>
              <w:rPr>
                <w:rFonts w:ascii="Times New Roman" w:eastAsia="Times New Roman"/>
                <w:sz w:val="20"/>
              </w:rPr>
              <w:t>/</w:t>
            </w:r>
            <w:r>
              <w:rPr>
                <w:sz w:val="20"/>
              </w:rPr>
              <w:t>㎡</w:t>
            </w:r>
          </w:p>
        </w:tc>
        <w:tc>
          <w:tcPr>
            <w:tcW w:w="1609" w:type="dxa"/>
            <w:tcBorders/>
          </w:tcPr>
          <w:p>
            <w:pPr>
              <w:pStyle w:val="style4098"/>
              <w:spacing w:before="189"/>
              <w:ind w:left="343" w:right="332"/>
              <w:jc w:val="center"/>
              <w:rPr>
                <w:rFonts w:ascii="Times New Roman"/>
                <w:sz w:val="22"/>
              </w:rPr>
            </w:pPr>
            <w:r>
              <w:rPr>
                <w:rFonts w:ascii="Times New Roman"/>
                <w:sz w:val="22"/>
              </w:rPr>
              <w:t>40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8"/>
              <w:rPr>
                <w:rFonts w:ascii="宋体"/>
                <w:sz w:val="15"/>
              </w:rPr>
            </w:pPr>
          </w:p>
          <w:p>
            <w:pPr>
              <w:pStyle w:val="style4098"/>
              <w:spacing w:before="1"/>
              <w:ind w:left="116" w:right="107"/>
              <w:jc w:val="center"/>
              <w:rPr>
                <w:rFonts w:ascii="Times New Roman"/>
                <w:sz w:val="20"/>
              </w:rPr>
            </w:pPr>
            <w:r>
              <w:rPr>
                <w:rFonts w:ascii="Times New Roman"/>
                <w:sz w:val="20"/>
              </w:rPr>
              <w:t>25</w:t>
            </w:r>
          </w:p>
        </w:tc>
        <w:tc>
          <w:tcPr>
            <w:tcW w:w="2113" w:type="dxa"/>
            <w:tcBorders/>
          </w:tcPr>
          <w:p>
            <w:pPr>
              <w:pStyle w:val="style4098"/>
              <w:spacing w:before="8"/>
              <w:rPr>
                <w:rFonts w:ascii="宋体"/>
                <w:sz w:val="14"/>
              </w:rPr>
            </w:pPr>
          </w:p>
          <w:p>
            <w:pPr>
              <w:pStyle w:val="style4098"/>
              <w:ind w:left="234" w:right="224"/>
              <w:jc w:val="center"/>
              <w:rPr>
                <w:sz w:val="20"/>
              </w:rPr>
            </w:pPr>
            <w:r>
              <w:rPr>
                <w:sz w:val="20"/>
              </w:rPr>
              <w:t>砖砌灶</w:t>
            </w:r>
          </w:p>
        </w:tc>
        <w:tc>
          <w:tcPr>
            <w:tcW w:w="1509" w:type="dxa"/>
            <w:tcBorders/>
          </w:tcPr>
          <w:p>
            <w:pPr>
              <w:pStyle w:val="style4098"/>
              <w:rPr>
                <w:rFonts w:ascii="Times New Roman"/>
                <w:sz w:val="20"/>
              </w:rPr>
            </w:pPr>
          </w:p>
        </w:tc>
        <w:tc>
          <w:tcPr>
            <w:tcW w:w="1336" w:type="dxa"/>
            <w:tcBorders/>
          </w:tcPr>
          <w:p>
            <w:pPr>
              <w:pStyle w:val="style4098"/>
              <w:spacing w:before="8"/>
              <w:rPr>
                <w:rFonts w:ascii="宋体"/>
                <w:sz w:val="14"/>
              </w:rPr>
            </w:pPr>
          </w:p>
          <w:p>
            <w:pPr>
              <w:pStyle w:val="style4098"/>
              <w:ind w:left="6"/>
              <w:jc w:val="center"/>
              <w:rPr>
                <w:sz w:val="20"/>
              </w:rPr>
            </w:pPr>
            <w:r>
              <w:rPr>
                <w:w w:val="99"/>
                <w:sz w:val="20"/>
              </w:rPr>
              <w:t>眼</w:t>
            </w:r>
          </w:p>
        </w:tc>
        <w:tc>
          <w:tcPr>
            <w:tcW w:w="1609" w:type="dxa"/>
            <w:tcBorders/>
          </w:tcPr>
          <w:p>
            <w:pPr>
              <w:pStyle w:val="style4098"/>
              <w:spacing w:before="8"/>
              <w:rPr>
                <w:rFonts w:ascii="宋体"/>
                <w:sz w:val="15"/>
              </w:rPr>
            </w:pPr>
          </w:p>
          <w:p>
            <w:pPr>
              <w:pStyle w:val="style4098"/>
              <w:spacing w:before="1"/>
              <w:ind w:left="342" w:right="332"/>
              <w:jc w:val="center"/>
              <w:rPr>
                <w:rFonts w:ascii="Times New Roman"/>
                <w:sz w:val="20"/>
              </w:rPr>
            </w:pPr>
            <w:r>
              <w:rPr>
                <w:rFonts w:ascii="Times New Roman"/>
                <w:sz w:val="20"/>
              </w:rPr>
              <w:t>200</w:t>
            </w:r>
          </w:p>
        </w:tc>
        <w:tc>
          <w:tcPr>
            <w:tcW w:w="1486" w:type="dxa"/>
            <w:tcBorders/>
          </w:tcPr>
          <w:p>
            <w:pPr>
              <w:pStyle w:val="style4098"/>
              <w:rPr>
                <w:rFonts w:ascii="Times New Roman"/>
                <w:sz w:val="20"/>
              </w:rPr>
            </w:pPr>
          </w:p>
        </w:tc>
      </w:tr>
      <w:tr>
        <w:tblPrEx/>
        <w:trPr>
          <w:trHeight w:val="580" w:hRule="atLeast"/>
        </w:trPr>
        <w:tc>
          <w:tcPr>
            <w:tcW w:w="719" w:type="dxa"/>
            <w:tcBorders/>
          </w:tcPr>
          <w:p>
            <w:pPr>
              <w:pStyle w:val="style4098"/>
              <w:spacing w:before="175"/>
              <w:ind w:left="116" w:right="107"/>
              <w:jc w:val="center"/>
              <w:rPr>
                <w:rFonts w:ascii="Times New Roman"/>
                <w:sz w:val="20"/>
              </w:rPr>
            </w:pPr>
            <w:r>
              <w:rPr>
                <w:rFonts w:ascii="Times New Roman"/>
                <w:sz w:val="20"/>
              </w:rPr>
              <w:t>26</w:t>
            </w:r>
          </w:p>
        </w:tc>
        <w:tc>
          <w:tcPr>
            <w:tcW w:w="2113" w:type="dxa"/>
            <w:tcBorders/>
          </w:tcPr>
          <w:p>
            <w:pPr>
              <w:pStyle w:val="style4098"/>
              <w:spacing w:before="162"/>
              <w:ind w:left="234" w:right="224"/>
              <w:jc w:val="center"/>
              <w:rPr>
                <w:sz w:val="20"/>
              </w:rPr>
            </w:pPr>
            <w:r>
              <w:rPr>
                <w:sz w:val="20"/>
              </w:rPr>
              <w:t>瓷砖灶</w:t>
            </w:r>
          </w:p>
        </w:tc>
        <w:tc>
          <w:tcPr>
            <w:tcW w:w="1509" w:type="dxa"/>
            <w:tcBorders/>
          </w:tcPr>
          <w:p>
            <w:pPr>
              <w:pStyle w:val="style4098"/>
              <w:rPr>
                <w:rFonts w:ascii="Times New Roman"/>
                <w:sz w:val="20"/>
              </w:rPr>
            </w:pPr>
          </w:p>
        </w:tc>
        <w:tc>
          <w:tcPr>
            <w:tcW w:w="1336" w:type="dxa"/>
            <w:tcBorders/>
          </w:tcPr>
          <w:p>
            <w:pPr>
              <w:pStyle w:val="style4098"/>
              <w:spacing w:before="162"/>
              <w:ind w:left="6"/>
              <w:jc w:val="center"/>
              <w:rPr>
                <w:sz w:val="20"/>
              </w:rPr>
            </w:pPr>
            <w:r>
              <w:rPr>
                <w:w w:val="99"/>
                <w:sz w:val="20"/>
              </w:rPr>
              <w:t>眼</w:t>
            </w:r>
          </w:p>
        </w:tc>
        <w:tc>
          <w:tcPr>
            <w:tcW w:w="1609" w:type="dxa"/>
            <w:tcBorders/>
          </w:tcPr>
          <w:p>
            <w:pPr>
              <w:pStyle w:val="style4098"/>
              <w:spacing w:before="175"/>
              <w:ind w:left="342" w:right="332"/>
              <w:jc w:val="center"/>
              <w:rPr>
                <w:rFonts w:ascii="Times New Roman"/>
                <w:sz w:val="20"/>
              </w:rPr>
            </w:pPr>
            <w:r>
              <w:rPr>
                <w:rFonts w:ascii="Times New Roman"/>
                <w:sz w:val="20"/>
              </w:rPr>
              <w:t>300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10"/>
              <w:rPr>
                <w:rFonts w:ascii="宋体"/>
                <w:sz w:val="15"/>
              </w:rPr>
            </w:pPr>
          </w:p>
          <w:p>
            <w:pPr>
              <w:pStyle w:val="style4098"/>
              <w:ind w:left="116" w:right="107"/>
              <w:jc w:val="center"/>
              <w:rPr>
                <w:rFonts w:ascii="Times New Roman"/>
                <w:sz w:val="20"/>
              </w:rPr>
            </w:pPr>
            <w:r>
              <w:rPr>
                <w:rFonts w:ascii="Times New Roman"/>
                <w:sz w:val="20"/>
              </w:rPr>
              <w:t>27</w:t>
            </w:r>
          </w:p>
        </w:tc>
        <w:tc>
          <w:tcPr>
            <w:tcW w:w="2113" w:type="dxa"/>
            <w:tcBorders/>
          </w:tcPr>
          <w:p>
            <w:pPr>
              <w:pStyle w:val="style4098"/>
              <w:spacing w:before="9"/>
              <w:rPr>
                <w:rFonts w:ascii="宋体"/>
                <w:sz w:val="14"/>
              </w:rPr>
            </w:pPr>
          </w:p>
          <w:p>
            <w:pPr>
              <w:pStyle w:val="style4098"/>
              <w:ind w:left="234" w:right="224"/>
              <w:jc w:val="center"/>
              <w:rPr>
                <w:sz w:val="20"/>
              </w:rPr>
            </w:pPr>
            <w:r>
              <w:rPr>
                <w:sz w:val="20"/>
              </w:rPr>
              <w:t>附属房</w:t>
            </w:r>
          </w:p>
        </w:tc>
        <w:tc>
          <w:tcPr>
            <w:tcW w:w="1509" w:type="dxa"/>
            <w:tcBorders/>
          </w:tcPr>
          <w:p>
            <w:pPr>
              <w:pStyle w:val="style4098"/>
              <w:rPr>
                <w:rFonts w:ascii="Times New Roman"/>
                <w:sz w:val="20"/>
              </w:rPr>
            </w:pPr>
          </w:p>
        </w:tc>
        <w:tc>
          <w:tcPr>
            <w:tcW w:w="1336" w:type="dxa"/>
            <w:tcBorders/>
          </w:tcPr>
          <w:p>
            <w:pPr>
              <w:pStyle w:val="style4098"/>
              <w:spacing w:before="189"/>
              <w:ind w:left="409" w:right="403"/>
              <w:jc w:val="center"/>
              <w:rPr>
                <w:sz w:val="20"/>
              </w:rPr>
            </w:pPr>
            <w:r>
              <w:rPr>
                <w:sz w:val="20"/>
              </w:rPr>
              <w:t>元</w:t>
            </w:r>
            <w:r>
              <w:rPr>
                <w:rFonts w:ascii="Times New Roman" w:eastAsia="Times New Roman"/>
                <w:sz w:val="20"/>
              </w:rPr>
              <w:t>/</w:t>
            </w:r>
            <w:r>
              <w:rPr>
                <w:sz w:val="20"/>
              </w:rPr>
              <w:t>㎡</w:t>
            </w:r>
          </w:p>
        </w:tc>
        <w:tc>
          <w:tcPr>
            <w:tcW w:w="1609" w:type="dxa"/>
            <w:tcBorders/>
          </w:tcPr>
          <w:p>
            <w:pPr>
              <w:pStyle w:val="style4098"/>
              <w:spacing w:before="10"/>
              <w:rPr>
                <w:rFonts w:ascii="宋体"/>
                <w:sz w:val="15"/>
              </w:rPr>
            </w:pPr>
          </w:p>
          <w:p>
            <w:pPr>
              <w:pStyle w:val="style4098"/>
              <w:ind w:left="342" w:right="332"/>
              <w:jc w:val="center"/>
              <w:rPr>
                <w:rFonts w:ascii="Times New Roman"/>
                <w:sz w:val="20"/>
              </w:rPr>
            </w:pPr>
            <w:r>
              <w:rPr>
                <w:rFonts w:ascii="Times New Roman"/>
                <w:sz w:val="20"/>
              </w:rPr>
              <w:t>500</w:t>
            </w:r>
          </w:p>
        </w:tc>
        <w:tc>
          <w:tcPr>
            <w:tcW w:w="1486" w:type="dxa"/>
            <w:tcBorders/>
          </w:tcPr>
          <w:p>
            <w:pPr>
              <w:pStyle w:val="style4098"/>
              <w:rPr>
                <w:rFonts w:ascii="Times New Roman"/>
                <w:sz w:val="20"/>
              </w:rPr>
            </w:pPr>
          </w:p>
        </w:tc>
      </w:tr>
      <w:tr>
        <w:tblPrEx/>
        <w:trPr>
          <w:trHeight w:val="629" w:hRule="atLeast"/>
        </w:trPr>
        <w:tc>
          <w:tcPr>
            <w:tcW w:w="719" w:type="dxa"/>
            <w:tcBorders/>
          </w:tcPr>
          <w:p>
            <w:pPr>
              <w:pStyle w:val="style4098"/>
              <w:spacing w:before="8"/>
              <w:rPr>
                <w:rFonts w:ascii="宋体"/>
                <w:sz w:val="15"/>
              </w:rPr>
            </w:pPr>
          </w:p>
          <w:p>
            <w:pPr>
              <w:pStyle w:val="style4098"/>
              <w:ind w:left="116" w:right="107"/>
              <w:jc w:val="center"/>
              <w:rPr>
                <w:rFonts w:ascii="Times New Roman"/>
                <w:sz w:val="20"/>
              </w:rPr>
            </w:pPr>
            <w:r>
              <w:rPr>
                <w:rFonts w:ascii="Times New Roman"/>
                <w:sz w:val="20"/>
              </w:rPr>
              <w:t>28</w:t>
            </w:r>
          </w:p>
        </w:tc>
        <w:tc>
          <w:tcPr>
            <w:tcW w:w="2113" w:type="dxa"/>
            <w:tcBorders/>
          </w:tcPr>
          <w:p>
            <w:pPr>
              <w:pStyle w:val="style4098"/>
              <w:spacing w:before="8"/>
              <w:rPr>
                <w:rFonts w:ascii="宋体"/>
                <w:sz w:val="14"/>
              </w:rPr>
            </w:pPr>
          </w:p>
          <w:p>
            <w:pPr>
              <w:pStyle w:val="style4098"/>
              <w:ind w:left="234" w:right="227"/>
              <w:jc w:val="center"/>
              <w:rPr>
                <w:sz w:val="20"/>
              </w:rPr>
            </w:pPr>
            <w:r>
              <w:rPr>
                <w:sz w:val="20"/>
              </w:rPr>
              <w:t>活动板房</w:t>
            </w:r>
          </w:p>
        </w:tc>
        <w:tc>
          <w:tcPr>
            <w:tcW w:w="1509" w:type="dxa"/>
            <w:tcBorders/>
          </w:tcPr>
          <w:p>
            <w:pPr>
              <w:pStyle w:val="style4098"/>
              <w:rPr>
                <w:rFonts w:ascii="Times New Roman"/>
                <w:sz w:val="20"/>
              </w:rPr>
            </w:pPr>
          </w:p>
        </w:tc>
        <w:tc>
          <w:tcPr>
            <w:tcW w:w="1336" w:type="dxa"/>
            <w:tcBorders/>
          </w:tcPr>
          <w:p>
            <w:pPr>
              <w:pStyle w:val="style4098"/>
              <w:spacing w:before="187"/>
              <w:ind w:left="409" w:right="403"/>
              <w:jc w:val="center"/>
              <w:rPr>
                <w:sz w:val="20"/>
              </w:rPr>
            </w:pPr>
            <w:r>
              <w:rPr>
                <w:sz w:val="20"/>
              </w:rPr>
              <w:t>元</w:t>
            </w:r>
            <w:r>
              <w:rPr>
                <w:rFonts w:ascii="Times New Roman" w:eastAsia="Times New Roman"/>
                <w:sz w:val="20"/>
              </w:rPr>
              <w:t>/</w:t>
            </w:r>
            <w:r>
              <w:rPr>
                <w:sz w:val="20"/>
              </w:rPr>
              <w:t>㎡</w:t>
            </w:r>
          </w:p>
        </w:tc>
        <w:tc>
          <w:tcPr>
            <w:tcW w:w="1609" w:type="dxa"/>
            <w:tcBorders/>
          </w:tcPr>
          <w:p>
            <w:pPr>
              <w:pStyle w:val="style4098"/>
              <w:spacing w:before="8"/>
              <w:rPr>
                <w:rFonts w:ascii="宋体"/>
                <w:sz w:val="15"/>
              </w:rPr>
            </w:pPr>
          </w:p>
          <w:p>
            <w:pPr>
              <w:pStyle w:val="style4098"/>
              <w:ind w:left="342" w:right="332"/>
              <w:jc w:val="center"/>
              <w:rPr>
                <w:rFonts w:ascii="Times New Roman"/>
                <w:sz w:val="20"/>
              </w:rPr>
            </w:pPr>
            <w:r>
              <w:rPr>
                <w:rFonts w:ascii="Times New Roman"/>
                <w:sz w:val="20"/>
              </w:rPr>
              <w:t>300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spacing w:before="9"/>
              <w:rPr>
                <w:rFonts w:ascii="宋体"/>
                <w:sz w:val="15"/>
              </w:rPr>
            </w:pPr>
          </w:p>
          <w:p>
            <w:pPr>
              <w:pStyle w:val="style4098"/>
              <w:ind w:left="116" w:right="107"/>
              <w:jc w:val="center"/>
              <w:rPr>
                <w:rFonts w:ascii="Times New Roman"/>
                <w:sz w:val="20"/>
              </w:rPr>
            </w:pPr>
            <w:r>
              <w:rPr>
                <w:rFonts w:ascii="Times New Roman"/>
                <w:sz w:val="20"/>
              </w:rPr>
              <w:t>29</w:t>
            </w:r>
          </w:p>
        </w:tc>
        <w:tc>
          <w:tcPr>
            <w:tcW w:w="2113" w:type="dxa"/>
            <w:tcBorders/>
          </w:tcPr>
          <w:p>
            <w:pPr>
              <w:pStyle w:val="style4098"/>
              <w:spacing w:before="8"/>
              <w:rPr>
                <w:rFonts w:ascii="宋体"/>
                <w:sz w:val="14"/>
              </w:rPr>
            </w:pPr>
          </w:p>
          <w:p>
            <w:pPr>
              <w:pStyle w:val="style4098"/>
              <w:spacing w:before="1"/>
              <w:ind w:left="234" w:right="224"/>
              <w:jc w:val="center"/>
              <w:rPr>
                <w:sz w:val="20"/>
              </w:rPr>
            </w:pPr>
            <w:r>
              <w:rPr>
                <w:sz w:val="20"/>
              </w:rPr>
              <w:t>简易棚</w:t>
            </w:r>
          </w:p>
        </w:tc>
        <w:tc>
          <w:tcPr>
            <w:tcW w:w="1509" w:type="dxa"/>
            <w:tcBorders/>
          </w:tcPr>
          <w:p>
            <w:pPr>
              <w:pStyle w:val="style4098"/>
              <w:rPr>
                <w:rFonts w:ascii="Times New Roman"/>
                <w:sz w:val="20"/>
              </w:rPr>
            </w:pPr>
          </w:p>
        </w:tc>
        <w:tc>
          <w:tcPr>
            <w:tcW w:w="1336" w:type="dxa"/>
            <w:tcBorders/>
          </w:tcPr>
          <w:p>
            <w:pPr>
              <w:pStyle w:val="style4098"/>
              <w:spacing w:before="188"/>
              <w:ind w:left="409" w:right="403"/>
              <w:jc w:val="center"/>
              <w:rPr>
                <w:sz w:val="20"/>
              </w:rPr>
            </w:pPr>
            <w:r>
              <w:rPr>
                <w:sz w:val="20"/>
              </w:rPr>
              <w:t>元</w:t>
            </w:r>
            <w:r>
              <w:rPr>
                <w:rFonts w:ascii="Times New Roman" w:eastAsia="Times New Roman"/>
                <w:sz w:val="20"/>
              </w:rPr>
              <w:t>/</w:t>
            </w:r>
            <w:r>
              <w:rPr>
                <w:sz w:val="20"/>
              </w:rPr>
              <w:t>㎡</w:t>
            </w:r>
          </w:p>
        </w:tc>
        <w:tc>
          <w:tcPr>
            <w:tcW w:w="1609" w:type="dxa"/>
            <w:tcBorders/>
          </w:tcPr>
          <w:p>
            <w:pPr>
              <w:pStyle w:val="style4098"/>
              <w:spacing w:before="9"/>
              <w:rPr>
                <w:rFonts w:ascii="宋体"/>
                <w:sz w:val="15"/>
              </w:rPr>
            </w:pPr>
          </w:p>
          <w:p>
            <w:pPr>
              <w:pStyle w:val="style4098"/>
              <w:ind w:left="342" w:right="332"/>
              <w:jc w:val="center"/>
              <w:rPr>
                <w:rFonts w:ascii="Times New Roman"/>
                <w:sz w:val="20"/>
              </w:rPr>
            </w:pPr>
            <w:r>
              <w:rPr>
                <w:rFonts w:ascii="Times New Roman"/>
                <w:sz w:val="20"/>
              </w:rPr>
              <w:t>80</w:t>
            </w:r>
          </w:p>
        </w:tc>
        <w:tc>
          <w:tcPr>
            <w:tcW w:w="1486" w:type="dxa"/>
            <w:tcBorders/>
          </w:tcPr>
          <w:p>
            <w:pPr>
              <w:pStyle w:val="style4098"/>
              <w:rPr>
                <w:rFonts w:ascii="Times New Roman"/>
                <w:sz w:val="20"/>
              </w:rPr>
            </w:pPr>
          </w:p>
        </w:tc>
      </w:tr>
      <w:tr>
        <w:tblPrEx/>
        <w:trPr>
          <w:trHeight w:val="630" w:hRule="atLeast"/>
        </w:trPr>
        <w:tc>
          <w:tcPr>
            <w:tcW w:w="719" w:type="dxa"/>
            <w:tcBorders/>
          </w:tcPr>
          <w:p>
            <w:pPr>
              <w:pStyle w:val="style4098"/>
              <w:rPr>
                <w:rFonts w:ascii="Times New Roman"/>
                <w:sz w:val="20"/>
              </w:rPr>
            </w:pPr>
          </w:p>
        </w:tc>
        <w:tc>
          <w:tcPr>
            <w:tcW w:w="8053" w:type="dxa"/>
            <w:gridSpan w:val="5"/>
            <w:tcBorders/>
          </w:tcPr>
          <w:p>
            <w:pPr>
              <w:pStyle w:val="style4098"/>
              <w:spacing w:before="186"/>
              <w:ind w:left="1480" w:right="1473"/>
              <w:jc w:val="center"/>
              <w:rPr>
                <w:sz w:val="20"/>
              </w:rPr>
            </w:pPr>
            <w:r>
              <w:rPr>
                <w:sz w:val="20"/>
              </w:rPr>
              <w:t>零星树木补偿参照市府发六盘水府函〔</w:t>
            </w:r>
            <w:r>
              <w:rPr>
                <w:rFonts w:ascii="Times New Roman" w:eastAsia="Times New Roman"/>
                <w:sz w:val="20"/>
              </w:rPr>
              <w:t>2020</w:t>
            </w:r>
            <w:r>
              <w:rPr>
                <w:sz w:val="20"/>
              </w:rPr>
              <w:t>〕</w:t>
            </w:r>
            <w:r>
              <w:rPr>
                <w:rFonts w:ascii="Times New Roman" w:eastAsia="Times New Roman"/>
                <w:sz w:val="20"/>
              </w:rPr>
              <w:t xml:space="preserve">44 </w:t>
            </w:r>
            <w:r>
              <w:rPr>
                <w:sz w:val="20"/>
              </w:rPr>
              <w:t>号文执行</w:t>
            </w:r>
          </w:p>
        </w:tc>
      </w:tr>
    </w:tbl>
    <w:p>
      <w:pPr>
        <w:pStyle w:val="style0"/>
        <w:spacing w:after="0"/>
        <w:jc w:val="center"/>
        <w:rPr>
          <w:sz w:val="20"/>
        </w:rPr>
        <w:sectPr>
          <w:pgSz w:w="11910" w:h="16840" w:orient="portrait"/>
          <w:pgMar w:top="1580" w:right="1200" w:bottom="1200" w:left="1460" w:header="0" w:footer="1002" w:gutter="0"/>
          <w:cols w:space="720" w:num="1"/>
        </w:sectPr>
      </w:pPr>
    </w:p>
    <w:p>
      <w:pPr>
        <w:pStyle w:val="style66"/>
        <w:rPr>
          <w:rFonts w:ascii="宋体"/>
          <w:sz w:val="20"/>
        </w:rPr>
      </w:pPr>
    </w:p>
    <w:p>
      <w:pPr>
        <w:pStyle w:val="style66"/>
        <w:spacing w:before="8"/>
        <w:rPr>
          <w:rFonts w:ascii="宋体"/>
          <w:sz w:val="25"/>
        </w:rPr>
      </w:pPr>
    </w:p>
    <w:p>
      <w:pPr>
        <w:pStyle w:val="style0"/>
        <w:spacing w:after="0"/>
        <w:rPr>
          <w:rFonts w:ascii="宋体"/>
          <w:sz w:val="25"/>
        </w:rPr>
        <w:sectPr>
          <w:footerReference w:type="default" r:id="rId4"/>
          <w:pgSz w:w="11910" w:h="16840" w:orient="portrait"/>
          <w:pgMar w:top="1580" w:right="1200" w:bottom="1120" w:left="1460" w:header="0" w:footer="922" w:gutter="0"/>
          <w:pgNumType w:start="20"/>
          <w:cols w:space="720" w:num="1"/>
        </w:sectPr>
      </w:pPr>
    </w:p>
    <w:p>
      <w:pPr>
        <w:pStyle w:val="style66"/>
        <w:spacing w:before="67"/>
        <w:ind w:left="126"/>
        <w:rPr>
          <w:rFonts w:ascii="Times New Roman" w:eastAsia="Times New Roman"/>
        </w:rPr>
      </w:pPr>
      <w:r>
        <w:rPr>
          <w:rFonts w:ascii="黑体" w:eastAsia="黑体" w:hint="eastAsia"/>
          <w:spacing w:val="-19"/>
        </w:rPr>
        <w:t xml:space="preserve">附件 </w:t>
      </w:r>
      <w:r>
        <w:rPr>
          <w:rFonts w:ascii="Times New Roman" w:eastAsia="Times New Roman"/>
        </w:rPr>
        <w:t>2</w:t>
      </w:r>
    </w:p>
    <w:p>
      <w:pPr>
        <w:pStyle w:val="style66"/>
        <w:spacing w:before="8"/>
        <w:rPr>
          <w:rFonts w:ascii="Times New Roman"/>
          <w:sz w:val="49"/>
        </w:rPr>
      </w:pPr>
      <w:r>
        <w:br w:type="column"/>
      </w:r>
    </w:p>
    <w:p>
      <w:pPr>
        <w:pStyle w:val="style2"/>
        <w:ind w:left="126"/>
        <w:rPr/>
      </w:pPr>
      <w:r>
        <w:t>房屋装饰装修补偿标准</w:t>
      </w:r>
    </w:p>
    <w:p>
      <w:pPr>
        <w:pStyle w:val="style0"/>
        <w:spacing w:after="0"/>
        <w:rPr/>
        <w:sectPr>
          <w:type w:val="continuous"/>
          <w:pgSz w:w="11910" w:h="16840" w:orient="portrait"/>
          <w:pgMar w:top="1520" w:right="1200" w:bottom="280" w:left="1460" w:header="720" w:footer="720" w:gutter="0"/>
          <w:cols w:equalWidth="0" w:num="2">
            <w:col w:w="1042" w:space="1272"/>
            <w:col w:w="6936"/>
          </w:cols>
        </w:sectPr>
      </w:pPr>
    </w:p>
    <w:tbl>
      <w:tblPr>
        <w:tblStyle w:val="style105"/>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60"/>
        <w:gridCol w:w="1050"/>
        <w:gridCol w:w="1890"/>
        <w:gridCol w:w="1145"/>
        <w:gridCol w:w="1064"/>
        <w:gridCol w:w="1213"/>
        <w:gridCol w:w="1623"/>
      </w:tblGrid>
      <w:tr>
        <w:trPr>
          <w:trHeight w:val="589" w:hRule="atLeast"/>
        </w:trPr>
        <w:tc>
          <w:tcPr>
            <w:tcW w:w="760" w:type="dxa"/>
            <w:tcBorders/>
          </w:tcPr>
          <w:p>
            <w:pPr>
              <w:pStyle w:val="style4098"/>
              <w:spacing w:before="155"/>
              <w:ind w:left="141" w:right="129"/>
              <w:jc w:val="center"/>
              <w:rPr>
                <w:rFonts w:ascii="黑体" w:eastAsia="黑体" w:hint="eastAsia"/>
                <w:sz w:val="22"/>
              </w:rPr>
            </w:pPr>
            <w:r>
              <w:rPr>
                <w:rFonts w:ascii="黑体" w:eastAsia="黑体" w:hint="eastAsia"/>
                <w:sz w:val="22"/>
              </w:rPr>
              <w:t>序号</w:t>
            </w:r>
          </w:p>
        </w:tc>
        <w:tc>
          <w:tcPr>
            <w:tcW w:w="1050" w:type="dxa"/>
            <w:tcBorders/>
          </w:tcPr>
          <w:p>
            <w:pPr>
              <w:pStyle w:val="style4098"/>
              <w:spacing w:before="155"/>
              <w:ind w:left="305"/>
              <w:rPr>
                <w:rFonts w:ascii="黑体" w:eastAsia="黑体" w:hint="eastAsia"/>
                <w:sz w:val="22"/>
              </w:rPr>
            </w:pPr>
            <w:r>
              <w:rPr>
                <w:rFonts w:ascii="黑体" w:eastAsia="黑体" w:hint="eastAsia"/>
                <w:sz w:val="22"/>
              </w:rPr>
              <w:t>类别</w:t>
            </w:r>
          </w:p>
        </w:tc>
        <w:tc>
          <w:tcPr>
            <w:tcW w:w="1890" w:type="dxa"/>
            <w:tcBorders/>
          </w:tcPr>
          <w:p>
            <w:pPr>
              <w:pStyle w:val="style4098"/>
              <w:spacing w:before="155"/>
              <w:ind w:left="24" w:right="12"/>
              <w:jc w:val="center"/>
              <w:rPr>
                <w:rFonts w:ascii="黑体" w:eastAsia="黑体" w:hint="eastAsia"/>
                <w:sz w:val="22"/>
              </w:rPr>
            </w:pPr>
            <w:r>
              <w:rPr>
                <w:rFonts w:ascii="黑体" w:eastAsia="黑体" w:hint="eastAsia"/>
                <w:sz w:val="22"/>
              </w:rPr>
              <w:t>项目名称</w:t>
            </w:r>
          </w:p>
        </w:tc>
        <w:tc>
          <w:tcPr>
            <w:tcW w:w="1145" w:type="dxa"/>
            <w:tcBorders/>
          </w:tcPr>
          <w:p>
            <w:pPr>
              <w:pStyle w:val="style4098"/>
              <w:spacing w:before="155"/>
              <w:ind w:left="8"/>
              <w:jc w:val="center"/>
              <w:rPr>
                <w:rFonts w:ascii="黑体" w:eastAsia="黑体" w:hint="eastAsia"/>
                <w:sz w:val="22"/>
              </w:rPr>
            </w:pPr>
            <w:r>
              <w:rPr>
                <w:rFonts w:ascii="黑体" w:eastAsia="黑体" w:hint="eastAsia"/>
                <w:sz w:val="22"/>
              </w:rPr>
              <w:t>规格</w:t>
            </w:r>
          </w:p>
        </w:tc>
        <w:tc>
          <w:tcPr>
            <w:tcW w:w="1064" w:type="dxa"/>
            <w:tcBorders/>
          </w:tcPr>
          <w:p>
            <w:pPr>
              <w:pStyle w:val="style4098"/>
              <w:spacing w:before="155"/>
              <w:ind w:left="312"/>
              <w:rPr>
                <w:rFonts w:ascii="黑体" w:eastAsia="黑体" w:hint="eastAsia"/>
                <w:sz w:val="22"/>
              </w:rPr>
            </w:pPr>
            <w:r>
              <w:rPr>
                <w:rFonts w:ascii="黑体" w:eastAsia="黑体" w:hint="eastAsia"/>
                <w:sz w:val="22"/>
              </w:rPr>
              <w:t>单位</w:t>
            </w:r>
          </w:p>
        </w:tc>
        <w:tc>
          <w:tcPr>
            <w:tcW w:w="1213" w:type="dxa"/>
            <w:tcBorders/>
          </w:tcPr>
          <w:p>
            <w:pPr>
              <w:pStyle w:val="style4098"/>
              <w:spacing w:before="155"/>
              <w:ind w:left="145" w:right="137"/>
              <w:jc w:val="center"/>
              <w:rPr>
                <w:rFonts w:ascii="黑体" w:eastAsia="黑体" w:hint="eastAsia"/>
                <w:sz w:val="22"/>
              </w:rPr>
            </w:pPr>
            <w:r>
              <w:rPr>
                <w:rFonts w:ascii="黑体" w:eastAsia="黑体" w:hint="eastAsia"/>
                <w:sz w:val="22"/>
              </w:rPr>
              <w:t>补偿标准</w:t>
            </w:r>
          </w:p>
        </w:tc>
        <w:tc>
          <w:tcPr>
            <w:tcW w:w="1623" w:type="dxa"/>
            <w:tcBorders/>
          </w:tcPr>
          <w:p>
            <w:pPr>
              <w:pStyle w:val="style4098"/>
              <w:spacing w:before="155"/>
              <w:ind w:left="11"/>
              <w:jc w:val="center"/>
              <w:rPr>
                <w:rFonts w:ascii="黑体" w:eastAsia="黑体" w:hint="eastAsia"/>
                <w:sz w:val="22"/>
              </w:rPr>
            </w:pPr>
            <w:r>
              <w:rPr>
                <w:rFonts w:ascii="黑体" w:eastAsia="黑体" w:hint="eastAsia"/>
                <w:sz w:val="22"/>
              </w:rPr>
              <w:t>备注</w:t>
            </w:r>
          </w:p>
        </w:tc>
      </w:tr>
      <w:tr>
        <w:tblPrEx/>
        <w:trPr>
          <w:trHeight w:val="460" w:hRule="atLeast"/>
        </w:trPr>
        <w:tc>
          <w:tcPr>
            <w:tcW w:w="760" w:type="dxa"/>
            <w:tcBorders/>
          </w:tcPr>
          <w:p>
            <w:pPr>
              <w:pStyle w:val="style4098"/>
              <w:spacing w:before="117"/>
              <w:ind w:left="6"/>
              <w:jc w:val="center"/>
              <w:rPr>
                <w:rFonts w:ascii="Times New Roman"/>
                <w:sz w:val="20"/>
              </w:rPr>
            </w:pPr>
            <w:r>
              <w:rPr>
                <w:rFonts w:ascii="Times New Roman"/>
                <w:w w:val="99"/>
                <w:sz w:val="20"/>
              </w:rPr>
              <w:t>1</w:t>
            </w:r>
          </w:p>
        </w:tc>
        <w:tc>
          <w:tcPr>
            <w:tcW w:w="1050" w:type="dxa"/>
            <w:vMerge w:val="restart"/>
            <w:tcBorders/>
          </w:tcPr>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spacing w:before="135"/>
              <w:ind w:left="125"/>
              <w:rPr>
                <w:sz w:val="20"/>
              </w:rPr>
            </w:pPr>
            <w:r>
              <w:rPr>
                <w:sz w:val="20"/>
              </w:rPr>
              <w:t>地面工程</w:t>
            </w:r>
          </w:p>
        </w:tc>
        <w:tc>
          <w:tcPr>
            <w:tcW w:w="1890" w:type="dxa"/>
            <w:tcBorders/>
          </w:tcPr>
          <w:p>
            <w:pPr>
              <w:pStyle w:val="style4098"/>
              <w:spacing w:before="104"/>
              <w:ind w:left="23" w:right="15"/>
              <w:jc w:val="center"/>
              <w:rPr>
                <w:rFonts w:ascii="Times New Roman" w:eastAsia="Times New Roman"/>
                <w:sz w:val="20"/>
              </w:rPr>
            </w:pPr>
            <w:r>
              <w:rPr>
                <w:sz w:val="20"/>
              </w:rPr>
              <w:t xml:space="preserve">地砖 </w:t>
            </w:r>
            <w:r>
              <w:rPr>
                <w:rFonts w:ascii="Times New Roman" w:eastAsia="Times New Roman"/>
                <w:sz w:val="20"/>
              </w:rPr>
              <w:t>1</w:t>
            </w:r>
          </w:p>
        </w:tc>
        <w:tc>
          <w:tcPr>
            <w:tcW w:w="1145" w:type="dxa"/>
            <w:tcBorders/>
          </w:tcPr>
          <w:p>
            <w:pPr>
              <w:pStyle w:val="style4098"/>
              <w:spacing w:before="87"/>
              <w:ind w:left="8"/>
              <w:jc w:val="center"/>
              <w:rPr>
                <w:sz w:val="20"/>
              </w:rPr>
            </w:pPr>
            <w:r>
              <w:rPr>
                <w:rFonts w:ascii="Times New Roman" w:eastAsia="Times New Roman" w:hAnsi="Times New Roman"/>
                <w:sz w:val="20"/>
              </w:rPr>
              <w:t xml:space="preserve">800×800 </w:t>
            </w:r>
            <w:r>
              <w:rPr>
                <w:sz w:val="20"/>
              </w:rPr>
              <w:t>及</w:t>
            </w:r>
          </w:p>
        </w:tc>
        <w:tc>
          <w:tcPr>
            <w:tcW w:w="1064" w:type="dxa"/>
            <w:tcBorders/>
          </w:tcPr>
          <w:p>
            <w:pPr>
              <w:pStyle w:val="style4098"/>
              <w:spacing w:before="104"/>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17"/>
              <w:ind w:left="145" w:right="136"/>
              <w:jc w:val="center"/>
              <w:rPr>
                <w:rFonts w:ascii="Times New Roman"/>
                <w:sz w:val="20"/>
              </w:rPr>
            </w:pPr>
            <w:r>
              <w:rPr>
                <w:rFonts w:ascii="Times New Roman"/>
                <w:sz w:val="20"/>
              </w:rPr>
              <w:t>150</w:t>
            </w:r>
          </w:p>
        </w:tc>
        <w:tc>
          <w:tcPr>
            <w:tcW w:w="1623" w:type="dxa"/>
            <w:tcBorders/>
          </w:tcPr>
          <w:p>
            <w:pPr>
              <w:pStyle w:val="style4098"/>
              <w:rPr>
                <w:rFonts w:ascii="Times New Roman"/>
                <w:sz w:val="20"/>
              </w:rPr>
            </w:pPr>
          </w:p>
        </w:tc>
      </w:tr>
      <w:tr>
        <w:tblPrEx/>
        <w:trPr>
          <w:trHeight w:val="822" w:hRule="atLeast"/>
        </w:trPr>
        <w:tc>
          <w:tcPr>
            <w:tcW w:w="760" w:type="dxa"/>
            <w:tcBorders/>
          </w:tcPr>
          <w:p>
            <w:pPr>
              <w:pStyle w:val="style4098"/>
              <w:spacing w:before="3"/>
              <w:rPr>
                <w:rFonts w:ascii="宋体"/>
                <w:sz w:val="23"/>
              </w:rPr>
            </w:pPr>
          </w:p>
          <w:p>
            <w:pPr>
              <w:pStyle w:val="style4098"/>
              <w:ind w:left="6"/>
              <w:jc w:val="center"/>
              <w:rPr>
                <w:rFonts w:ascii="Times New Roman"/>
                <w:sz w:val="20"/>
              </w:rPr>
            </w:pPr>
            <w:r>
              <w:rPr>
                <w:rFonts w:ascii="Times New Roman"/>
                <w:w w:val="99"/>
                <w:sz w:val="20"/>
              </w:rPr>
              <w:t>2</w:t>
            </w:r>
          </w:p>
        </w:tc>
        <w:tc>
          <w:tcPr>
            <w:tcW w:w="1050" w:type="dxa"/>
            <w:vMerge w:val="continue"/>
            <w:tcBorders>
              <w:top w:val="nil"/>
            </w:tcBorders>
          </w:tcPr>
          <w:p>
            <w:pPr>
              <w:pStyle w:val="style0"/>
              <w:rPr>
                <w:sz w:val="2"/>
                <w:szCs w:val="2"/>
              </w:rPr>
            </w:pPr>
          </w:p>
        </w:tc>
        <w:tc>
          <w:tcPr>
            <w:tcW w:w="1890" w:type="dxa"/>
            <w:tcBorders/>
          </w:tcPr>
          <w:p>
            <w:pPr>
              <w:pStyle w:val="style4098"/>
              <w:spacing w:before="2"/>
              <w:rPr>
                <w:rFonts w:ascii="宋体"/>
                <w:sz w:val="22"/>
              </w:rPr>
            </w:pPr>
          </w:p>
          <w:p>
            <w:pPr>
              <w:pStyle w:val="style4098"/>
              <w:ind w:left="23" w:right="15"/>
              <w:jc w:val="center"/>
              <w:rPr>
                <w:rFonts w:ascii="Times New Roman" w:eastAsia="Times New Roman"/>
                <w:sz w:val="20"/>
              </w:rPr>
            </w:pPr>
            <w:r>
              <w:rPr>
                <w:sz w:val="20"/>
              </w:rPr>
              <w:t xml:space="preserve">地砖 </w:t>
            </w:r>
            <w:r>
              <w:rPr>
                <w:rFonts w:ascii="Times New Roman" w:eastAsia="Times New Roman"/>
                <w:sz w:val="20"/>
              </w:rPr>
              <w:t>2</w:t>
            </w:r>
          </w:p>
        </w:tc>
        <w:tc>
          <w:tcPr>
            <w:tcW w:w="1145" w:type="dxa"/>
            <w:tcBorders/>
          </w:tcPr>
          <w:p>
            <w:pPr>
              <w:pStyle w:val="style4098"/>
              <w:spacing w:before="87"/>
              <w:ind w:left="91"/>
              <w:rPr>
                <w:sz w:val="20"/>
              </w:rPr>
            </w:pPr>
            <w:r>
              <w:rPr>
                <w:rFonts w:ascii="Times New Roman" w:eastAsia="Times New Roman" w:hAnsi="Times New Roman"/>
                <w:sz w:val="20"/>
              </w:rPr>
              <w:t xml:space="preserve">800×800 </w:t>
            </w:r>
            <w:r>
              <w:rPr>
                <w:sz w:val="20"/>
              </w:rPr>
              <w:t>以</w:t>
            </w:r>
          </w:p>
          <w:p>
            <w:pPr>
              <w:pStyle w:val="style4098"/>
              <w:spacing w:before="145"/>
              <w:ind w:left="14"/>
              <w:rPr>
                <w:rFonts w:ascii="Times New Roman" w:eastAsia="Times New Roman" w:hAnsi="Times New Roman"/>
                <w:sz w:val="20"/>
              </w:rPr>
            </w:pPr>
            <w:r>
              <w:rPr>
                <w:sz w:val="20"/>
              </w:rPr>
              <w:t>下，</w:t>
            </w:r>
            <w:r>
              <w:rPr>
                <w:rFonts w:ascii="Times New Roman" w:eastAsia="Times New Roman" w:hAnsi="Times New Roman"/>
                <w:sz w:val="20"/>
              </w:rPr>
              <w:t>400×400</w:t>
            </w:r>
          </w:p>
        </w:tc>
        <w:tc>
          <w:tcPr>
            <w:tcW w:w="1064" w:type="dxa"/>
            <w:tcBorders/>
          </w:tcPr>
          <w:p>
            <w:pPr>
              <w:pStyle w:val="style4098"/>
              <w:spacing w:before="2"/>
              <w:rPr>
                <w:rFonts w:ascii="宋体"/>
                <w:sz w:val="22"/>
              </w:rPr>
            </w:pPr>
          </w:p>
          <w:p>
            <w:pPr>
              <w:pStyle w:val="style4098"/>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3"/>
              <w:rPr>
                <w:rFonts w:ascii="宋体"/>
                <w:sz w:val="23"/>
              </w:rPr>
            </w:pPr>
          </w:p>
          <w:p>
            <w:pPr>
              <w:pStyle w:val="style4098"/>
              <w:ind w:left="145" w:right="136"/>
              <w:jc w:val="center"/>
              <w:rPr>
                <w:rFonts w:ascii="Times New Roman"/>
                <w:sz w:val="20"/>
              </w:rPr>
            </w:pPr>
            <w:r>
              <w:rPr>
                <w:rFonts w:ascii="Times New Roman"/>
                <w:sz w:val="20"/>
              </w:rPr>
              <w:t>80</w:t>
            </w:r>
          </w:p>
        </w:tc>
        <w:tc>
          <w:tcPr>
            <w:tcW w:w="1623" w:type="dxa"/>
            <w:tcBorders/>
          </w:tcPr>
          <w:p>
            <w:pPr>
              <w:pStyle w:val="style4098"/>
              <w:rPr>
                <w:rFonts w:ascii="Times New Roman"/>
                <w:sz w:val="20"/>
              </w:rPr>
            </w:pPr>
          </w:p>
        </w:tc>
      </w:tr>
      <w:tr>
        <w:tblPrEx/>
        <w:trPr>
          <w:trHeight w:val="505" w:hRule="atLeast"/>
        </w:trPr>
        <w:tc>
          <w:tcPr>
            <w:tcW w:w="760" w:type="dxa"/>
            <w:tcBorders/>
          </w:tcPr>
          <w:p>
            <w:pPr>
              <w:pStyle w:val="style4098"/>
              <w:spacing w:before="139"/>
              <w:ind w:left="6"/>
              <w:jc w:val="center"/>
              <w:rPr>
                <w:rFonts w:ascii="Times New Roman"/>
                <w:sz w:val="20"/>
              </w:rPr>
            </w:pPr>
            <w:r>
              <w:rPr>
                <w:rFonts w:ascii="Times New Roman"/>
                <w:w w:val="99"/>
                <w:sz w:val="20"/>
              </w:rPr>
              <w:t>3</w:t>
            </w:r>
          </w:p>
        </w:tc>
        <w:tc>
          <w:tcPr>
            <w:tcW w:w="1050" w:type="dxa"/>
            <w:vMerge w:val="continue"/>
            <w:tcBorders>
              <w:top w:val="nil"/>
            </w:tcBorders>
          </w:tcPr>
          <w:p>
            <w:pPr>
              <w:pStyle w:val="style0"/>
              <w:rPr>
                <w:sz w:val="2"/>
                <w:szCs w:val="2"/>
              </w:rPr>
            </w:pPr>
          </w:p>
        </w:tc>
        <w:tc>
          <w:tcPr>
            <w:tcW w:w="1890" w:type="dxa"/>
            <w:tcBorders/>
          </w:tcPr>
          <w:p>
            <w:pPr>
              <w:pStyle w:val="style4098"/>
              <w:spacing w:before="126"/>
              <w:ind w:left="23" w:right="15"/>
              <w:jc w:val="center"/>
              <w:rPr>
                <w:rFonts w:ascii="Times New Roman" w:eastAsia="Times New Roman"/>
                <w:sz w:val="20"/>
              </w:rPr>
            </w:pPr>
            <w:r>
              <w:rPr>
                <w:sz w:val="20"/>
              </w:rPr>
              <w:t xml:space="preserve">地砖 </w:t>
            </w:r>
            <w:r>
              <w:rPr>
                <w:rFonts w:ascii="Times New Roman" w:eastAsia="Times New Roman"/>
                <w:sz w:val="20"/>
              </w:rPr>
              <w:t>3</w:t>
            </w:r>
          </w:p>
        </w:tc>
        <w:tc>
          <w:tcPr>
            <w:tcW w:w="1145" w:type="dxa"/>
            <w:tcBorders/>
          </w:tcPr>
          <w:p>
            <w:pPr>
              <w:pStyle w:val="style4098"/>
              <w:spacing w:before="87"/>
              <w:ind w:left="8"/>
              <w:jc w:val="center"/>
              <w:rPr>
                <w:sz w:val="20"/>
              </w:rPr>
            </w:pPr>
            <w:r>
              <w:rPr>
                <w:rFonts w:ascii="Times New Roman" w:eastAsia="Times New Roman" w:hAnsi="Times New Roman"/>
                <w:sz w:val="20"/>
              </w:rPr>
              <w:t xml:space="preserve">400×400 </w:t>
            </w:r>
            <w:r>
              <w:rPr>
                <w:sz w:val="20"/>
              </w:rPr>
              <w:t>及</w:t>
            </w:r>
          </w:p>
        </w:tc>
        <w:tc>
          <w:tcPr>
            <w:tcW w:w="1064" w:type="dxa"/>
            <w:tcBorders/>
          </w:tcPr>
          <w:p>
            <w:pPr>
              <w:pStyle w:val="style4098"/>
              <w:spacing w:before="126"/>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39"/>
              <w:ind w:left="145" w:right="136"/>
              <w:jc w:val="center"/>
              <w:rPr>
                <w:rFonts w:ascii="Times New Roman"/>
                <w:sz w:val="20"/>
              </w:rPr>
            </w:pPr>
            <w:r>
              <w:rPr>
                <w:rFonts w:ascii="Times New Roman"/>
                <w:sz w:val="20"/>
              </w:rPr>
              <w:t>60</w:t>
            </w:r>
          </w:p>
        </w:tc>
        <w:tc>
          <w:tcPr>
            <w:tcW w:w="1623" w:type="dxa"/>
            <w:tcBorders/>
          </w:tcPr>
          <w:p>
            <w:pPr>
              <w:pStyle w:val="style4098"/>
              <w:rPr>
                <w:rFonts w:ascii="Times New Roman"/>
                <w:sz w:val="20"/>
              </w:rPr>
            </w:pPr>
          </w:p>
        </w:tc>
      </w:tr>
      <w:tr>
        <w:tblPrEx/>
        <w:trPr>
          <w:trHeight w:val="808" w:hRule="atLeast"/>
        </w:trPr>
        <w:tc>
          <w:tcPr>
            <w:tcW w:w="760" w:type="dxa"/>
            <w:tcBorders/>
          </w:tcPr>
          <w:p>
            <w:pPr>
              <w:pStyle w:val="style4098"/>
              <w:spacing w:before="8"/>
              <w:rPr>
                <w:rFonts w:ascii="宋体"/>
                <w:sz w:val="22"/>
              </w:rPr>
            </w:pPr>
          </w:p>
          <w:p>
            <w:pPr>
              <w:pStyle w:val="style4098"/>
              <w:ind w:left="6"/>
              <w:jc w:val="center"/>
              <w:rPr>
                <w:rFonts w:ascii="Times New Roman"/>
                <w:sz w:val="20"/>
              </w:rPr>
            </w:pPr>
            <w:r>
              <w:rPr>
                <w:rFonts w:ascii="Times New Roman"/>
                <w:w w:val="99"/>
                <w:sz w:val="20"/>
              </w:rPr>
              <w:t>4</w:t>
            </w:r>
          </w:p>
        </w:tc>
        <w:tc>
          <w:tcPr>
            <w:tcW w:w="1050" w:type="dxa"/>
            <w:vMerge w:val="continue"/>
            <w:tcBorders>
              <w:top w:val="nil"/>
            </w:tcBorders>
          </w:tcPr>
          <w:p>
            <w:pPr>
              <w:pStyle w:val="style0"/>
              <w:rPr>
                <w:sz w:val="2"/>
                <w:szCs w:val="2"/>
              </w:rPr>
            </w:pPr>
          </w:p>
        </w:tc>
        <w:tc>
          <w:tcPr>
            <w:tcW w:w="1890" w:type="dxa"/>
            <w:tcBorders/>
          </w:tcPr>
          <w:p>
            <w:pPr>
              <w:pStyle w:val="style4098"/>
              <w:spacing w:before="87"/>
              <w:ind w:left="24" w:right="15"/>
              <w:jc w:val="center"/>
              <w:rPr>
                <w:sz w:val="20"/>
              </w:rPr>
            </w:pPr>
            <w:r>
              <w:rPr>
                <w:sz w:val="20"/>
              </w:rPr>
              <w:t>花岗石（大理石）地</w:t>
            </w:r>
          </w:p>
          <w:p>
            <w:pPr>
              <w:pStyle w:val="style4098"/>
              <w:spacing w:before="145"/>
              <w:ind w:left="7"/>
              <w:jc w:val="center"/>
              <w:rPr>
                <w:sz w:val="20"/>
              </w:rPr>
            </w:pPr>
            <w:r>
              <w:rPr>
                <w:w w:val="99"/>
                <w:sz w:val="20"/>
              </w:rPr>
              <w:t>板</w:t>
            </w:r>
          </w:p>
        </w:tc>
        <w:tc>
          <w:tcPr>
            <w:tcW w:w="1145" w:type="dxa"/>
            <w:tcBorders/>
          </w:tcPr>
          <w:p>
            <w:pPr>
              <w:pStyle w:val="style4098"/>
              <w:rPr>
                <w:rFonts w:ascii="Times New Roman"/>
                <w:sz w:val="20"/>
              </w:rPr>
            </w:pPr>
          </w:p>
        </w:tc>
        <w:tc>
          <w:tcPr>
            <w:tcW w:w="1064" w:type="dxa"/>
            <w:tcBorders/>
          </w:tcPr>
          <w:p>
            <w:pPr>
              <w:pStyle w:val="style4098"/>
              <w:spacing w:before="8"/>
              <w:rPr>
                <w:rFonts w:ascii="宋体"/>
                <w:sz w:val="21"/>
              </w:rPr>
            </w:pPr>
          </w:p>
          <w:p>
            <w:pPr>
              <w:pStyle w:val="style4098"/>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8"/>
              <w:rPr>
                <w:rFonts w:ascii="宋体"/>
                <w:sz w:val="22"/>
              </w:rPr>
            </w:pPr>
          </w:p>
          <w:p>
            <w:pPr>
              <w:pStyle w:val="style4098"/>
              <w:ind w:left="145" w:right="136"/>
              <w:jc w:val="center"/>
              <w:rPr>
                <w:rFonts w:ascii="Times New Roman"/>
                <w:sz w:val="20"/>
              </w:rPr>
            </w:pPr>
            <w:r>
              <w:rPr>
                <w:rFonts w:ascii="Times New Roman"/>
                <w:sz w:val="20"/>
              </w:rPr>
              <w:t>160</w:t>
            </w:r>
          </w:p>
        </w:tc>
        <w:tc>
          <w:tcPr>
            <w:tcW w:w="1623" w:type="dxa"/>
            <w:tcBorders/>
          </w:tcPr>
          <w:p>
            <w:pPr>
              <w:pStyle w:val="style4098"/>
              <w:rPr>
                <w:rFonts w:ascii="Times New Roman"/>
                <w:sz w:val="20"/>
              </w:rPr>
            </w:pPr>
          </w:p>
        </w:tc>
      </w:tr>
      <w:tr>
        <w:tblPrEx/>
        <w:trPr>
          <w:trHeight w:val="617" w:hRule="atLeast"/>
        </w:trPr>
        <w:tc>
          <w:tcPr>
            <w:tcW w:w="760" w:type="dxa"/>
            <w:tcBorders/>
          </w:tcPr>
          <w:p>
            <w:pPr>
              <w:pStyle w:val="style4098"/>
              <w:spacing w:before="195"/>
              <w:ind w:left="6"/>
              <w:jc w:val="center"/>
              <w:rPr>
                <w:rFonts w:ascii="Times New Roman"/>
                <w:sz w:val="20"/>
              </w:rPr>
            </w:pPr>
            <w:r>
              <w:rPr>
                <w:rFonts w:ascii="Times New Roman"/>
                <w:w w:val="99"/>
                <w:sz w:val="20"/>
              </w:rPr>
              <w:t>5</w:t>
            </w:r>
          </w:p>
        </w:tc>
        <w:tc>
          <w:tcPr>
            <w:tcW w:w="1050" w:type="dxa"/>
            <w:vMerge w:val="continue"/>
            <w:tcBorders>
              <w:top w:val="nil"/>
            </w:tcBorders>
          </w:tcPr>
          <w:p>
            <w:pPr>
              <w:pStyle w:val="style0"/>
              <w:rPr>
                <w:sz w:val="2"/>
                <w:szCs w:val="2"/>
              </w:rPr>
            </w:pPr>
          </w:p>
        </w:tc>
        <w:tc>
          <w:tcPr>
            <w:tcW w:w="1890" w:type="dxa"/>
            <w:tcBorders/>
          </w:tcPr>
          <w:p>
            <w:pPr>
              <w:pStyle w:val="style4098"/>
              <w:spacing w:before="2"/>
              <w:rPr>
                <w:rFonts w:ascii="宋体"/>
                <w:sz w:val="14"/>
              </w:rPr>
            </w:pPr>
          </w:p>
          <w:p>
            <w:pPr>
              <w:pStyle w:val="style4098"/>
              <w:ind w:left="24" w:right="15"/>
              <w:jc w:val="center"/>
              <w:rPr>
                <w:sz w:val="20"/>
              </w:rPr>
            </w:pPr>
            <w:r>
              <w:rPr>
                <w:sz w:val="20"/>
              </w:rPr>
              <w:t>木地板</w:t>
            </w:r>
          </w:p>
        </w:tc>
        <w:tc>
          <w:tcPr>
            <w:tcW w:w="1145" w:type="dxa"/>
            <w:tcBorders/>
          </w:tcPr>
          <w:p>
            <w:pPr>
              <w:pStyle w:val="style4098"/>
              <w:rPr>
                <w:rFonts w:ascii="Times New Roman"/>
                <w:sz w:val="20"/>
              </w:rPr>
            </w:pPr>
          </w:p>
        </w:tc>
        <w:tc>
          <w:tcPr>
            <w:tcW w:w="1064" w:type="dxa"/>
            <w:tcBorders/>
          </w:tcPr>
          <w:p>
            <w:pPr>
              <w:pStyle w:val="style4098"/>
              <w:spacing w:before="181"/>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95"/>
              <w:ind w:left="145" w:right="136"/>
              <w:jc w:val="center"/>
              <w:rPr>
                <w:rFonts w:ascii="Times New Roman"/>
                <w:sz w:val="20"/>
              </w:rPr>
            </w:pPr>
            <w:r>
              <w:rPr>
                <w:rFonts w:ascii="Times New Roman"/>
                <w:sz w:val="20"/>
              </w:rPr>
              <w:t>80</w:t>
            </w:r>
          </w:p>
        </w:tc>
        <w:tc>
          <w:tcPr>
            <w:tcW w:w="1623" w:type="dxa"/>
            <w:tcBorders/>
          </w:tcPr>
          <w:p>
            <w:pPr>
              <w:pStyle w:val="style4098"/>
              <w:spacing w:before="2"/>
              <w:rPr>
                <w:rFonts w:ascii="宋体"/>
                <w:sz w:val="14"/>
              </w:rPr>
            </w:pPr>
          </w:p>
          <w:p>
            <w:pPr>
              <w:pStyle w:val="style4098"/>
              <w:ind w:left="8"/>
              <w:jc w:val="center"/>
              <w:rPr>
                <w:sz w:val="20"/>
              </w:rPr>
            </w:pPr>
            <w:r>
              <w:rPr>
                <w:sz w:val="20"/>
              </w:rPr>
              <w:t>补偿价含地脚线</w:t>
            </w:r>
          </w:p>
        </w:tc>
      </w:tr>
      <w:tr>
        <w:tblPrEx/>
        <w:trPr>
          <w:trHeight w:val="453" w:hRule="atLeast"/>
        </w:trPr>
        <w:tc>
          <w:tcPr>
            <w:tcW w:w="760" w:type="dxa"/>
            <w:tcBorders/>
          </w:tcPr>
          <w:p>
            <w:pPr>
              <w:pStyle w:val="style4098"/>
              <w:spacing w:before="114"/>
              <w:ind w:left="6"/>
              <w:jc w:val="center"/>
              <w:rPr>
                <w:rFonts w:ascii="Times New Roman"/>
                <w:sz w:val="20"/>
              </w:rPr>
            </w:pPr>
            <w:r>
              <w:rPr>
                <w:rFonts w:ascii="Times New Roman"/>
                <w:w w:val="99"/>
                <w:sz w:val="20"/>
              </w:rPr>
              <w:t>6</w:t>
            </w:r>
          </w:p>
        </w:tc>
        <w:tc>
          <w:tcPr>
            <w:tcW w:w="1050" w:type="dxa"/>
            <w:vMerge w:val="continue"/>
            <w:tcBorders>
              <w:top w:val="nil"/>
            </w:tcBorders>
          </w:tcPr>
          <w:p>
            <w:pPr>
              <w:pStyle w:val="style0"/>
              <w:rPr>
                <w:sz w:val="2"/>
                <w:szCs w:val="2"/>
              </w:rPr>
            </w:pPr>
          </w:p>
        </w:tc>
        <w:tc>
          <w:tcPr>
            <w:tcW w:w="1890" w:type="dxa"/>
            <w:tcBorders/>
          </w:tcPr>
          <w:p>
            <w:pPr>
              <w:pStyle w:val="style4098"/>
              <w:spacing w:before="101"/>
              <w:ind w:left="24" w:right="15"/>
              <w:jc w:val="center"/>
              <w:rPr>
                <w:sz w:val="20"/>
              </w:rPr>
            </w:pPr>
            <w:r>
              <w:rPr>
                <w:sz w:val="20"/>
              </w:rPr>
              <w:t>水磨石</w:t>
            </w:r>
          </w:p>
        </w:tc>
        <w:tc>
          <w:tcPr>
            <w:tcW w:w="1145" w:type="dxa"/>
            <w:tcBorders/>
          </w:tcPr>
          <w:p>
            <w:pPr>
              <w:pStyle w:val="style4098"/>
              <w:rPr>
                <w:rFonts w:ascii="Times New Roman"/>
                <w:sz w:val="20"/>
              </w:rPr>
            </w:pPr>
          </w:p>
        </w:tc>
        <w:tc>
          <w:tcPr>
            <w:tcW w:w="1064" w:type="dxa"/>
            <w:tcBorders/>
          </w:tcPr>
          <w:p>
            <w:pPr>
              <w:pStyle w:val="style4098"/>
              <w:spacing w:before="101"/>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14"/>
              <w:ind w:left="145" w:right="136"/>
              <w:jc w:val="center"/>
              <w:rPr>
                <w:rFonts w:ascii="Times New Roman"/>
                <w:sz w:val="20"/>
              </w:rPr>
            </w:pPr>
            <w:r>
              <w:rPr>
                <w:rFonts w:ascii="Times New Roman"/>
                <w:sz w:val="20"/>
              </w:rPr>
              <w:t>70</w:t>
            </w:r>
          </w:p>
        </w:tc>
        <w:tc>
          <w:tcPr>
            <w:tcW w:w="1623" w:type="dxa"/>
            <w:tcBorders/>
          </w:tcPr>
          <w:p>
            <w:pPr>
              <w:pStyle w:val="style4098"/>
              <w:rPr>
                <w:rFonts w:ascii="Times New Roman"/>
                <w:sz w:val="20"/>
              </w:rPr>
            </w:pPr>
          </w:p>
        </w:tc>
      </w:tr>
      <w:tr>
        <w:tblPrEx/>
        <w:trPr>
          <w:trHeight w:val="451" w:hRule="atLeast"/>
        </w:trPr>
        <w:tc>
          <w:tcPr>
            <w:tcW w:w="760" w:type="dxa"/>
            <w:tcBorders/>
          </w:tcPr>
          <w:p>
            <w:pPr>
              <w:pStyle w:val="style4098"/>
              <w:spacing w:before="111"/>
              <w:ind w:left="6"/>
              <w:jc w:val="center"/>
              <w:rPr>
                <w:rFonts w:ascii="Times New Roman"/>
                <w:sz w:val="20"/>
              </w:rPr>
            </w:pPr>
            <w:r>
              <w:rPr>
                <w:rFonts w:ascii="Times New Roman"/>
                <w:w w:val="99"/>
                <w:sz w:val="20"/>
              </w:rPr>
              <w:t>7</w:t>
            </w:r>
          </w:p>
        </w:tc>
        <w:tc>
          <w:tcPr>
            <w:tcW w:w="1050" w:type="dxa"/>
            <w:vMerge w:val="continue"/>
            <w:tcBorders>
              <w:top w:val="nil"/>
            </w:tcBorders>
          </w:tcPr>
          <w:p>
            <w:pPr>
              <w:pStyle w:val="style0"/>
              <w:rPr>
                <w:sz w:val="2"/>
                <w:szCs w:val="2"/>
              </w:rPr>
            </w:pPr>
          </w:p>
        </w:tc>
        <w:tc>
          <w:tcPr>
            <w:tcW w:w="1890" w:type="dxa"/>
            <w:tcBorders/>
          </w:tcPr>
          <w:p>
            <w:pPr>
              <w:pStyle w:val="style4098"/>
              <w:spacing w:before="97"/>
              <w:ind w:left="22" w:right="15"/>
              <w:jc w:val="center"/>
              <w:rPr>
                <w:sz w:val="20"/>
              </w:rPr>
            </w:pPr>
            <w:r>
              <w:rPr>
                <w:sz w:val="20"/>
              </w:rPr>
              <w:t>地板铜条</w:t>
            </w:r>
          </w:p>
        </w:tc>
        <w:tc>
          <w:tcPr>
            <w:tcW w:w="1145" w:type="dxa"/>
            <w:tcBorders/>
          </w:tcPr>
          <w:p>
            <w:pPr>
              <w:pStyle w:val="style4098"/>
              <w:rPr>
                <w:rFonts w:ascii="Times New Roman"/>
                <w:sz w:val="20"/>
              </w:rPr>
            </w:pPr>
          </w:p>
        </w:tc>
        <w:tc>
          <w:tcPr>
            <w:tcW w:w="1064" w:type="dxa"/>
            <w:tcBorders/>
          </w:tcPr>
          <w:p>
            <w:pPr>
              <w:pStyle w:val="style4098"/>
              <w:spacing w:before="97"/>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11"/>
              <w:ind w:left="145" w:right="136"/>
              <w:jc w:val="center"/>
              <w:rPr>
                <w:rFonts w:ascii="Times New Roman"/>
                <w:sz w:val="20"/>
              </w:rPr>
            </w:pPr>
            <w:r>
              <w:rPr>
                <w:rFonts w:ascii="Times New Roman"/>
                <w:sz w:val="20"/>
              </w:rPr>
              <w:t>20</w:t>
            </w:r>
          </w:p>
        </w:tc>
        <w:tc>
          <w:tcPr>
            <w:tcW w:w="1623" w:type="dxa"/>
            <w:tcBorders/>
          </w:tcPr>
          <w:p>
            <w:pPr>
              <w:pStyle w:val="style4098"/>
              <w:rPr>
                <w:rFonts w:ascii="Times New Roman"/>
                <w:sz w:val="20"/>
              </w:rPr>
            </w:pPr>
          </w:p>
        </w:tc>
      </w:tr>
      <w:tr>
        <w:tblPrEx/>
        <w:trPr>
          <w:trHeight w:val="460" w:hRule="atLeast"/>
        </w:trPr>
        <w:tc>
          <w:tcPr>
            <w:tcW w:w="760" w:type="dxa"/>
            <w:tcBorders/>
          </w:tcPr>
          <w:p>
            <w:pPr>
              <w:pStyle w:val="style4098"/>
              <w:spacing w:before="115"/>
              <w:ind w:left="6"/>
              <w:jc w:val="center"/>
              <w:rPr>
                <w:rFonts w:ascii="Times New Roman"/>
                <w:sz w:val="20"/>
              </w:rPr>
            </w:pPr>
            <w:r>
              <w:rPr>
                <w:rFonts w:ascii="Times New Roman"/>
                <w:w w:val="99"/>
                <w:sz w:val="20"/>
              </w:rPr>
              <w:t>8</w:t>
            </w:r>
          </w:p>
        </w:tc>
        <w:tc>
          <w:tcPr>
            <w:tcW w:w="1050" w:type="dxa"/>
            <w:vMerge w:val="continue"/>
            <w:tcBorders>
              <w:top w:val="nil"/>
            </w:tcBorders>
          </w:tcPr>
          <w:p>
            <w:pPr>
              <w:pStyle w:val="style0"/>
              <w:rPr>
                <w:sz w:val="2"/>
                <w:szCs w:val="2"/>
              </w:rPr>
            </w:pPr>
          </w:p>
        </w:tc>
        <w:tc>
          <w:tcPr>
            <w:tcW w:w="1890" w:type="dxa"/>
            <w:tcBorders/>
          </w:tcPr>
          <w:p>
            <w:pPr>
              <w:pStyle w:val="style4098"/>
              <w:spacing w:before="102"/>
              <w:ind w:left="23" w:right="15"/>
              <w:jc w:val="center"/>
              <w:rPr>
                <w:rFonts w:ascii="Times New Roman" w:eastAsia="Times New Roman"/>
                <w:sz w:val="20"/>
              </w:rPr>
            </w:pPr>
            <w:r>
              <w:rPr>
                <w:sz w:val="20"/>
              </w:rPr>
              <w:t xml:space="preserve">地脚线 </w:t>
            </w:r>
            <w:r>
              <w:rPr>
                <w:rFonts w:ascii="Times New Roman" w:eastAsia="Times New Roman"/>
                <w:sz w:val="20"/>
              </w:rPr>
              <w:t>1</w:t>
            </w:r>
          </w:p>
        </w:tc>
        <w:tc>
          <w:tcPr>
            <w:tcW w:w="1145" w:type="dxa"/>
            <w:tcBorders/>
          </w:tcPr>
          <w:p>
            <w:pPr>
              <w:pStyle w:val="style4098"/>
              <w:spacing w:before="102"/>
              <w:ind w:left="8"/>
              <w:jc w:val="center"/>
              <w:rPr>
                <w:sz w:val="20"/>
              </w:rPr>
            </w:pPr>
            <w:r>
              <w:rPr>
                <w:sz w:val="20"/>
              </w:rPr>
              <w:t>瓷砖类</w:t>
            </w:r>
          </w:p>
        </w:tc>
        <w:tc>
          <w:tcPr>
            <w:tcW w:w="1064" w:type="dxa"/>
            <w:tcBorders/>
          </w:tcPr>
          <w:p>
            <w:pPr>
              <w:pStyle w:val="style4098"/>
              <w:spacing w:before="102"/>
              <w:ind w:left="326"/>
              <w:rPr>
                <w:rFonts w:ascii="Times New Roman" w:eastAsia="Times New Roman"/>
                <w:sz w:val="20"/>
              </w:rPr>
            </w:pPr>
            <w:r>
              <w:rPr>
                <w:sz w:val="20"/>
              </w:rPr>
              <w:t>元</w:t>
            </w:r>
            <w:r>
              <w:rPr>
                <w:rFonts w:ascii="Times New Roman" w:eastAsia="Times New Roman"/>
                <w:sz w:val="20"/>
              </w:rPr>
              <w:t>/m</w:t>
            </w:r>
          </w:p>
        </w:tc>
        <w:tc>
          <w:tcPr>
            <w:tcW w:w="1213" w:type="dxa"/>
            <w:tcBorders/>
          </w:tcPr>
          <w:p>
            <w:pPr>
              <w:pStyle w:val="style4098"/>
              <w:spacing w:before="115"/>
              <w:ind w:left="145" w:right="136"/>
              <w:jc w:val="center"/>
              <w:rPr>
                <w:rFonts w:ascii="Times New Roman"/>
                <w:sz w:val="20"/>
              </w:rPr>
            </w:pPr>
            <w:r>
              <w:rPr>
                <w:rFonts w:ascii="Times New Roman"/>
                <w:sz w:val="20"/>
              </w:rPr>
              <w:t>30</w:t>
            </w:r>
          </w:p>
        </w:tc>
        <w:tc>
          <w:tcPr>
            <w:tcW w:w="1623" w:type="dxa"/>
            <w:tcBorders/>
          </w:tcPr>
          <w:p>
            <w:pPr>
              <w:pStyle w:val="style4098"/>
              <w:rPr>
                <w:rFonts w:ascii="Times New Roman"/>
                <w:sz w:val="20"/>
              </w:rPr>
            </w:pPr>
          </w:p>
        </w:tc>
      </w:tr>
      <w:tr>
        <w:tblPrEx/>
        <w:trPr>
          <w:trHeight w:val="477" w:hRule="atLeast"/>
        </w:trPr>
        <w:tc>
          <w:tcPr>
            <w:tcW w:w="760" w:type="dxa"/>
            <w:tcBorders/>
          </w:tcPr>
          <w:p>
            <w:pPr>
              <w:pStyle w:val="style4098"/>
              <w:spacing w:before="125"/>
              <w:ind w:left="6"/>
              <w:jc w:val="center"/>
              <w:rPr>
                <w:rFonts w:ascii="Times New Roman"/>
                <w:sz w:val="20"/>
              </w:rPr>
            </w:pPr>
            <w:r>
              <w:rPr>
                <w:rFonts w:ascii="Times New Roman"/>
                <w:w w:val="99"/>
                <w:sz w:val="20"/>
              </w:rPr>
              <w:t>9</w:t>
            </w:r>
          </w:p>
        </w:tc>
        <w:tc>
          <w:tcPr>
            <w:tcW w:w="1050" w:type="dxa"/>
            <w:vMerge w:val="continue"/>
            <w:tcBorders>
              <w:top w:val="nil"/>
            </w:tcBorders>
          </w:tcPr>
          <w:p>
            <w:pPr>
              <w:pStyle w:val="style0"/>
              <w:rPr>
                <w:sz w:val="2"/>
                <w:szCs w:val="2"/>
              </w:rPr>
            </w:pPr>
          </w:p>
        </w:tc>
        <w:tc>
          <w:tcPr>
            <w:tcW w:w="1890" w:type="dxa"/>
            <w:tcBorders/>
          </w:tcPr>
          <w:p>
            <w:pPr>
              <w:pStyle w:val="style4098"/>
              <w:spacing w:before="112"/>
              <w:ind w:left="23" w:right="15"/>
              <w:jc w:val="center"/>
              <w:rPr>
                <w:rFonts w:ascii="Times New Roman" w:eastAsia="Times New Roman"/>
                <w:sz w:val="20"/>
              </w:rPr>
            </w:pPr>
            <w:r>
              <w:rPr>
                <w:sz w:val="20"/>
              </w:rPr>
              <w:t xml:space="preserve">地脚线 </w:t>
            </w:r>
            <w:r>
              <w:rPr>
                <w:rFonts w:ascii="Times New Roman" w:eastAsia="Times New Roman"/>
                <w:sz w:val="20"/>
              </w:rPr>
              <w:t>2</w:t>
            </w:r>
          </w:p>
        </w:tc>
        <w:tc>
          <w:tcPr>
            <w:tcW w:w="1145" w:type="dxa"/>
            <w:tcBorders/>
          </w:tcPr>
          <w:p>
            <w:pPr>
              <w:pStyle w:val="style4098"/>
              <w:spacing w:before="99"/>
              <w:ind w:left="6"/>
              <w:jc w:val="center"/>
              <w:rPr>
                <w:sz w:val="22"/>
              </w:rPr>
            </w:pPr>
            <w:r>
              <w:rPr>
                <w:sz w:val="22"/>
              </w:rPr>
              <w:t>石材类</w:t>
            </w:r>
          </w:p>
        </w:tc>
        <w:tc>
          <w:tcPr>
            <w:tcW w:w="1064" w:type="dxa"/>
            <w:tcBorders/>
          </w:tcPr>
          <w:p>
            <w:pPr>
              <w:pStyle w:val="style4098"/>
              <w:spacing w:before="112"/>
              <w:ind w:left="326"/>
              <w:rPr>
                <w:rFonts w:ascii="Times New Roman" w:eastAsia="Times New Roman"/>
                <w:sz w:val="20"/>
              </w:rPr>
            </w:pPr>
            <w:r>
              <w:rPr>
                <w:sz w:val="20"/>
              </w:rPr>
              <w:t>元</w:t>
            </w:r>
            <w:r>
              <w:rPr>
                <w:rFonts w:ascii="Times New Roman" w:eastAsia="Times New Roman"/>
                <w:sz w:val="20"/>
              </w:rPr>
              <w:t>/m</w:t>
            </w:r>
          </w:p>
        </w:tc>
        <w:tc>
          <w:tcPr>
            <w:tcW w:w="1213" w:type="dxa"/>
            <w:tcBorders/>
          </w:tcPr>
          <w:p>
            <w:pPr>
              <w:pStyle w:val="style4098"/>
              <w:spacing w:before="125"/>
              <w:ind w:left="145" w:right="136"/>
              <w:jc w:val="center"/>
              <w:rPr>
                <w:rFonts w:ascii="Times New Roman"/>
                <w:sz w:val="20"/>
              </w:rPr>
            </w:pPr>
            <w:r>
              <w:rPr>
                <w:rFonts w:ascii="Times New Roman"/>
                <w:sz w:val="20"/>
              </w:rPr>
              <w:t>60</w:t>
            </w:r>
          </w:p>
        </w:tc>
        <w:tc>
          <w:tcPr>
            <w:tcW w:w="1623" w:type="dxa"/>
            <w:tcBorders/>
          </w:tcPr>
          <w:p>
            <w:pPr>
              <w:pStyle w:val="style4098"/>
              <w:rPr>
                <w:rFonts w:ascii="Times New Roman"/>
                <w:sz w:val="20"/>
              </w:rPr>
            </w:pPr>
          </w:p>
        </w:tc>
      </w:tr>
      <w:tr>
        <w:tblPrEx/>
        <w:trPr>
          <w:trHeight w:val="473" w:hRule="atLeast"/>
        </w:trPr>
        <w:tc>
          <w:tcPr>
            <w:tcW w:w="760" w:type="dxa"/>
            <w:tcBorders/>
          </w:tcPr>
          <w:p>
            <w:pPr>
              <w:pStyle w:val="style4098"/>
              <w:spacing w:before="122"/>
              <w:ind w:left="140" w:right="129"/>
              <w:jc w:val="center"/>
              <w:rPr>
                <w:rFonts w:ascii="Times New Roman"/>
                <w:sz w:val="20"/>
              </w:rPr>
            </w:pPr>
            <w:r>
              <w:rPr>
                <w:rFonts w:ascii="Times New Roman"/>
                <w:sz w:val="20"/>
              </w:rPr>
              <w:t>10</w:t>
            </w:r>
          </w:p>
        </w:tc>
        <w:tc>
          <w:tcPr>
            <w:tcW w:w="1050" w:type="dxa"/>
            <w:vMerge w:val="restart"/>
            <w:tcBorders/>
          </w:tcPr>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rPr>
                <w:rFonts w:ascii="宋体"/>
                <w:sz w:val="20"/>
              </w:rPr>
            </w:pPr>
          </w:p>
          <w:p>
            <w:pPr>
              <w:pStyle w:val="style4098"/>
              <w:spacing w:before="3"/>
              <w:rPr>
                <w:rFonts w:ascii="宋体"/>
                <w:sz w:val="29"/>
              </w:rPr>
            </w:pPr>
          </w:p>
          <w:p>
            <w:pPr>
              <w:pStyle w:val="style4098"/>
              <w:ind w:left="125"/>
              <w:rPr>
                <w:sz w:val="20"/>
              </w:rPr>
            </w:pPr>
            <w:r>
              <w:rPr>
                <w:sz w:val="20"/>
              </w:rPr>
              <w:t>墙面工程</w:t>
            </w:r>
          </w:p>
        </w:tc>
        <w:tc>
          <w:tcPr>
            <w:tcW w:w="1890" w:type="dxa"/>
            <w:tcBorders/>
          </w:tcPr>
          <w:p>
            <w:pPr>
              <w:pStyle w:val="style4098"/>
              <w:spacing w:before="109"/>
              <w:ind w:left="22" w:right="15"/>
              <w:jc w:val="center"/>
              <w:rPr>
                <w:sz w:val="20"/>
              </w:rPr>
            </w:pPr>
            <w:r>
              <w:rPr>
                <w:sz w:val="20"/>
              </w:rPr>
              <w:t>墙面造型</w:t>
            </w:r>
          </w:p>
        </w:tc>
        <w:tc>
          <w:tcPr>
            <w:tcW w:w="1145" w:type="dxa"/>
            <w:tcBorders/>
          </w:tcPr>
          <w:p>
            <w:pPr>
              <w:pStyle w:val="style4098"/>
              <w:rPr>
                <w:rFonts w:ascii="Times New Roman"/>
                <w:sz w:val="20"/>
              </w:rPr>
            </w:pPr>
          </w:p>
        </w:tc>
        <w:tc>
          <w:tcPr>
            <w:tcW w:w="1064" w:type="dxa"/>
            <w:tcBorders/>
          </w:tcPr>
          <w:p>
            <w:pPr>
              <w:pStyle w:val="style4098"/>
              <w:spacing w:before="109"/>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22"/>
              <w:ind w:left="145" w:right="136"/>
              <w:jc w:val="center"/>
              <w:rPr>
                <w:rFonts w:ascii="Times New Roman"/>
                <w:sz w:val="20"/>
              </w:rPr>
            </w:pPr>
            <w:r>
              <w:rPr>
                <w:rFonts w:ascii="Times New Roman"/>
                <w:sz w:val="20"/>
              </w:rPr>
              <w:t>200</w:t>
            </w:r>
          </w:p>
        </w:tc>
        <w:tc>
          <w:tcPr>
            <w:tcW w:w="1623" w:type="dxa"/>
            <w:tcBorders/>
          </w:tcPr>
          <w:p>
            <w:pPr>
              <w:pStyle w:val="style4098"/>
              <w:spacing w:before="109"/>
              <w:ind w:left="6"/>
              <w:jc w:val="center"/>
              <w:rPr>
                <w:sz w:val="20"/>
              </w:rPr>
            </w:pPr>
            <w:r>
              <w:rPr>
                <w:sz w:val="20"/>
              </w:rPr>
              <w:t>背景墙</w:t>
            </w:r>
          </w:p>
        </w:tc>
      </w:tr>
      <w:tr>
        <w:tblPrEx/>
        <w:trPr>
          <w:trHeight w:val="450" w:hRule="atLeast"/>
        </w:trPr>
        <w:tc>
          <w:tcPr>
            <w:tcW w:w="760" w:type="dxa"/>
            <w:tcBorders/>
          </w:tcPr>
          <w:p>
            <w:pPr>
              <w:pStyle w:val="style4098"/>
              <w:spacing w:before="112"/>
              <w:ind w:left="140" w:right="129"/>
              <w:jc w:val="center"/>
              <w:rPr>
                <w:rFonts w:ascii="Times New Roman"/>
                <w:sz w:val="20"/>
              </w:rPr>
            </w:pPr>
            <w:r>
              <w:rPr>
                <w:rFonts w:ascii="Times New Roman"/>
                <w:sz w:val="20"/>
              </w:rPr>
              <w:t>11</w:t>
            </w:r>
          </w:p>
        </w:tc>
        <w:tc>
          <w:tcPr>
            <w:tcW w:w="1050" w:type="dxa"/>
            <w:vMerge w:val="continue"/>
            <w:tcBorders>
              <w:top w:val="nil"/>
            </w:tcBorders>
          </w:tcPr>
          <w:p>
            <w:pPr>
              <w:pStyle w:val="style0"/>
              <w:rPr>
                <w:sz w:val="2"/>
                <w:szCs w:val="2"/>
              </w:rPr>
            </w:pPr>
          </w:p>
        </w:tc>
        <w:tc>
          <w:tcPr>
            <w:tcW w:w="1890" w:type="dxa"/>
            <w:vMerge w:val="restart"/>
            <w:tcBorders/>
          </w:tcPr>
          <w:p>
            <w:pPr>
              <w:pStyle w:val="style4098"/>
              <w:rPr>
                <w:rFonts w:ascii="宋体"/>
                <w:sz w:val="20"/>
              </w:rPr>
            </w:pPr>
          </w:p>
          <w:p>
            <w:pPr>
              <w:pStyle w:val="style4098"/>
              <w:rPr>
                <w:rFonts w:ascii="宋体"/>
                <w:sz w:val="20"/>
              </w:rPr>
            </w:pPr>
          </w:p>
          <w:p>
            <w:pPr>
              <w:pStyle w:val="style4098"/>
              <w:rPr>
                <w:rFonts w:ascii="宋体"/>
                <w:sz w:val="20"/>
              </w:rPr>
            </w:pPr>
          </w:p>
          <w:p>
            <w:pPr>
              <w:pStyle w:val="style4098"/>
              <w:spacing w:before="9"/>
              <w:rPr>
                <w:rFonts w:ascii="宋体"/>
                <w:sz w:val="14"/>
              </w:rPr>
            </w:pPr>
          </w:p>
          <w:p>
            <w:pPr>
              <w:pStyle w:val="style4098"/>
              <w:spacing w:before="1"/>
              <w:ind w:left="24" w:right="15"/>
              <w:jc w:val="center"/>
              <w:rPr>
                <w:sz w:val="20"/>
              </w:rPr>
            </w:pPr>
            <w:r>
              <w:rPr>
                <w:sz w:val="20"/>
              </w:rPr>
              <w:t>内墙砖</w:t>
            </w:r>
          </w:p>
        </w:tc>
        <w:tc>
          <w:tcPr>
            <w:tcW w:w="1145" w:type="dxa"/>
            <w:tcBorders/>
          </w:tcPr>
          <w:p>
            <w:pPr>
              <w:pStyle w:val="style4098"/>
              <w:spacing w:before="89"/>
              <w:ind w:left="8"/>
              <w:jc w:val="center"/>
              <w:rPr>
                <w:sz w:val="20"/>
              </w:rPr>
            </w:pPr>
            <w:r>
              <w:rPr>
                <w:rFonts w:ascii="Times New Roman" w:eastAsia="Times New Roman" w:hAnsi="Times New Roman"/>
                <w:sz w:val="20"/>
              </w:rPr>
              <w:t xml:space="preserve">800×800 </w:t>
            </w:r>
            <w:r>
              <w:rPr>
                <w:sz w:val="20"/>
              </w:rPr>
              <w:t>及</w:t>
            </w:r>
          </w:p>
        </w:tc>
        <w:tc>
          <w:tcPr>
            <w:tcW w:w="1064" w:type="dxa"/>
            <w:tcBorders/>
          </w:tcPr>
          <w:p>
            <w:pPr>
              <w:pStyle w:val="style4098"/>
              <w:spacing w:before="98"/>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12"/>
              <w:ind w:left="145" w:right="136"/>
              <w:jc w:val="center"/>
              <w:rPr>
                <w:rFonts w:ascii="Times New Roman"/>
                <w:sz w:val="20"/>
              </w:rPr>
            </w:pPr>
            <w:r>
              <w:rPr>
                <w:rFonts w:ascii="Times New Roman"/>
                <w:sz w:val="20"/>
              </w:rPr>
              <w:t>100</w:t>
            </w:r>
          </w:p>
        </w:tc>
        <w:tc>
          <w:tcPr>
            <w:tcW w:w="1623" w:type="dxa"/>
            <w:tcBorders/>
          </w:tcPr>
          <w:p>
            <w:pPr>
              <w:pStyle w:val="style4098"/>
              <w:rPr>
                <w:rFonts w:ascii="Times New Roman"/>
                <w:sz w:val="20"/>
              </w:rPr>
            </w:pPr>
          </w:p>
        </w:tc>
      </w:tr>
      <w:tr>
        <w:tblPrEx/>
        <w:trPr>
          <w:trHeight w:val="618" w:hRule="atLeast"/>
        </w:trPr>
        <w:tc>
          <w:tcPr>
            <w:tcW w:w="760" w:type="dxa"/>
            <w:tcBorders/>
          </w:tcPr>
          <w:p>
            <w:pPr>
              <w:pStyle w:val="style4098"/>
              <w:spacing w:before="196"/>
              <w:ind w:left="140" w:right="129"/>
              <w:jc w:val="center"/>
              <w:rPr>
                <w:rFonts w:ascii="Times New Roman"/>
                <w:sz w:val="20"/>
              </w:rPr>
            </w:pPr>
            <w:r>
              <w:rPr>
                <w:rFonts w:ascii="Times New Roman"/>
                <w:sz w:val="20"/>
              </w:rPr>
              <w:t>12</w:t>
            </w:r>
          </w:p>
        </w:tc>
        <w:tc>
          <w:tcPr>
            <w:tcW w:w="1050" w:type="dxa"/>
            <w:vMerge w:val="continue"/>
            <w:tcBorders>
              <w:top w:val="nil"/>
            </w:tcBorders>
          </w:tcPr>
          <w:p>
            <w:pPr>
              <w:pStyle w:val="style0"/>
              <w:rPr>
                <w:sz w:val="2"/>
                <w:szCs w:val="2"/>
              </w:rPr>
            </w:pPr>
          </w:p>
        </w:tc>
        <w:tc>
          <w:tcPr>
            <w:tcW w:w="1890" w:type="dxa"/>
            <w:vMerge w:val="continue"/>
            <w:tcBorders>
              <w:top w:val="nil"/>
            </w:tcBorders>
          </w:tcPr>
          <w:p>
            <w:pPr>
              <w:pStyle w:val="style0"/>
              <w:rPr>
                <w:sz w:val="2"/>
                <w:szCs w:val="2"/>
              </w:rPr>
            </w:pPr>
          </w:p>
        </w:tc>
        <w:tc>
          <w:tcPr>
            <w:tcW w:w="1145" w:type="dxa"/>
            <w:tcBorders/>
          </w:tcPr>
          <w:p>
            <w:pPr>
              <w:pStyle w:val="style4098"/>
              <w:spacing w:before="38"/>
              <w:ind w:left="91"/>
              <w:rPr>
                <w:sz w:val="20"/>
              </w:rPr>
            </w:pPr>
            <w:r>
              <w:rPr>
                <w:rFonts w:ascii="Times New Roman" w:eastAsia="Times New Roman" w:hAnsi="Times New Roman"/>
                <w:sz w:val="20"/>
              </w:rPr>
              <w:t xml:space="preserve">800×800 </w:t>
            </w:r>
            <w:r>
              <w:rPr>
                <w:sz w:val="20"/>
              </w:rPr>
              <w:t>以</w:t>
            </w:r>
          </w:p>
          <w:p>
            <w:pPr>
              <w:pStyle w:val="style4098"/>
              <w:spacing w:before="44"/>
              <w:ind w:left="14"/>
              <w:rPr>
                <w:rFonts w:ascii="Times New Roman" w:eastAsia="Times New Roman" w:hAnsi="Times New Roman"/>
                <w:sz w:val="20"/>
              </w:rPr>
            </w:pPr>
            <w:r>
              <w:rPr>
                <w:sz w:val="20"/>
              </w:rPr>
              <w:t>下，</w:t>
            </w:r>
            <w:r>
              <w:rPr>
                <w:rFonts w:ascii="Times New Roman" w:eastAsia="Times New Roman" w:hAnsi="Times New Roman"/>
                <w:sz w:val="20"/>
              </w:rPr>
              <w:t>400×400</w:t>
            </w:r>
          </w:p>
        </w:tc>
        <w:tc>
          <w:tcPr>
            <w:tcW w:w="1064" w:type="dxa"/>
            <w:tcBorders/>
          </w:tcPr>
          <w:p>
            <w:pPr>
              <w:pStyle w:val="style4098"/>
              <w:spacing w:before="182"/>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96"/>
              <w:ind w:left="145" w:right="136"/>
              <w:jc w:val="center"/>
              <w:rPr>
                <w:rFonts w:ascii="Times New Roman"/>
                <w:sz w:val="20"/>
              </w:rPr>
            </w:pPr>
            <w:r>
              <w:rPr>
                <w:rFonts w:ascii="Times New Roman"/>
                <w:sz w:val="20"/>
              </w:rPr>
              <w:t>80</w:t>
            </w:r>
          </w:p>
        </w:tc>
        <w:tc>
          <w:tcPr>
            <w:tcW w:w="1623" w:type="dxa"/>
            <w:tcBorders/>
          </w:tcPr>
          <w:p>
            <w:pPr>
              <w:pStyle w:val="style4098"/>
              <w:rPr>
                <w:rFonts w:ascii="Times New Roman"/>
                <w:sz w:val="20"/>
              </w:rPr>
            </w:pPr>
          </w:p>
        </w:tc>
      </w:tr>
      <w:tr>
        <w:tblPrEx/>
        <w:trPr>
          <w:trHeight w:val="465" w:hRule="atLeast"/>
        </w:trPr>
        <w:tc>
          <w:tcPr>
            <w:tcW w:w="760" w:type="dxa"/>
            <w:tcBorders/>
          </w:tcPr>
          <w:p>
            <w:pPr>
              <w:pStyle w:val="style4098"/>
              <w:spacing w:before="117"/>
              <w:ind w:left="140" w:right="129"/>
              <w:jc w:val="center"/>
              <w:rPr>
                <w:rFonts w:ascii="Times New Roman"/>
                <w:sz w:val="20"/>
              </w:rPr>
            </w:pPr>
            <w:r>
              <w:rPr>
                <w:rFonts w:ascii="Times New Roman"/>
                <w:sz w:val="20"/>
              </w:rPr>
              <w:t>13</w:t>
            </w:r>
          </w:p>
        </w:tc>
        <w:tc>
          <w:tcPr>
            <w:tcW w:w="1050" w:type="dxa"/>
            <w:vMerge w:val="continue"/>
            <w:tcBorders>
              <w:top w:val="nil"/>
            </w:tcBorders>
          </w:tcPr>
          <w:p>
            <w:pPr>
              <w:pStyle w:val="style0"/>
              <w:rPr>
                <w:sz w:val="2"/>
                <w:szCs w:val="2"/>
              </w:rPr>
            </w:pPr>
          </w:p>
        </w:tc>
        <w:tc>
          <w:tcPr>
            <w:tcW w:w="1890" w:type="dxa"/>
            <w:vMerge w:val="continue"/>
            <w:tcBorders>
              <w:top w:val="nil"/>
            </w:tcBorders>
          </w:tcPr>
          <w:p>
            <w:pPr>
              <w:pStyle w:val="style0"/>
              <w:rPr>
                <w:sz w:val="2"/>
                <w:szCs w:val="2"/>
              </w:rPr>
            </w:pPr>
          </w:p>
        </w:tc>
        <w:tc>
          <w:tcPr>
            <w:tcW w:w="1145" w:type="dxa"/>
            <w:tcBorders/>
          </w:tcPr>
          <w:p>
            <w:pPr>
              <w:pStyle w:val="style4098"/>
              <w:spacing w:before="87"/>
              <w:ind w:left="8"/>
              <w:jc w:val="center"/>
              <w:rPr>
                <w:sz w:val="20"/>
              </w:rPr>
            </w:pPr>
            <w:r>
              <w:rPr>
                <w:rFonts w:ascii="Times New Roman" w:eastAsia="Times New Roman" w:hAnsi="Times New Roman"/>
                <w:sz w:val="20"/>
              </w:rPr>
              <w:t xml:space="preserve">400×400 </w:t>
            </w:r>
            <w:r>
              <w:rPr>
                <w:sz w:val="20"/>
              </w:rPr>
              <w:t>及</w:t>
            </w:r>
          </w:p>
        </w:tc>
        <w:tc>
          <w:tcPr>
            <w:tcW w:w="1064" w:type="dxa"/>
            <w:tcBorders/>
          </w:tcPr>
          <w:p>
            <w:pPr>
              <w:pStyle w:val="style4098"/>
              <w:spacing w:before="104"/>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17"/>
              <w:ind w:left="145" w:right="136"/>
              <w:jc w:val="center"/>
              <w:rPr>
                <w:rFonts w:ascii="Times New Roman"/>
                <w:sz w:val="20"/>
              </w:rPr>
            </w:pPr>
            <w:r>
              <w:rPr>
                <w:rFonts w:ascii="Times New Roman"/>
                <w:sz w:val="20"/>
              </w:rPr>
              <w:t>60</w:t>
            </w:r>
          </w:p>
        </w:tc>
        <w:tc>
          <w:tcPr>
            <w:tcW w:w="1623" w:type="dxa"/>
            <w:tcBorders/>
          </w:tcPr>
          <w:p>
            <w:pPr>
              <w:pStyle w:val="style4098"/>
              <w:rPr>
                <w:rFonts w:ascii="Times New Roman"/>
                <w:sz w:val="20"/>
              </w:rPr>
            </w:pPr>
          </w:p>
        </w:tc>
      </w:tr>
      <w:tr>
        <w:tblPrEx/>
        <w:trPr>
          <w:trHeight w:val="605" w:hRule="atLeast"/>
        </w:trPr>
        <w:tc>
          <w:tcPr>
            <w:tcW w:w="760" w:type="dxa"/>
            <w:tcBorders/>
          </w:tcPr>
          <w:p>
            <w:pPr>
              <w:pStyle w:val="style4098"/>
              <w:spacing w:before="189"/>
              <w:ind w:left="140" w:right="129"/>
              <w:jc w:val="center"/>
              <w:rPr>
                <w:rFonts w:ascii="Times New Roman"/>
                <w:sz w:val="20"/>
              </w:rPr>
            </w:pPr>
            <w:r>
              <w:rPr>
                <w:rFonts w:ascii="Times New Roman"/>
                <w:sz w:val="20"/>
              </w:rPr>
              <w:t>14</w:t>
            </w:r>
          </w:p>
        </w:tc>
        <w:tc>
          <w:tcPr>
            <w:tcW w:w="1050" w:type="dxa"/>
            <w:vMerge w:val="continue"/>
            <w:tcBorders>
              <w:top w:val="nil"/>
            </w:tcBorders>
          </w:tcPr>
          <w:p>
            <w:pPr>
              <w:pStyle w:val="style0"/>
              <w:rPr>
                <w:sz w:val="2"/>
                <w:szCs w:val="2"/>
              </w:rPr>
            </w:pPr>
          </w:p>
        </w:tc>
        <w:tc>
          <w:tcPr>
            <w:tcW w:w="1890" w:type="dxa"/>
            <w:vMerge w:val="continue"/>
            <w:tcBorders>
              <w:top w:val="nil"/>
            </w:tcBorders>
          </w:tcPr>
          <w:p>
            <w:pPr>
              <w:pStyle w:val="style0"/>
              <w:rPr>
                <w:sz w:val="2"/>
                <w:szCs w:val="2"/>
              </w:rPr>
            </w:pPr>
          </w:p>
        </w:tc>
        <w:tc>
          <w:tcPr>
            <w:tcW w:w="1145" w:type="dxa"/>
            <w:tcBorders/>
          </w:tcPr>
          <w:p>
            <w:pPr>
              <w:pStyle w:val="style4098"/>
              <w:spacing w:before="87"/>
              <w:ind w:left="8"/>
              <w:jc w:val="center"/>
              <w:rPr>
                <w:sz w:val="20"/>
              </w:rPr>
            </w:pPr>
            <w:r>
              <w:rPr>
                <w:spacing w:val="-29"/>
                <w:sz w:val="20"/>
              </w:rPr>
              <w:t>花岗石</w:t>
            </w:r>
            <w:r>
              <w:rPr>
                <w:sz w:val="20"/>
              </w:rPr>
              <w:t>（大理</w:t>
            </w:r>
          </w:p>
        </w:tc>
        <w:tc>
          <w:tcPr>
            <w:tcW w:w="1064" w:type="dxa"/>
            <w:tcBorders/>
          </w:tcPr>
          <w:p>
            <w:pPr>
              <w:pStyle w:val="style4098"/>
              <w:spacing w:before="176"/>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89"/>
              <w:ind w:left="145" w:right="136"/>
              <w:jc w:val="center"/>
              <w:rPr>
                <w:rFonts w:ascii="Times New Roman"/>
                <w:sz w:val="20"/>
              </w:rPr>
            </w:pPr>
            <w:r>
              <w:rPr>
                <w:rFonts w:ascii="Times New Roman"/>
                <w:sz w:val="20"/>
              </w:rPr>
              <w:t>120</w:t>
            </w:r>
          </w:p>
        </w:tc>
        <w:tc>
          <w:tcPr>
            <w:tcW w:w="1623" w:type="dxa"/>
            <w:tcBorders/>
          </w:tcPr>
          <w:p>
            <w:pPr>
              <w:pStyle w:val="style4098"/>
              <w:rPr>
                <w:rFonts w:ascii="Times New Roman"/>
                <w:sz w:val="20"/>
              </w:rPr>
            </w:pPr>
          </w:p>
        </w:tc>
      </w:tr>
      <w:tr>
        <w:tblPrEx/>
        <w:trPr>
          <w:trHeight w:val="437" w:hRule="atLeast"/>
        </w:trPr>
        <w:tc>
          <w:tcPr>
            <w:tcW w:w="760" w:type="dxa"/>
            <w:tcBorders/>
          </w:tcPr>
          <w:p>
            <w:pPr>
              <w:pStyle w:val="style4098"/>
              <w:spacing w:before="104"/>
              <w:ind w:left="140" w:right="129"/>
              <w:jc w:val="center"/>
              <w:rPr>
                <w:rFonts w:ascii="Times New Roman"/>
                <w:sz w:val="20"/>
              </w:rPr>
            </w:pPr>
            <w:r>
              <w:rPr>
                <w:rFonts w:ascii="Times New Roman"/>
                <w:sz w:val="20"/>
              </w:rPr>
              <w:t>15</w:t>
            </w:r>
          </w:p>
        </w:tc>
        <w:tc>
          <w:tcPr>
            <w:tcW w:w="1050" w:type="dxa"/>
            <w:vMerge w:val="continue"/>
            <w:tcBorders>
              <w:top w:val="nil"/>
            </w:tcBorders>
          </w:tcPr>
          <w:p>
            <w:pPr>
              <w:pStyle w:val="style0"/>
              <w:rPr>
                <w:sz w:val="2"/>
                <w:szCs w:val="2"/>
              </w:rPr>
            </w:pPr>
          </w:p>
        </w:tc>
        <w:tc>
          <w:tcPr>
            <w:tcW w:w="1890" w:type="dxa"/>
            <w:tcBorders/>
          </w:tcPr>
          <w:p>
            <w:pPr>
              <w:pStyle w:val="style4098"/>
              <w:spacing w:before="90"/>
              <w:ind w:left="24" w:right="15"/>
              <w:jc w:val="center"/>
              <w:rPr>
                <w:sz w:val="20"/>
              </w:rPr>
            </w:pPr>
            <w:r>
              <w:rPr>
                <w:sz w:val="20"/>
              </w:rPr>
              <w:t>木墙裙</w:t>
            </w:r>
          </w:p>
        </w:tc>
        <w:tc>
          <w:tcPr>
            <w:tcW w:w="1145" w:type="dxa"/>
            <w:tcBorders/>
          </w:tcPr>
          <w:p>
            <w:pPr>
              <w:pStyle w:val="style4098"/>
              <w:rPr>
                <w:rFonts w:ascii="Times New Roman"/>
                <w:sz w:val="20"/>
              </w:rPr>
            </w:pPr>
          </w:p>
        </w:tc>
        <w:tc>
          <w:tcPr>
            <w:tcW w:w="1064" w:type="dxa"/>
            <w:tcBorders/>
          </w:tcPr>
          <w:p>
            <w:pPr>
              <w:pStyle w:val="style4098"/>
              <w:spacing w:before="90"/>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04"/>
              <w:ind w:left="145" w:right="136"/>
              <w:jc w:val="center"/>
              <w:rPr>
                <w:rFonts w:ascii="Times New Roman"/>
                <w:sz w:val="20"/>
              </w:rPr>
            </w:pPr>
            <w:r>
              <w:rPr>
                <w:rFonts w:ascii="Times New Roman"/>
                <w:sz w:val="20"/>
              </w:rPr>
              <w:t>80</w:t>
            </w:r>
          </w:p>
        </w:tc>
        <w:tc>
          <w:tcPr>
            <w:tcW w:w="1623" w:type="dxa"/>
            <w:tcBorders/>
          </w:tcPr>
          <w:p>
            <w:pPr>
              <w:pStyle w:val="style4098"/>
              <w:rPr>
                <w:rFonts w:ascii="Times New Roman"/>
                <w:sz w:val="20"/>
              </w:rPr>
            </w:pPr>
          </w:p>
        </w:tc>
      </w:tr>
      <w:tr>
        <w:tblPrEx/>
        <w:trPr>
          <w:trHeight w:val="465" w:hRule="atLeast"/>
        </w:trPr>
        <w:tc>
          <w:tcPr>
            <w:tcW w:w="760" w:type="dxa"/>
            <w:tcBorders/>
          </w:tcPr>
          <w:p>
            <w:pPr>
              <w:pStyle w:val="style4098"/>
              <w:spacing w:before="118"/>
              <w:ind w:left="140" w:right="129"/>
              <w:jc w:val="center"/>
              <w:rPr>
                <w:rFonts w:ascii="Times New Roman"/>
                <w:sz w:val="20"/>
              </w:rPr>
            </w:pPr>
            <w:r>
              <w:rPr>
                <w:rFonts w:ascii="Times New Roman"/>
                <w:sz w:val="20"/>
              </w:rPr>
              <w:t>16</w:t>
            </w:r>
          </w:p>
        </w:tc>
        <w:tc>
          <w:tcPr>
            <w:tcW w:w="1050" w:type="dxa"/>
            <w:vMerge w:val="continue"/>
            <w:tcBorders>
              <w:top w:val="nil"/>
            </w:tcBorders>
          </w:tcPr>
          <w:p>
            <w:pPr>
              <w:pStyle w:val="style0"/>
              <w:rPr>
                <w:sz w:val="2"/>
                <w:szCs w:val="2"/>
              </w:rPr>
            </w:pPr>
          </w:p>
        </w:tc>
        <w:tc>
          <w:tcPr>
            <w:tcW w:w="1890" w:type="dxa"/>
            <w:tcBorders/>
          </w:tcPr>
          <w:p>
            <w:pPr>
              <w:pStyle w:val="style4098"/>
              <w:spacing w:before="104"/>
              <w:ind w:left="24" w:right="15"/>
              <w:jc w:val="center"/>
              <w:rPr>
                <w:sz w:val="20"/>
              </w:rPr>
            </w:pPr>
            <w:r>
              <w:rPr>
                <w:sz w:val="20"/>
              </w:rPr>
              <w:t>墙纸（墙布）</w:t>
            </w:r>
          </w:p>
        </w:tc>
        <w:tc>
          <w:tcPr>
            <w:tcW w:w="1145" w:type="dxa"/>
            <w:tcBorders/>
          </w:tcPr>
          <w:p>
            <w:pPr>
              <w:pStyle w:val="style4098"/>
              <w:rPr>
                <w:rFonts w:ascii="Times New Roman"/>
                <w:sz w:val="20"/>
              </w:rPr>
            </w:pPr>
          </w:p>
        </w:tc>
        <w:tc>
          <w:tcPr>
            <w:tcW w:w="1064" w:type="dxa"/>
            <w:tcBorders/>
          </w:tcPr>
          <w:p>
            <w:pPr>
              <w:pStyle w:val="style4098"/>
              <w:spacing w:before="104"/>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18"/>
              <w:ind w:left="145" w:right="136"/>
              <w:jc w:val="center"/>
              <w:rPr>
                <w:rFonts w:ascii="Times New Roman"/>
                <w:sz w:val="20"/>
              </w:rPr>
            </w:pPr>
            <w:r>
              <w:rPr>
                <w:rFonts w:ascii="Times New Roman"/>
                <w:sz w:val="20"/>
              </w:rPr>
              <w:t>40</w:t>
            </w:r>
          </w:p>
        </w:tc>
        <w:tc>
          <w:tcPr>
            <w:tcW w:w="1623" w:type="dxa"/>
            <w:tcBorders/>
          </w:tcPr>
          <w:p>
            <w:pPr>
              <w:pStyle w:val="style4098"/>
              <w:spacing w:before="104"/>
              <w:ind w:left="6"/>
              <w:jc w:val="center"/>
              <w:rPr>
                <w:sz w:val="20"/>
              </w:rPr>
            </w:pPr>
            <w:r>
              <w:rPr>
                <w:sz w:val="20"/>
              </w:rPr>
              <w:t>含底面工程</w:t>
            </w:r>
          </w:p>
        </w:tc>
      </w:tr>
      <w:tr>
        <w:tblPrEx/>
        <w:trPr>
          <w:trHeight w:val="506" w:hRule="atLeast"/>
        </w:trPr>
        <w:tc>
          <w:tcPr>
            <w:tcW w:w="760" w:type="dxa"/>
            <w:tcBorders/>
          </w:tcPr>
          <w:p>
            <w:pPr>
              <w:pStyle w:val="style4098"/>
              <w:spacing w:before="139"/>
              <w:ind w:left="140" w:right="129"/>
              <w:jc w:val="center"/>
              <w:rPr>
                <w:rFonts w:ascii="Times New Roman"/>
                <w:sz w:val="20"/>
              </w:rPr>
            </w:pPr>
            <w:r>
              <w:rPr>
                <w:rFonts w:ascii="Times New Roman"/>
                <w:sz w:val="20"/>
              </w:rPr>
              <w:t>17</w:t>
            </w:r>
          </w:p>
        </w:tc>
        <w:tc>
          <w:tcPr>
            <w:tcW w:w="1050" w:type="dxa"/>
            <w:vMerge w:val="continue"/>
            <w:tcBorders>
              <w:top w:val="nil"/>
            </w:tcBorders>
          </w:tcPr>
          <w:p>
            <w:pPr>
              <w:pStyle w:val="style0"/>
              <w:rPr>
                <w:sz w:val="2"/>
                <w:szCs w:val="2"/>
              </w:rPr>
            </w:pPr>
          </w:p>
        </w:tc>
        <w:tc>
          <w:tcPr>
            <w:tcW w:w="1890" w:type="dxa"/>
            <w:tcBorders/>
          </w:tcPr>
          <w:p>
            <w:pPr>
              <w:pStyle w:val="style4098"/>
              <w:spacing w:before="126"/>
              <w:ind w:left="24" w:right="15"/>
              <w:jc w:val="center"/>
              <w:rPr>
                <w:sz w:val="20"/>
              </w:rPr>
            </w:pPr>
            <w:r>
              <w:rPr>
                <w:sz w:val="20"/>
              </w:rPr>
              <w:t>乳胶漆</w:t>
            </w:r>
          </w:p>
        </w:tc>
        <w:tc>
          <w:tcPr>
            <w:tcW w:w="1145" w:type="dxa"/>
            <w:tcBorders/>
          </w:tcPr>
          <w:p>
            <w:pPr>
              <w:pStyle w:val="style4098"/>
              <w:rPr>
                <w:rFonts w:ascii="Times New Roman"/>
                <w:sz w:val="20"/>
              </w:rPr>
            </w:pPr>
          </w:p>
        </w:tc>
        <w:tc>
          <w:tcPr>
            <w:tcW w:w="1064" w:type="dxa"/>
            <w:tcBorders/>
          </w:tcPr>
          <w:p>
            <w:pPr>
              <w:pStyle w:val="style4098"/>
              <w:spacing w:before="126"/>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39"/>
              <w:ind w:left="145" w:right="136"/>
              <w:jc w:val="center"/>
              <w:rPr>
                <w:rFonts w:ascii="Times New Roman"/>
                <w:sz w:val="20"/>
              </w:rPr>
            </w:pPr>
            <w:r>
              <w:rPr>
                <w:rFonts w:ascii="Times New Roman"/>
                <w:sz w:val="20"/>
              </w:rPr>
              <w:t>32</w:t>
            </w:r>
          </w:p>
        </w:tc>
        <w:tc>
          <w:tcPr>
            <w:tcW w:w="1623" w:type="dxa"/>
            <w:tcBorders/>
          </w:tcPr>
          <w:p>
            <w:pPr>
              <w:pStyle w:val="style4098"/>
              <w:spacing w:before="126"/>
              <w:ind w:left="6"/>
              <w:jc w:val="center"/>
              <w:rPr>
                <w:sz w:val="20"/>
              </w:rPr>
            </w:pPr>
            <w:r>
              <w:rPr>
                <w:sz w:val="20"/>
              </w:rPr>
              <w:t>含底面工程</w:t>
            </w:r>
          </w:p>
        </w:tc>
      </w:tr>
      <w:tr>
        <w:tblPrEx/>
        <w:trPr>
          <w:trHeight w:val="458" w:hRule="atLeast"/>
        </w:trPr>
        <w:tc>
          <w:tcPr>
            <w:tcW w:w="760" w:type="dxa"/>
            <w:tcBorders/>
          </w:tcPr>
          <w:p>
            <w:pPr>
              <w:pStyle w:val="style4098"/>
              <w:spacing w:before="115"/>
              <w:ind w:left="140" w:right="129"/>
              <w:jc w:val="center"/>
              <w:rPr>
                <w:rFonts w:ascii="Times New Roman"/>
                <w:sz w:val="20"/>
              </w:rPr>
            </w:pPr>
            <w:r>
              <w:rPr>
                <w:rFonts w:ascii="Times New Roman"/>
                <w:sz w:val="20"/>
              </w:rPr>
              <w:t>18</w:t>
            </w:r>
          </w:p>
        </w:tc>
        <w:tc>
          <w:tcPr>
            <w:tcW w:w="1050" w:type="dxa"/>
            <w:vMerge w:val="continue"/>
            <w:tcBorders>
              <w:top w:val="nil"/>
            </w:tcBorders>
          </w:tcPr>
          <w:p>
            <w:pPr>
              <w:pStyle w:val="style0"/>
              <w:rPr>
                <w:sz w:val="2"/>
                <w:szCs w:val="2"/>
              </w:rPr>
            </w:pPr>
          </w:p>
        </w:tc>
        <w:tc>
          <w:tcPr>
            <w:tcW w:w="1890" w:type="dxa"/>
            <w:tcBorders/>
          </w:tcPr>
          <w:p>
            <w:pPr>
              <w:pStyle w:val="style4098"/>
              <w:spacing w:before="102"/>
              <w:ind w:left="24" w:right="15"/>
              <w:jc w:val="center"/>
              <w:rPr>
                <w:sz w:val="20"/>
              </w:rPr>
            </w:pPr>
            <w:r>
              <w:rPr>
                <w:sz w:val="20"/>
              </w:rPr>
              <w:t>瓷粉</w:t>
            </w:r>
          </w:p>
        </w:tc>
        <w:tc>
          <w:tcPr>
            <w:tcW w:w="1145" w:type="dxa"/>
            <w:tcBorders/>
          </w:tcPr>
          <w:p>
            <w:pPr>
              <w:pStyle w:val="style4098"/>
              <w:rPr>
                <w:rFonts w:ascii="Times New Roman"/>
                <w:sz w:val="20"/>
              </w:rPr>
            </w:pPr>
          </w:p>
        </w:tc>
        <w:tc>
          <w:tcPr>
            <w:tcW w:w="1064" w:type="dxa"/>
            <w:tcBorders/>
          </w:tcPr>
          <w:p>
            <w:pPr>
              <w:pStyle w:val="style4098"/>
              <w:spacing w:before="102"/>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15"/>
              <w:ind w:left="145" w:right="136"/>
              <w:jc w:val="center"/>
              <w:rPr>
                <w:rFonts w:ascii="Times New Roman"/>
                <w:sz w:val="20"/>
              </w:rPr>
            </w:pPr>
            <w:r>
              <w:rPr>
                <w:rFonts w:ascii="Times New Roman"/>
                <w:sz w:val="20"/>
              </w:rPr>
              <w:t>20</w:t>
            </w:r>
          </w:p>
        </w:tc>
        <w:tc>
          <w:tcPr>
            <w:tcW w:w="1623" w:type="dxa"/>
            <w:tcBorders/>
          </w:tcPr>
          <w:p>
            <w:pPr>
              <w:pStyle w:val="style4098"/>
              <w:rPr>
                <w:rFonts w:ascii="Times New Roman"/>
                <w:sz w:val="20"/>
              </w:rPr>
            </w:pPr>
          </w:p>
        </w:tc>
      </w:tr>
      <w:tr>
        <w:tblPrEx/>
        <w:trPr>
          <w:trHeight w:val="535" w:hRule="atLeast"/>
        </w:trPr>
        <w:tc>
          <w:tcPr>
            <w:tcW w:w="760" w:type="dxa"/>
            <w:tcBorders/>
          </w:tcPr>
          <w:p>
            <w:pPr>
              <w:pStyle w:val="style4098"/>
              <w:spacing w:before="155"/>
              <w:ind w:left="140" w:right="129"/>
              <w:jc w:val="center"/>
              <w:rPr>
                <w:rFonts w:ascii="Times New Roman"/>
                <w:sz w:val="20"/>
              </w:rPr>
            </w:pPr>
            <w:r>
              <w:rPr>
                <w:rFonts w:ascii="Times New Roman"/>
                <w:sz w:val="20"/>
              </w:rPr>
              <w:t>19</w:t>
            </w:r>
          </w:p>
        </w:tc>
        <w:tc>
          <w:tcPr>
            <w:tcW w:w="1050" w:type="dxa"/>
            <w:vMerge w:val="continue"/>
            <w:tcBorders>
              <w:top w:val="nil"/>
            </w:tcBorders>
          </w:tcPr>
          <w:p>
            <w:pPr>
              <w:pStyle w:val="style0"/>
              <w:rPr>
                <w:sz w:val="2"/>
                <w:szCs w:val="2"/>
              </w:rPr>
            </w:pPr>
          </w:p>
        </w:tc>
        <w:tc>
          <w:tcPr>
            <w:tcW w:w="1890" w:type="dxa"/>
            <w:tcBorders/>
          </w:tcPr>
          <w:p>
            <w:pPr>
              <w:pStyle w:val="style4098"/>
              <w:spacing w:before="142"/>
              <w:ind w:left="24" w:right="15"/>
              <w:jc w:val="center"/>
              <w:rPr>
                <w:sz w:val="20"/>
              </w:rPr>
            </w:pPr>
            <w:r>
              <w:rPr>
                <w:sz w:val="20"/>
              </w:rPr>
              <w:t>涂料</w:t>
            </w:r>
          </w:p>
        </w:tc>
        <w:tc>
          <w:tcPr>
            <w:tcW w:w="1145" w:type="dxa"/>
            <w:tcBorders/>
          </w:tcPr>
          <w:p>
            <w:pPr>
              <w:pStyle w:val="style4098"/>
              <w:rPr>
                <w:rFonts w:ascii="Times New Roman"/>
                <w:sz w:val="20"/>
              </w:rPr>
            </w:pPr>
          </w:p>
        </w:tc>
        <w:tc>
          <w:tcPr>
            <w:tcW w:w="1064" w:type="dxa"/>
            <w:tcBorders/>
          </w:tcPr>
          <w:p>
            <w:pPr>
              <w:pStyle w:val="style4098"/>
              <w:spacing w:before="142"/>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55"/>
              <w:ind w:left="9"/>
              <w:jc w:val="center"/>
              <w:rPr>
                <w:rFonts w:ascii="Times New Roman"/>
                <w:sz w:val="20"/>
              </w:rPr>
            </w:pPr>
            <w:r>
              <w:rPr>
                <w:rFonts w:ascii="Times New Roman"/>
                <w:w w:val="99"/>
                <w:sz w:val="20"/>
              </w:rPr>
              <w:t>6</w:t>
            </w:r>
          </w:p>
        </w:tc>
        <w:tc>
          <w:tcPr>
            <w:tcW w:w="1623" w:type="dxa"/>
            <w:tcBorders/>
          </w:tcPr>
          <w:p>
            <w:pPr>
              <w:pStyle w:val="style4098"/>
              <w:rPr>
                <w:rFonts w:ascii="Times New Roman"/>
                <w:sz w:val="20"/>
              </w:rPr>
            </w:pPr>
          </w:p>
        </w:tc>
      </w:tr>
    </w:tbl>
    <w:p>
      <w:pPr>
        <w:pStyle w:val="style0"/>
        <w:spacing w:after="0"/>
        <w:rPr>
          <w:rFonts w:ascii="Times New Roman"/>
          <w:sz w:val="20"/>
        </w:rPr>
        <w:sectPr>
          <w:type w:val="continuous"/>
          <w:pgSz w:w="11910" w:h="16840" w:orient="portrait"/>
          <w:pgMar w:top="1520" w:right="1200" w:bottom="280" w:left="1460" w:header="720" w:footer="720" w:gutter="0"/>
          <w:cols w:space="720" w:num="1"/>
        </w:sectPr>
      </w:pPr>
    </w:p>
    <w:p>
      <w:pPr>
        <w:pStyle w:val="style66"/>
        <w:rPr>
          <w:rFonts w:ascii="Times New Roman"/>
          <w:sz w:val="20"/>
        </w:rPr>
      </w:pPr>
    </w:p>
    <w:p>
      <w:pPr>
        <w:pStyle w:val="style66"/>
        <w:spacing w:before="5"/>
        <w:rPr>
          <w:rFonts w:ascii="Times New Roman"/>
          <w:sz w:val="23"/>
        </w:rPr>
      </w:pPr>
    </w:p>
    <w:tbl>
      <w:tblPr>
        <w:tblStyle w:val="style105"/>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60"/>
        <w:gridCol w:w="1050"/>
        <w:gridCol w:w="1890"/>
        <w:gridCol w:w="1145"/>
        <w:gridCol w:w="1064"/>
        <w:gridCol w:w="1213"/>
        <w:gridCol w:w="1623"/>
      </w:tblGrid>
      <w:tr>
        <w:trPr>
          <w:trHeight w:val="735" w:hRule="atLeast"/>
        </w:trPr>
        <w:tc>
          <w:tcPr>
            <w:tcW w:w="8745" w:type="dxa"/>
            <w:gridSpan w:val="7"/>
            <w:tcBorders/>
          </w:tcPr>
          <w:p>
            <w:pPr>
              <w:pStyle w:val="style4098"/>
              <w:spacing w:before="145"/>
              <w:ind w:left="1343" w:right="1352"/>
              <w:jc w:val="center"/>
              <w:rPr>
                <w:rFonts w:ascii="宋体" w:eastAsia="宋体" w:hint="eastAsia"/>
                <w:sz w:val="40"/>
              </w:rPr>
            </w:pPr>
            <w:r>
              <w:rPr>
                <w:rFonts w:ascii="宋体" w:eastAsia="宋体" w:hint="eastAsia"/>
                <w:sz w:val="40"/>
              </w:rPr>
              <w:t>房屋装饰装修补偿标准（续上表）</w:t>
            </w:r>
          </w:p>
        </w:tc>
      </w:tr>
      <w:tr>
        <w:tblPrEx/>
        <w:trPr>
          <w:trHeight w:val="630" w:hRule="atLeast"/>
        </w:trPr>
        <w:tc>
          <w:tcPr>
            <w:tcW w:w="760" w:type="dxa"/>
            <w:tcBorders/>
          </w:tcPr>
          <w:p>
            <w:pPr>
              <w:pStyle w:val="style4098"/>
              <w:spacing w:before="175"/>
              <w:ind w:left="141" w:right="129"/>
              <w:jc w:val="center"/>
              <w:rPr>
                <w:rFonts w:ascii="黑体" w:eastAsia="黑体" w:hint="eastAsia"/>
                <w:sz w:val="22"/>
              </w:rPr>
            </w:pPr>
            <w:r>
              <w:rPr>
                <w:rFonts w:ascii="黑体" w:eastAsia="黑体" w:hint="eastAsia"/>
                <w:sz w:val="22"/>
              </w:rPr>
              <w:t>序号</w:t>
            </w:r>
          </w:p>
        </w:tc>
        <w:tc>
          <w:tcPr>
            <w:tcW w:w="1050" w:type="dxa"/>
            <w:tcBorders/>
          </w:tcPr>
          <w:p>
            <w:pPr>
              <w:pStyle w:val="style4098"/>
              <w:spacing w:before="175"/>
              <w:ind w:left="305"/>
              <w:rPr>
                <w:rFonts w:ascii="黑体" w:eastAsia="黑体" w:hint="eastAsia"/>
                <w:sz w:val="22"/>
              </w:rPr>
            </w:pPr>
            <w:r>
              <w:rPr>
                <w:rFonts w:ascii="黑体" w:eastAsia="黑体" w:hint="eastAsia"/>
                <w:sz w:val="22"/>
              </w:rPr>
              <w:t>类别</w:t>
            </w:r>
          </w:p>
        </w:tc>
        <w:tc>
          <w:tcPr>
            <w:tcW w:w="1890" w:type="dxa"/>
            <w:tcBorders/>
          </w:tcPr>
          <w:p>
            <w:pPr>
              <w:pStyle w:val="style4098"/>
              <w:spacing w:before="175"/>
              <w:ind w:left="24" w:right="12"/>
              <w:jc w:val="center"/>
              <w:rPr>
                <w:rFonts w:ascii="黑体" w:eastAsia="黑体" w:hint="eastAsia"/>
                <w:sz w:val="22"/>
              </w:rPr>
            </w:pPr>
            <w:r>
              <w:rPr>
                <w:rFonts w:ascii="黑体" w:eastAsia="黑体" w:hint="eastAsia"/>
                <w:sz w:val="22"/>
              </w:rPr>
              <w:t>项目名称</w:t>
            </w:r>
          </w:p>
        </w:tc>
        <w:tc>
          <w:tcPr>
            <w:tcW w:w="1145" w:type="dxa"/>
            <w:tcBorders/>
          </w:tcPr>
          <w:p>
            <w:pPr>
              <w:pStyle w:val="style4098"/>
              <w:spacing w:before="175"/>
              <w:ind w:left="8"/>
              <w:jc w:val="center"/>
              <w:rPr>
                <w:rFonts w:ascii="黑体" w:eastAsia="黑体" w:hint="eastAsia"/>
                <w:sz w:val="22"/>
              </w:rPr>
            </w:pPr>
            <w:r>
              <w:rPr>
                <w:rFonts w:ascii="黑体" w:eastAsia="黑体" w:hint="eastAsia"/>
                <w:sz w:val="22"/>
              </w:rPr>
              <w:t>规格</w:t>
            </w:r>
          </w:p>
        </w:tc>
        <w:tc>
          <w:tcPr>
            <w:tcW w:w="1064" w:type="dxa"/>
            <w:tcBorders/>
          </w:tcPr>
          <w:p>
            <w:pPr>
              <w:pStyle w:val="style4098"/>
              <w:spacing w:before="175"/>
              <w:ind w:left="312"/>
              <w:rPr>
                <w:rFonts w:ascii="黑体" w:eastAsia="黑体" w:hint="eastAsia"/>
                <w:sz w:val="22"/>
              </w:rPr>
            </w:pPr>
            <w:r>
              <w:rPr>
                <w:rFonts w:ascii="黑体" w:eastAsia="黑体" w:hint="eastAsia"/>
                <w:sz w:val="22"/>
              </w:rPr>
              <w:t>单位</w:t>
            </w:r>
          </w:p>
        </w:tc>
        <w:tc>
          <w:tcPr>
            <w:tcW w:w="1213" w:type="dxa"/>
            <w:tcBorders/>
          </w:tcPr>
          <w:p>
            <w:pPr>
              <w:pStyle w:val="style4098"/>
              <w:spacing w:before="175"/>
              <w:ind w:left="145" w:right="137"/>
              <w:jc w:val="center"/>
              <w:rPr>
                <w:rFonts w:ascii="黑体" w:eastAsia="黑体" w:hint="eastAsia"/>
                <w:sz w:val="22"/>
              </w:rPr>
            </w:pPr>
            <w:r>
              <w:rPr>
                <w:rFonts w:ascii="黑体" w:eastAsia="黑体" w:hint="eastAsia"/>
                <w:sz w:val="22"/>
              </w:rPr>
              <w:t>补偿标准</w:t>
            </w:r>
          </w:p>
        </w:tc>
        <w:tc>
          <w:tcPr>
            <w:tcW w:w="1623" w:type="dxa"/>
            <w:tcBorders/>
          </w:tcPr>
          <w:p>
            <w:pPr>
              <w:pStyle w:val="style4098"/>
              <w:spacing w:before="175"/>
              <w:ind w:left="11"/>
              <w:jc w:val="center"/>
              <w:rPr>
                <w:rFonts w:ascii="黑体" w:eastAsia="黑体" w:hint="eastAsia"/>
                <w:sz w:val="22"/>
              </w:rPr>
            </w:pPr>
            <w:r>
              <w:rPr>
                <w:rFonts w:ascii="黑体" w:eastAsia="黑体" w:hint="eastAsia"/>
                <w:sz w:val="22"/>
              </w:rPr>
              <w:t>备注</w:t>
            </w:r>
          </w:p>
        </w:tc>
      </w:tr>
      <w:tr>
        <w:tblPrEx/>
        <w:trPr>
          <w:trHeight w:val="540" w:hRule="atLeast"/>
        </w:trPr>
        <w:tc>
          <w:tcPr>
            <w:tcW w:w="760" w:type="dxa"/>
            <w:tcBorders/>
          </w:tcPr>
          <w:p>
            <w:pPr>
              <w:pStyle w:val="style4098"/>
              <w:spacing w:before="156"/>
              <w:ind w:left="140" w:right="129"/>
              <w:jc w:val="center"/>
              <w:rPr>
                <w:rFonts w:ascii="Times New Roman"/>
                <w:sz w:val="20"/>
              </w:rPr>
            </w:pPr>
            <w:r>
              <w:rPr>
                <w:rFonts w:ascii="Times New Roman"/>
                <w:sz w:val="20"/>
              </w:rPr>
              <w:t>20</w:t>
            </w:r>
          </w:p>
        </w:tc>
        <w:tc>
          <w:tcPr>
            <w:tcW w:w="1050" w:type="dxa"/>
            <w:vMerge w:val="restart"/>
            <w:tcBorders/>
          </w:tcPr>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spacing w:before="7"/>
              <w:rPr>
                <w:rFonts w:ascii="Times New Roman"/>
                <w:sz w:val="26"/>
              </w:rPr>
            </w:pPr>
          </w:p>
          <w:p>
            <w:pPr>
              <w:pStyle w:val="style4098"/>
              <w:ind w:left="125"/>
              <w:rPr>
                <w:sz w:val="20"/>
              </w:rPr>
            </w:pPr>
            <w:r>
              <w:rPr>
                <w:sz w:val="20"/>
              </w:rPr>
              <w:t>顶面工程</w:t>
            </w:r>
          </w:p>
        </w:tc>
        <w:tc>
          <w:tcPr>
            <w:tcW w:w="1890" w:type="dxa"/>
            <w:tcBorders/>
          </w:tcPr>
          <w:p>
            <w:pPr>
              <w:pStyle w:val="style4098"/>
              <w:spacing w:before="143"/>
              <w:ind w:left="23" w:right="15"/>
              <w:jc w:val="center"/>
              <w:rPr>
                <w:rFonts w:ascii="Times New Roman" w:eastAsia="Times New Roman"/>
                <w:sz w:val="20"/>
              </w:rPr>
            </w:pPr>
            <w:r>
              <w:rPr>
                <w:sz w:val="20"/>
              </w:rPr>
              <w:t xml:space="preserve">厨卫吊顶 </w:t>
            </w:r>
            <w:r>
              <w:rPr>
                <w:rFonts w:ascii="Times New Roman" w:eastAsia="Times New Roman"/>
                <w:sz w:val="20"/>
              </w:rPr>
              <w:t>1</w:t>
            </w:r>
          </w:p>
        </w:tc>
        <w:tc>
          <w:tcPr>
            <w:tcW w:w="1145" w:type="dxa"/>
            <w:tcBorders/>
          </w:tcPr>
          <w:p>
            <w:pPr>
              <w:pStyle w:val="style4098"/>
              <w:spacing w:before="130"/>
              <w:ind w:left="6"/>
              <w:jc w:val="center"/>
              <w:rPr>
                <w:sz w:val="22"/>
              </w:rPr>
            </w:pPr>
            <w:r>
              <w:rPr>
                <w:sz w:val="22"/>
              </w:rPr>
              <w:t>扣板类</w:t>
            </w:r>
          </w:p>
        </w:tc>
        <w:tc>
          <w:tcPr>
            <w:tcW w:w="1064" w:type="dxa"/>
            <w:tcBorders/>
          </w:tcPr>
          <w:p>
            <w:pPr>
              <w:pStyle w:val="style4098"/>
              <w:spacing w:before="143"/>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56"/>
              <w:ind w:left="145" w:right="136"/>
              <w:jc w:val="center"/>
              <w:rPr>
                <w:rFonts w:ascii="Times New Roman"/>
                <w:sz w:val="20"/>
              </w:rPr>
            </w:pPr>
            <w:r>
              <w:rPr>
                <w:rFonts w:ascii="Times New Roman"/>
                <w:sz w:val="20"/>
              </w:rPr>
              <w:t>80</w:t>
            </w:r>
          </w:p>
        </w:tc>
        <w:tc>
          <w:tcPr>
            <w:tcW w:w="1623" w:type="dxa"/>
            <w:tcBorders/>
          </w:tcPr>
          <w:p>
            <w:pPr>
              <w:pStyle w:val="style4098"/>
              <w:rPr>
                <w:rFonts w:ascii="Times New Roman"/>
                <w:sz w:val="20"/>
              </w:rPr>
            </w:pPr>
          </w:p>
        </w:tc>
      </w:tr>
      <w:tr>
        <w:tblPrEx/>
        <w:trPr>
          <w:trHeight w:val="541" w:hRule="atLeast"/>
        </w:trPr>
        <w:tc>
          <w:tcPr>
            <w:tcW w:w="760" w:type="dxa"/>
            <w:tcBorders/>
          </w:tcPr>
          <w:p>
            <w:pPr>
              <w:pStyle w:val="style4098"/>
              <w:spacing w:before="155"/>
              <w:ind w:left="140" w:right="129"/>
              <w:jc w:val="center"/>
              <w:rPr>
                <w:rFonts w:ascii="Times New Roman"/>
                <w:sz w:val="20"/>
              </w:rPr>
            </w:pPr>
            <w:r>
              <w:rPr>
                <w:rFonts w:ascii="Times New Roman"/>
                <w:sz w:val="20"/>
              </w:rPr>
              <w:t>21</w:t>
            </w:r>
          </w:p>
        </w:tc>
        <w:tc>
          <w:tcPr>
            <w:tcW w:w="1050" w:type="dxa"/>
            <w:vMerge w:val="continue"/>
            <w:tcBorders>
              <w:top w:val="nil"/>
            </w:tcBorders>
          </w:tcPr>
          <w:p>
            <w:pPr>
              <w:pStyle w:val="style0"/>
              <w:rPr>
                <w:sz w:val="2"/>
                <w:szCs w:val="2"/>
              </w:rPr>
            </w:pPr>
          </w:p>
        </w:tc>
        <w:tc>
          <w:tcPr>
            <w:tcW w:w="1890" w:type="dxa"/>
            <w:tcBorders/>
          </w:tcPr>
          <w:p>
            <w:pPr>
              <w:pStyle w:val="style4098"/>
              <w:spacing w:before="142"/>
              <w:ind w:left="23" w:right="15"/>
              <w:jc w:val="center"/>
              <w:rPr>
                <w:rFonts w:ascii="Times New Roman" w:eastAsia="Times New Roman"/>
                <w:sz w:val="20"/>
              </w:rPr>
            </w:pPr>
            <w:r>
              <w:rPr>
                <w:sz w:val="20"/>
              </w:rPr>
              <w:t xml:space="preserve">厨卫吊顶 </w:t>
            </w:r>
            <w:r>
              <w:rPr>
                <w:rFonts w:ascii="Times New Roman" w:eastAsia="Times New Roman"/>
                <w:sz w:val="20"/>
              </w:rPr>
              <w:t>2</w:t>
            </w:r>
          </w:p>
        </w:tc>
        <w:tc>
          <w:tcPr>
            <w:tcW w:w="1145" w:type="dxa"/>
            <w:tcBorders/>
          </w:tcPr>
          <w:p>
            <w:pPr>
              <w:pStyle w:val="style4098"/>
              <w:spacing w:before="129"/>
              <w:ind w:left="6"/>
              <w:jc w:val="center"/>
              <w:rPr>
                <w:sz w:val="22"/>
              </w:rPr>
            </w:pPr>
            <w:r>
              <w:rPr>
                <w:sz w:val="22"/>
              </w:rPr>
              <w:t>集成类</w:t>
            </w:r>
          </w:p>
        </w:tc>
        <w:tc>
          <w:tcPr>
            <w:tcW w:w="1064" w:type="dxa"/>
            <w:tcBorders/>
          </w:tcPr>
          <w:p>
            <w:pPr>
              <w:pStyle w:val="style4098"/>
              <w:spacing w:before="142"/>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55"/>
              <w:ind w:left="145" w:right="136"/>
              <w:jc w:val="center"/>
              <w:rPr>
                <w:rFonts w:ascii="Times New Roman"/>
                <w:sz w:val="20"/>
              </w:rPr>
            </w:pPr>
            <w:r>
              <w:rPr>
                <w:rFonts w:ascii="Times New Roman"/>
                <w:sz w:val="20"/>
              </w:rPr>
              <w:t>180</w:t>
            </w:r>
          </w:p>
        </w:tc>
        <w:tc>
          <w:tcPr>
            <w:tcW w:w="1623" w:type="dxa"/>
            <w:tcBorders/>
          </w:tcPr>
          <w:p>
            <w:pPr>
              <w:pStyle w:val="style4098"/>
              <w:rPr>
                <w:rFonts w:ascii="Times New Roman"/>
                <w:sz w:val="20"/>
              </w:rPr>
            </w:pPr>
          </w:p>
        </w:tc>
      </w:tr>
      <w:tr>
        <w:tblPrEx/>
        <w:trPr>
          <w:trHeight w:val="1110" w:hRule="atLeast"/>
        </w:trPr>
        <w:tc>
          <w:tcPr>
            <w:tcW w:w="760" w:type="dxa"/>
            <w:tcBorders/>
          </w:tcPr>
          <w:p>
            <w:pPr>
              <w:pStyle w:val="style4098"/>
              <w:rPr>
                <w:rFonts w:ascii="Times New Roman"/>
                <w:sz w:val="22"/>
              </w:rPr>
            </w:pPr>
          </w:p>
          <w:p>
            <w:pPr>
              <w:pStyle w:val="style4098"/>
              <w:spacing w:before="189"/>
              <w:ind w:left="140" w:right="129"/>
              <w:jc w:val="center"/>
              <w:rPr>
                <w:rFonts w:ascii="Times New Roman"/>
                <w:sz w:val="20"/>
              </w:rPr>
            </w:pPr>
            <w:r>
              <w:rPr>
                <w:rFonts w:ascii="Times New Roman"/>
                <w:sz w:val="20"/>
              </w:rPr>
              <w:t>22</w:t>
            </w:r>
          </w:p>
        </w:tc>
        <w:tc>
          <w:tcPr>
            <w:tcW w:w="1050" w:type="dxa"/>
            <w:vMerge w:val="continue"/>
            <w:tcBorders>
              <w:top w:val="nil"/>
            </w:tcBorders>
          </w:tcPr>
          <w:p>
            <w:pPr>
              <w:pStyle w:val="style0"/>
              <w:rPr>
                <w:sz w:val="2"/>
                <w:szCs w:val="2"/>
              </w:rPr>
            </w:pPr>
          </w:p>
        </w:tc>
        <w:tc>
          <w:tcPr>
            <w:tcW w:w="1890" w:type="dxa"/>
            <w:tcBorders/>
          </w:tcPr>
          <w:p>
            <w:pPr>
              <w:pStyle w:val="style4098"/>
              <w:rPr>
                <w:rFonts w:ascii="Times New Roman"/>
                <w:sz w:val="22"/>
              </w:rPr>
            </w:pPr>
          </w:p>
          <w:p>
            <w:pPr>
              <w:pStyle w:val="style4098"/>
              <w:spacing w:before="175"/>
              <w:ind w:left="23" w:right="15"/>
              <w:jc w:val="center"/>
              <w:rPr>
                <w:rFonts w:ascii="Times New Roman" w:eastAsia="Times New Roman"/>
                <w:sz w:val="20"/>
              </w:rPr>
            </w:pPr>
            <w:r>
              <w:rPr>
                <w:sz w:val="20"/>
              </w:rPr>
              <w:t xml:space="preserve">客餐厅吊顶 </w:t>
            </w:r>
            <w:r>
              <w:rPr>
                <w:rFonts w:ascii="Times New Roman" w:eastAsia="Times New Roman"/>
                <w:sz w:val="20"/>
              </w:rPr>
              <w:t>1</w:t>
            </w:r>
          </w:p>
        </w:tc>
        <w:tc>
          <w:tcPr>
            <w:tcW w:w="1145" w:type="dxa"/>
            <w:tcBorders/>
          </w:tcPr>
          <w:p>
            <w:pPr>
              <w:pStyle w:val="style4098"/>
              <w:rPr>
                <w:rFonts w:ascii="Times New Roman"/>
                <w:sz w:val="22"/>
              </w:rPr>
            </w:pPr>
          </w:p>
          <w:p>
            <w:pPr>
              <w:pStyle w:val="style4098"/>
              <w:spacing w:before="163"/>
              <w:ind w:left="8"/>
              <w:jc w:val="center"/>
              <w:rPr>
                <w:sz w:val="22"/>
              </w:rPr>
            </w:pPr>
            <w:r>
              <w:rPr>
                <w:sz w:val="22"/>
              </w:rPr>
              <w:t>造型</w:t>
            </w:r>
          </w:p>
        </w:tc>
        <w:tc>
          <w:tcPr>
            <w:tcW w:w="1064" w:type="dxa"/>
            <w:tcBorders/>
          </w:tcPr>
          <w:p>
            <w:pPr>
              <w:pStyle w:val="style4098"/>
              <w:rPr>
                <w:rFonts w:ascii="Times New Roman"/>
                <w:sz w:val="22"/>
              </w:rPr>
            </w:pPr>
          </w:p>
          <w:p>
            <w:pPr>
              <w:pStyle w:val="style4098"/>
              <w:spacing w:before="175"/>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rPr>
                <w:rFonts w:ascii="Times New Roman"/>
                <w:sz w:val="22"/>
              </w:rPr>
            </w:pPr>
          </w:p>
          <w:p>
            <w:pPr>
              <w:pStyle w:val="style4098"/>
              <w:spacing w:before="189"/>
              <w:ind w:left="145" w:right="136"/>
              <w:jc w:val="center"/>
              <w:rPr>
                <w:rFonts w:ascii="Times New Roman"/>
                <w:sz w:val="20"/>
              </w:rPr>
            </w:pPr>
            <w:r>
              <w:rPr>
                <w:rFonts w:ascii="Times New Roman"/>
                <w:sz w:val="20"/>
              </w:rPr>
              <w:t>100</w:t>
            </w:r>
          </w:p>
        </w:tc>
        <w:tc>
          <w:tcPr>
            <w:tcW w:w="1623" w:type="dxa"/>
            <w:tcBorders/>
          </w:tcPr>
          <w:p>
            <w:pPr>
              <w:pStyle w:val="style4098"/>
              <w:spacing w:before="68" w:lineRule="auto" w:line="336"/>
              <w:ind w:left="11"/>
              <w:jc w:val="center"/>
              <w:rPr>
                <w:sz w:val="20"/>
              </w:rPr>
            </w:pPr>
            <w:r>
              <w:rPr>
                <w:sz w:val="20"/>
              </w:rPr>
              <w:t>仅有四周，中空无结构，补偿单价含</w:t>
            </w:r>
          </w:p>
          <w:p>
            <w:pPr>
              <w:pStyle w:val="style4098"/>
              <w:spacing w:before="3"/>
              <w:ind w:left="6"/>
              <w:jc w:val="left"/>
              <w:rPr>
                <w:sz w:val="20"/>
              </w:rPr>
            </w:pPr>
            <w:r>
              <w:rPr>
                <w:sz w:val="20"/>
              </w:rPr>
              <w:t>造型中空面积</w:t>
            </w:r>
          </w:p>
        </w:tc>
      </w:tr>
      <w:tr>
        <w:tblPrEx/>
        <w:trPr>
          <w:trHeight w:val="750" w:hRule="atLeast"/>
        </w:trPr>
        <w:tc>
          <w:tcPr>
            <w:tcW w:w="760" w:type="dxa"/>
            <w:tcBorders/>
          </w:tcPr>
          <w:p>
            <w:pPr>
              <w:pStyle w:val="style4098"/>
              <w:spacing w:before="7"/>
              <w:rPr>
                <w:rFonts w:ascii="Times New Roman"/>
                <w:sz w:val="22"/>
              </w:rPr>
            </w:pPr>
          </w:p>
          <w:p>
            <w:pPr>
              <w:pStyle w:val="style4098"/>
              <w:ind w:left="140" w:right="129"/>
              <w:jc w:val="center"/>
              <w:rPr>
                <w:rFonts w:ascii="Times New Roman"/>
                <w:sz w:val="20"/>
              </w:rPr>
            </w:pPr>
            <w:r>
              <w:rPr>
                <w:rFonts w:ascii="Times New Roman"/>
                <w:sz w:val="20"/>
              </w:rPr>
              <w:t>23</w:t>
            </w:r>
          </w:p>
        </w:tc>
        <w:tc>
          <w:tcPr>
            <w:tcW w:w="1050" w:type="dxa"/>
            <w:vMerge w:val="continue"/>
            <w:tcBorders>
              <w:top w:val="nil"/>
            </w:tcBorders>
          </w:tcPr>
          <w:p>
            <w:pPr>
              <w:pStyle w:val="style0"/>
              <w:rPr>
                <w:sz w:val="2"/>
                <w:szCs w:val="2"/>
              </w:rPr>
            </w:pPr>
          </w:p>
        </w:tc>
        <w:tc>
          <w:tcPr>
            <w:tcW w:w="1890" w:type="dxa"/>
            <w:tcBorders/>
          </w:tcPr>
          <w:p>
            <w:pPr>
              <w:pStyle w:val="style4098"/>
              <w:spacing w:before="5"/>
              <w:rPr>
                <w:rFonts w:ascii="Times New Roman"/>
                <w:sz w:val="21"/>
              </w:rPr>
            </w:pPr>
          </w:p>
          <w:p>
            <w:pPr>
              <w:pStyle w:val="style4098"/>
              <w:ind w:left="23" w:right="15"/>
              <w:jc w:val="center"/>
              <w:rPr>
                <w:rFonts w:ascii="Times New Roman" w:eastAsia="Times New Roman"/>
                <w:sz w:val="20"/>
              </w:rPr>
            </w:pPr>
            <w:r>
              <w:rPr>
                <w:sz w:val="20"/>
              </w:rPr>
              <w:t xml:space="preserve">客餐厅吊顶 </w:t>
            </w:r>
            <w:r>
              <w:rPr>
                <w:rFonts w:ascii="Times New Roman" w:eastAsia="Times New Roman"/>
                <w:sz w:val="20"/>
              </w:rPr>
              <w:t>2</w:t>
            </w:r>
          </w:p>
        </w:tc>
        <w:tc>
          <w:tcPr>
            <w:tcW w:w="1145" w:type="dxa"/>
            <w:tcBorders/>
          </w:tcPr>
          <w:p>
            <w:pPr>
              <w:pStyle w:val="style4098"/>
              <w:spacing w:before="4"/>
              <w:rPr>
                <w:rFonts w:ascii="Times New Roman"/>
                <w:sz w:val="20"/>
              </w:rPr>
            </w:pPr>
          </w:p>
          <w:p>
            <w:pPr>
              <w:pStyle w:val="style4098"/>
              <w:ind w:left="8"/>
              <w:jc w:val="center"/>
              <w:rPr>
                <w:sz w:val="22"/>
              </w:rPr>
            </w:pPr>
            <w:r>
              <w:rPr>
                <w:sz w:val="22"/>
              </w:rPr>
              <w:t>平顶</w:t>
            </w:r>
          </w:p>
        </w:tc>
        <w:tc>
          <w:tcPr>
            <w:tcW w:w="1064" w:type="dxa"/>
            <w:tcBorders/>
          </w:tcPr>
          <w:p>
            <w:pPr>
              <w:pStyle w:val="style4098"/>
              <w:spacing w:before="5"/>
              <w:rPr>
                <w:rFonts w:ascii="Times New Roman"/>
                <w:sz w:val="21"/>
              </w:rPr>
            </w:pPr>
          </w:p>
          <w:p>
            <w:pPr>
              <w:pStyle w:val="style4098"/>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7"/>
              <w:rPr>
                <w:rFonts w:ascii="Times New Roman"/>
                <w:sz w:val="22"/>
              </w:rPr>
            </w:pPr>
          </w:p>
          <w:p>
            <w:pPr>
              <w:pStyle w:val="style4098"/>
              <w:ind w:left="145" w:right="136"/>
              <w:jc w:val="center"/>
              <w:rPr>
                <w:rFonts w:ascii="Times New Roman"/>
                <w:sz w:val="20"/>
              </w:rPr>
            </w:pPr>
            <w:r>
              <w:rPr>
                <w:rFonts w:ascii="Times New Roman"/>
                <w:sz w:val="20"/>
              </w:rPr>
              <w:t>100</w:t>
            </w:r>
          </w:p>
        </w:tc>
        <w:tc>
          <w:tcPr>
            <w:tcW w:w="1623" w:type="dxa"/>
            <w:tcBorders/>
          </w:tcPr>
          <w:p>
            <w:pPr>
              <w:pStyle w:val="style4098"/>
              <w:spacing w:before="15" w:lineRule="exact" w:line="360"/>
              <w:ind w:left="711" w:right="4" w:hanging="696"/>
              <w:rPr>
                <w:sz w:val="20"/>
              </w:rPr>
            </w:pPr>
            <w:r>
              <w:rPr>
                <w:spacing w:val="-4"/>
                <w:sz w:val="20"/>
              </w:rPr>
              <w:t>全顶面，含二级吊</w:t>
            </w:r>
            <w:r>
              <w:rPr>
                <w:sz w:val="20"/>
              </w:rPr>
              <w:t>顶</w:t>
            </w:r>
          </w:p>
        </w:tc>
      </w:tr>
      <w:tr>
        <w:tblPrEx/>
        <w:trPr>
          <w:trHeight w:val="646" w:hRule="atLeast"/>
        </w:trPr>
        <w:tc>
          <w:tcPr>
            <w:tcW w:w="760" w:type="dxa"/>
            <w:tcBorders/>
          </w:tcPr>
          <w:p>
            <w:pPr>
              <w:pStyle w:val="style4098"/>
              <w:spacing w:before="1"/>
              <w:rPr>
                <w:rFonts w:ascii="Times New Roman"/>
                <w:sz w:val="18"/>
              </w:rPr>
            </w:pPr>
          </w:p>
          <w:p>
            <w:pPr>
              <w:pStyle w:val="style4098"/>
              <w:ind w:left="140" w:right="129"/>
              <w:jc w:val="center"/>
              <w:rPr>
                <w:rFonts w:ascii="Times New Roman"/>
                <w:sz w:val="20"/>
              </w:rPr>
            </w:pPr>
            <w:r>
              <w:rPr>
                <w:rFonts w:ascii="Times New Roman"/>
                <w:sz w:val="20"/>
              </w:rPr>
              <w:t>24</w:t>
            </w:r>
          </w:p>
        </w:tc>
        <w:tc>
          <w:tcPr>
            <w:tcW w:w="1050" w:type="dxa"/>
            <w:vMerge w:val="continue"/>
            <w:tcBorders>
              <w:top w:val="nil"/>
            </w:tcBorders>
          </w:tcPr>
          <w:p>
            <w:pPr>
              <w:pStyle w:val="style0"/>
              <w:rPr>
                <w:sz w:val="2"/>
                <w:szCs w:val="2"/>
              </w:rPr>
            </w:pPr>
          </w:p>
        </w:tc>
        <w:tc>
          <w:tcPr>
            <w:tcW w:w="1890" w:type="dxa"/>
            <w:tcBorders/>
          </w:tcPr>
          <w:p>
            <w:pPr>
              <w:pStyle w:val="style4098"/>
              <w:spacing w:before="11"/>
              <w:rPr>
                <w:rFonts w:ascii="Times New Roman"/>
                <w:sz w:val="16"/>
              </w:rPr>
            </w:pPr>
          </w:p>
          <w:p>
            <w:pPr>
              <w:pStyle w:val="style4098"/>
              <w:ind w:left="24" w:right="15"/>
              <w:jc w:val="center"/>
              <w:rPr>
                <w:sz w:val="20"/>
              </w:rPr>
            </w:pPr>
            <w:r>
              <w:rPr>
                <w:sz w:val="20"/>
              </w:rPr>
              <w:t>石膏线条、木线条</w:t>
            </w:r>
          </w:p>
        </w:tc>
        <w:tc>
          <w:tcPr>
            <w:tcW w:w="1145" w:type="dxa"/>
            <w:tcBorders/>
          </w:tcPr>
          <w:p>
            <w:pPr>
              <w:pStyle w:val="style4098"/>
              <w:rPr>
                <w:rFonts w:ascii="Times New Roman"/>
                <w:sz w:val="20"/>
              </w:rPr>
            </w:pPr>
          </w:p>
        </w:tc>
        <w:tc>
          <w:tcPr>
            <w:tcW w:w="1064" w:type="dxa"/>
            <w:tcBorders/>
          </w:tcPr>
          <w:p>
            <w:pPr>
              <w:pStyle w:val="style4098"/>
              <w:spacing w:before="195"/>
              <w:ind w:left="326"/>
              <w:rPr>
                <w:rFonts w:ascii="Times New Roman" w:eastAsia="Times New Roman"/>
                <w:sz w:val="20"/>
              </w:rPr>
            </w:pPr>
            <w:r>
              <w:rPr>
                <w:sz w:val="20"/>
              </w:rPr>
              <w:t>元</w:t>
            </w:r>
            <w:r>
              <w:rPr>
                <w:rFonts w:ascii="Times New Roman" w:eastAsia="Times New Roman"/>
                <w:sz w:val="20"/>
              </w:rPr>
              <w:t>/m</w:t>
            </w:r>
          </w:p>
        </w:tc>
        <w:tc>
          <w:tcPr>
            <w:tcW w:w="1213" w:type="dxa"/>
            <w:tcBorders/>
          </w:tcPr>
          <w:p>
            <w:pPr>
              <w:pStyle w:val="style4098"/>
              <w:spacing w:before="1"/>
              <w:rPr>
                <w:rFonts w:ascii="Times New Roman"/>
                <w:sz w:val="18"/>
              </w:rPr>
            </w:pPr>
          </w:p>
          <w:p>
            <w:pPr>
              <w:pStyle w:val="style4098"/>
              <w:ind w:left="145" w:right="136"/>
              <w:jc w:val="center"/>
              <w:rPr>
                <w:rFonts w:ascii="Times New Roman"/>
                <w:sz w:val="20"/>
              </w:rPr>
            </w:pPr>
            <w:r>
              <w:rPr>
                <w:rFonts w:ascii="Times New Roman"/>
                <w:sz w:val="20"/>
              </w:rPr>
              <w:t>10</w:t>
            </w:r>
          </w:p>
        </w:tc>
        <w:tc>
          <w:tcPr>
            <w:tcW w:w="1623" w:type="dxa"/>
            <w:tcBorders/>
          </w:tcPr>
          <w:p>
            <w:pPr>
              <w:pStyle w:val="style4098"/>
              <w:rPr>
                <w:rFonts w:ascii="Times New Roman"/>
                <w:sz w:val="20"/>
              </w:rPr>
            </w:pPr>
          </w:p>
        </w:tc>
      </w:tr>
      <w:tr>
        <w:tblPrEx/>
        <w:trPr>
          <w:trHeight w:val="630" w:hRule="atLeast"/>
        </w:trPr>
        <w:tc>
          <w:tcPr>
            <w:tcW w:w="760" w:type="dxa"/>
            <w:tcBorders/>
          </w:tcPr>
          <w:p>
            <w:pPr>
              <w:pStyle w:val="style4098"/>
              <w:spacing w:before="6"/>
              <w:rPr>
                <w:rFonts w:ascii="Times New Roman"/>
                <w:sz w:val="17"/>
              </w:rPr>
            </w:pPr>
          </w:p>
          <w:p>
            <w:pPr>
              <w:pStyle w:val="style4098"/>
              <w:ind w:left="140" w:right="129"/>
              <w:jc w:val="center"/>
              <w:rPr>
                <w:rFonts w:ascii="Times New Roman"/>
                <w:sz w:val="20"/>
              </w:rPr>
            </w:pPr>
            <w:r>
              <w:rPr>
                <w:rFonts w:ascii="Times New Roman"/>
                <w:sz w:val="20"/>
              </w:rPr>
              <w:t>25</w:t>
            </w:r>
          </w:p>
        </w:tc>
        <w:tc>
          <w:tcPr>
            <w:tcW w:w="1050" w:type="dxa"/>
            <w:vMerge w:val="restart"/>
            <w:tcBorders/>
          </w:tcPr>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spacing w:before="4"/>
              <w:rPr>
                <w:rFonts w:ascii="Times New Roman"/>
                <w:sz w:val="18"/>
              </w:rPr>
            </w:pPr>
          </w:p>
          <w:p>
            <w:pPr>
              <w:pStyle w:val="style4098"/>
              <w:ind w:left="125"/>
              <w:rPr>
                <w:sz w:val="20"/>
              </w:rPr>
            </w:pPr>
            <w:r>
              <w:rPr>
                <w:sz w:val="20"/>
              </w:rPr>
              <w:t>配套设施</w:t>
            </w:r>
          </w:p>
        </w:tc>
        <w:tc>
          <w:tcPr>
            <w:tcW w:w="1890" w:type="dxa"/>
            <w:tcBorders/>
          </w:tcPr>
          <w:p>
            <w:pPr>
              <w:pStyle w:val="style4098"/>
              <w:spacing w:before="4"/>
              <w:rPr>
                <w:rFonts w:ascii="Times New Roman"/>
                <w:sz w:val="16"/>
              </w:rPr>
            </w:pPr>
          </w:p>
          <w:p>
            <w:pPr>
              <w:pStyle w:val="style4098"/>
              <w:ind w:left="24" w:right="15"/>
              <w:jc w:val="center"/>
              <w:rPr>
                <w:sz w:val="20"/>
              </w:rPr>
            </w:pPr>
            <w:r>
              <w:rPr>
                <w:sz w:val="20"/>
              </w:rPr>
              <w:t>鞋柜</w:t>
            </w:r>
          </w:p>
        </w:tc>
        <w:tc>
          <w:tcPr>
            <w:tcW w:w="1145" w:type="dxa"/>
            <w:tcBorders/>
          </w:tcPr>
          <w:p>
            <w:pPr>
              <w:pStyle w:val="style4098"/>
              <w:rPr>
                <w:rFonts w:ascii="Times New Roman"/>
                <w:sz w:val="20"/>
              </w:rPr>
            </w:pPr>
          </w:p>
        </w:tc>
        <w:tc>
          <w:tcPr>
            <w:tcW w:w="1064" w:type="dxa"/>
            <w:tcBorders/>
          </w:tcPr>
          <w:p>
            <w:pPr>
              <w:pStyle w:val="style4098"/>
              <w:spacing w:before="188"/>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6"/>
              <w:rPr>
                <w:rFonts w:ascii="Times New Roman"/>
                <w:sz w:val="17"/>
              </w:rPr>
            </w:pPr>
          </w:p>
          <w:p>
            <w:pPr>
              <w:pStyle w:val="style4098"/>
              <w:ind w:left="145" w:right="136"/>
              <w:jc w:val="center"/>
              <w:rPr>
                <w:rFonts w:ascii="Times New Roman"/>
                <w:sz w:val="20"/>
              </w:rPr>
            </w:pPr>
            <w:r>
              <w:rPr>
                <w:rFonts w:ascii="Times New Roman"/>
                <w:sz w:val="20"/>
              </w:rPr>
              <w:t>300</w:t>
            </w:r>
          </w:p>
        </w:tc>
        <w:tc>
          <w:tcPr>
            <w:tcW w:w="1623" w:type="dxa"/>
            <w:tcBorders/>
          </w:tcPr>
          <w:p>
            <w:pPr>
              <w:pStyle w:val="style4098"/>
              <w:spacing w:before="4"/>
              <w:rPr>
                <w:rFonts w:ascii="Times New Roman"/>
                <w:sz w:val="16"/>
              </w:rPr>
            </w:pPr>
          </w:p>
          <w:p>
            <w:pPr>
              <w:pStyle w:val="style4098"/>
              <w:ind w:left="8"/>
              <w:jc w:val="center"/>
              <w:rPr>
                <w:sz w:val="20"/>
              </w:rPr>
            </w:pPr>
            <w:r>
              <w:rPr>
                <w:sz w:val="20"/>
              </w:rPr>
              <w:t>不可移动</w:t>
            </w:r>
          </w:p>
        </w:tc>
      </w:tr>
      <w:tr>
        <w:tblPrEx/>
        <w:trPr>
          <w:trHeight w:val="630" w:hRule="atLeast"/>
        </w:trPr>
        <w:tc>
          <w:tcPr>
            <w:tcW w:w="760" w:type="dxa"/>
            <w:tcBorders/>
          </w:tcPr>
          <w:p>
            <w:pPr>
              <w:pStyle w:val="style4098"/>
              <w:spacing w:before="7"/>
              <w:rPr>
                <w:rFonts w:ascii="Times New Roman"/>
                <w:sz w:val="17"/>
              </w:rPr>
            </w:pPr>
          </w:p>
          <w:p>
            <w:pPr>
              <w:pStyle w:val="style4098"/>
              <w:ind w:left="140" w:right="129"/>
              <w:jc w:val="center"/>
              <w:rPr>
                <w:rFonts w:ascii="Times New Roman"/>
                <w:sz w:val="20"/>
              </w:rPr>
            </w:pPr>
            <w:r>
              <w:rPr>
                <w:rFonts w:ascii="Times New Roman"/>
                <w:sz w:val="20"/>
              </w:rPr>
              <w:t>26</w:t>
            </w:r>
          </w:p>
        </w:tc>
        <w:tc>
          <w:tcPr>
            <w:tcW w:w="1050" w:type="dxa"/>
            <w:vMerge w:val="continue"/>
            <w:tcBorders>
              <w:top w:val="nil"/>
            </w:tcBorders>
          </w:tcPr>
          <w:p>
            <w:pPr>
              <w:pStyle w:val="style0"/>
              <w:rPr>
                <w:sz w:val="2"/>
                <w:szCs w:val="2"/>
              </w:rPr>
            </w:pPr>
          </w:p>
        </w:tc>
        <w:tc>
          <w:tcPr>
            <w:tcW w:w="1890" w:type="dxa"/>
            <w:tcBorders/>
          </w:tcPr>
          <w:p>
            <w:pPr>
              <w:pStyle w:val="style4098"/>
              <w:spacing w:before="5"/>
              <w:rPr>
                <w:rFonts w:ascii="Times New Roman"/>
                <w:sz w:val="16"/>
              </w:rPr>
            </w:pPr>
          </w:p>
          <w:p>
            <w:pPr>
              <w:pStyle w:val="style4098"/>
              <w:ind w:left="24" w:right="15"/>
              <w:jc w:val="center"/>
              <w:rPr>
                <w:sz w:val="20"/>
              </w:rPr>
            </w:pPr>
            <w:r>
              <w:rPr>
                <w:sz w:val="20"/>
              </w:rPr>
              <w:t>橱柜</w:t>
            </w:r>
          </w:p>
        </w:tc>
        <w:tc>
          <w:tcPr>
            <w:tcW w:w="1145" w:type="dxa"/>
            <w:tcBorders/>
          </w:tcPr>
          <w:p>
            <w:pPr>
              <w:pStyle w:val="style4098"/>
              <w:rPr>
                <w:rFonts w:ascii="Times New Roman"/>
                <w:sz w:val="20"/>
              </w:rPr>
            </w:pPr>
          </w:p>
        </w:tc>
        <w:tc>
          <w:tcPr>
            <w:tcW w:w="1064" w:type="dxa"/>
            <w:tcBorders/>
          </w:tcPr>
          <w:p>
            <w:pPr>
              <w:pStyle w:val="style4098"/>
              <w:spacing w:before="189"/>
              <w:ind w:left="326"/>
              <w:rPr>
                <w:rFonts w:ascii="Times New Roman" w:eastAsia="Times New Roman"/>
                <w:sz w:val="20"/>
              </w:rPr>
            </w:pPr>
            <w:r>
              <w:rPr>
                <w:sz w:val="20"/>
              </w:rPr>
              <w:t>元</w:t>
            </w:r>
            <w:r>
              <w:rPr>
                <w:rFonts w:ascii="Times New Roman" w:eastAsia="Times New Roman"/>
                <w:sz w:val="20"/>
              </w:rPr>
              <w:t>/m</w:t>
            </w:r>
          </w:p>
        </w:tc>
        <w:tc>
          <w:tcPr>
            <w:tcW w:w="1213" w:type="dxa"/>
            <w:tcBorders/>
          </w:tcPr>
          <w:p>
            <w:pPr>
              <w:pStyle w:val="style4098"/>
              <w:spacing w:before="7"/>
              <w:rPr>
                <w:rFonts w:ascii="Times New Roman"/>
                <w:sz w:val="17"/>
              </w:rPr>
            </w:pPr>
          </w:p>
          <w:p>
            <w:pPr>
              <w:pStyle w:val="style4098"/>
              <w:ind w:left="145" w:right="136"/>
              <w:jc w:val="center"/>
              <w:rPr>
                <w:rFonts w:ascii="Times New Roman"/>
                <w:sz w:val="20"/>
              </w:rPr>
            </w:pPr>
            <w:r>
              <w:rPr>
                <w:rFonts w:ascii="Times New Roman"/>
                <w:sz w:val="20"/>
              </w:rPr>
              <w:t>600</w:t>
            </w:r>
          </w:p>
        </w:tc>
        <w:tc>
          <w:tcPr>
            <w:tcW w:w="1623" w:type="dxa"/>
            <w:tcBorders/>
          </w:tcPr>
          <w:p>
            <w:pPr>
              <w:pStyle w:val="style4098"/>
              <w:spacing w:before="5"/>
              <w:rPr>
                <w:rFonts w:ascii="Times New Roman"/>
                <w:sz w:val="16"/>
              </w:rPr>
            </w:pPr>
          </w:p>
          <w:p>
            <w:pPr>
              <w:pStyle w:val="style4098"/>
              <w:ind w:left="8"/>
              <w:jc w:val="center"/>
              <w:rPr>
                <w:sz w:val="20"/>
              </w:rPr>
            </w:pPr>
            <w:r>
              <w:rPr>
                <w:sz w:val="20"/>
              </w:rPr>
              <w:t>不可移动</w:t>
            </w:r>
          </w:p>
        </w:tc>
      </w:tr>
      <w:tr>
        <w:tblPrEx/>
        <w:trPr>
          <w:trHeight w:val="630" w:hRule="atLeast"/>
        </w:trPr>
        <w:tc>
          <w:tcPr>
            <w:tcW w:w="760" w:type="dxa"/>
            <w:tcBorders/>
          </w:tcPr>
          <w:p>
            <w:pPr>
              <w:pStyle w:val="style4098"/>
              <w:spacing w:before="5"/>
              <w:rPr>
                <w:rFonts w:ascii="Times New Roman"/>
                <w:sz w:val="17"/>
              </w:rPr>
            </w:pPr>
          </w:p>
          <w:p>
            <w:pPr>
              <w:pStyle w:val="style4098"/>
              <w:ind w:left="140" w:right="129"/>
              <w:jc w:val="center"/>
              <w:rPr>
                <w:rFonts w:ascii="Times New Roman"/>
                <w:sz w:val="20"/>
              </w:rPr>
            </w:pPr>
            <w:r>
              <w:rPr>
                <w:rFonts w:ascii="Times New Roman"/>
                <w:sz w:val="20"/>
              </w:rPr>
              <w:t>27</w:t>
            </w:r>
          </w:p>
        </w:tc>
        <w:tc>
          <w:tcPr>
            <w:tcW w:w="1050" w:type="dxa"/>
            <w:vMerge w:val="continue"/>
            <w:tcBorders>
              <w:top w:val="nil"/>
            </w:tcBorders>
          </w:tcPr>
          <w:p>
            <w:pPr>
              <w:pStyle w:val="style0"/>
              <w:rPr>
                <w:sz w:val="2"/>
                <w:szCs w:val="2"/>
              </w:rPr>
            </w:pPr>
          </w:p>
        </w:tc>
        <w:tc>
          <w:tcPr>
            <w:tcW w:w="1890" w:type="dxa"/>
            <w:tcBorders/>
          </w:tcPr>
          <w:p>
            <w:pPr>
              <w:pStyle w:val="style4098"/>
              <w:spacing w:before="3"/>
              <w:rPr>
                <w:rFonts w:ascii="Times New Roman"/>
                <w:sz w:val="16"/>
              </w:rPr>
            </w:pPr>
          </w:p>
          <w:p>
            <w:pPr>
              <w:pStyle w:val="style4098"/>
              <w:ind w:left="24" w:right="15"/>
              <w:jc w:val="center"/>
              <w:rPr>
                <w:sz w:val="20"/>
              </w:rPr>
            </w:pPr>
            <w:r>
              <w:rPr>
                <w:sz w:val="20"/>
              </w:rPr>
              <w:t>瓷砖地柜（吊柜）</w:t>
            </w:r>
          </w:p>
        </w:tc>
        <w:tc>
          <w:tcPr>
            <w:tcW w:w="1145" w:type="dxa"/>
            <w:tcBorders/>
          </w:tcPr>
          <w:p>
            <w:pPr>
              <w:pStyle w:val="style4098"/>
              <w:rPr>
                <w:rFonts w:ascii="Times New Roman"/>
                <w:sz w:val="20"/>
              </w:rPr>
            </w:pPr>
          </w:p>
        </w:tc>
        <w:tc>
          <w:tcPr>
            <w:tcW w:w="1064" w:type="dxa"/>
            <w:tcBorders/>
          </w:tcPr>
          <w:p>
            <w:pPr>
              <w:pStyle w:val="style4098"/>
              <w:spacing w:before="187"/>
              <w:ind w:left="326"/>
              <w:rPr>
                <w:rFonts w:ascii="Times New Roman" w:eastAsia="Times New Roman"/>
                <w:sz w:val="20"/>
              </w:rPr>
            </w:pPr>
            <w:r>
              <w:rPr>
                <w:sz w:val="20"/>
              </w:rPr>
              <w:t>元</w:t>
            </w:r>
            <w:r>
              <w:rPr>
                <w:rFonts w:ascii="Times New Roman" w:eastAsia="Times New Roman"/>
                <w:sz w:val="20"/>
              </w:rPr>
              <w:t>/m</w:t>
            </w:r>
          </w:p>
        </w:tc>
        <w:tc>
          <w:tcPr>
            <w:tcW w:w="1213" w:type="dxa"/>
            <w:tcBorders/>
          </w:tcPr>
          <w:p>
            <w:pPr>
              <w:pStyle w:val="style4098"/>
              <w:spacing w:before="5"/>
              <w:rPr>
                <w:rFonts w:ascii="Times New Roman"/>
                <w:sz w:val="17"/>
              </w:rPr>
            </w:pPr>
          </w:p>
          <w:p>
            <w:pPr>
              <w:pStyle w:val="style4098"/>
              <w:ind w:left="145" w:right="136"/>
              <w:jc w:val="center"/>
              <w:rPr>
                <w:rFonts w:ascii="Times New Roman"/>
                <w:sz w:val="20"/>
              </w:rPr>
            </w:pPr>
            <w:r>
              <w:rPr>
                <w:rFonts w:ascii="Times New Roman"/>
                <w:sz w:val="20"/>
              </w:rPr>
              <w:t>200</w:t>
            </w:r>
          </w:p>
        </w:tc>
        <w:tc>
          <w:tcPr>
            <w:tcW w:w="1623" w:type="dxa"/>
            <w:tcBorders/>
          </w:tcPr>
          <w:p>
            <w:pPr>
              <w:pStyle w:val="style4098"/>
              <w:spacing w:before="3"/>
              <w:rPr>
                <w:rFonts w:ascii="Times New Roman"/>
                <w:sz w:val="16"/>
              </w:rPr>
            </w:pPr>
          </w:p>
          <w:p>
            <w:pPr>
              <w:pStyle w:val="style4098"/>
              <w:ind w:left="8"/>
              <w:jc w:val="center"/>
              <w:rPr>
                <w:sz w:val="20"/>
              </w:rPr>
            </w:pPr>
            <w:r>
              <w:rPr>
                <w:sz w:val="20"/>
              </w:rPr>
              <w:t>不可移动</w:t>
            </w:r>
          </w:p>
        </w:tc>
      </w:tr>
      <w:tr>
        <w:tblPrEx/>
        <w:trPr>
          <w:trHeight w:val="630" w:hRule="atLeast"/>
        </w:trPr>
        <w:tc>
          <w:tcPr>
            <w:tcW w:w="760" w:type="dxa"/>
            <w:tcBorders/>
          </w:tcPr>
          <w:p>
            <w:pPr>
              <w:pStyle w:val="style4098"/>
              <w:spacing w:before="6"/>
              <w:rPr>
                <w:rFonts w:ascii="Times New Roman"/>
                <w:sz w:val="17"/>
              </w:rPr>
            </w:pPr>
          </w:p>
          <w:p>
            <w:pPr>
              <w:pStyle w:val="style4098"/>
              <w:ind w:left="140" w:right="129"/>
              <w:jc w:val="center"/>
              <w:rPr>
                <w:rFonts w:ascii="Times New Roman"/>
                <w:sz w:val="20"/>
              </w:rPr>
            </w:pPr>
            <w:r>
              <w:rPr>
                <w:rFonts w:ascii="Times New Roman"/>
                <w:sz w:val="20"/>
              </w:rPr>
              <w:t>28</w:t>
            </w:r>
          </w:p>
        </w:tc>
        <w:tc>
          <w:tcPr>
            <w:tcW w:w="1050" w:type="dxa"/>
            <w:vMerge w:val="continue"/>
            <w:tcBorders>
              <w:top w:val="nil"/>
            </w:tcBorders>
          </w:tcPr>
          <w:p>
            <w:pPr>
              <w:pStyle w:val="style0"/>
              <w:rPr>
                <w:sz w:val="2"/>
                <w:szCs w:val="2"/>
              </w:rPr>
            </w:pPr>
          </w:p>
        </w:tc>
        <w:tc>
          <w:tcPr>
            <w:tcW w:w="1890" w:type="dxa"/>
            <w:tcBorders/>
          </w:tcPr>
          <w:p>
            <w:pPr>
              <w:pStyle w:val="style4098"/>
              <w:spacing w:before="188"/>
              <w:ind w:left="23" w:right="15"/>
              <w:jc w:val="center"/>
              <w:rPr>
                <w:rFonts w:ascii="Times New Roman" w:eastAsia="Times New Roman"/>
                <w:sz w:val="20"/>
              </w:rPr>
            </w:pPr>
            <w:r>
              <w:rPr>
                <w:sz w:val="20"/>
              </w:rPr>
              <w:t xml:space="preserve">壁柜 </w:t>
            </w:r>
            <w:r>
              <w:rPr>
                <w:rFonts w:ascii="Times New Roman" w:eastAsia="Times New Roman"/>
                <w:sz w:val="20"/>
              </w:rPr>
              <w:t>1</w:t>
            </w:r>
          </w:p>
        </w:tc>
        <w:tc>
          <w:tcPr>
            <w:tcW w:w="1145" w:type="dxa"/>
            <w:tcBorders/>
          </w:tcPr>
          <w:p>
            <w:pPr>
              <w:pStyle w:val="style4098"/>
              <w:spacing w:before="175"/>
              <w:ind w:left="8"/>
              <w:jc w:val="center"/>
              <w:rPr>
                <w:sz w:val="22"/>
              </w:rPr>
            </w:pPr>
            <w:r>
              <w:rPr>
                <w:sz w:val="22"/>
              </w:rPr>
              <w:t>含门</w:t>
            </w:r>
          </w:p>
        </w:tc>
        <w:tc>
          <w:tcPr>
            <w:tcW w:w="1064" w:type="dxa"/>
            <w:tcBorders/>
          </w:tcPr>
          <w:p>
            <w:pPr>
              <w:pStyle w:val="style4098"/>
              <w:spacing w:before="188"/>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6"/>
              <w:rPr>
                <w:rFonts w:ascii="Times New Roman"/>
                <w:sz w:val="17"/>
              </w:rPr>
            </w:pPr>
          </w:p>
          <w:p>
            <w:pPr>
              <w:pStyle w:val="style4098"/>
              <w:ind w:left="145" w:right="136"/>
              <w:jc w:val="center"/>
              <w:rPr>
                <w:rFonts w:ascii="Times New Roman"/>
                <w:sz w:val="20"/>
              </w:rPr>
            </w:pPr>
            <w:r>
              <w:rPr>
                <w:rFonts w:ascii="Times New Roman"/>
                <w:sz w:val="20"/>
              </w:rPr>
              <w:t>400</w:t>
            </w:r>
          </w:p>
        </w:tc>
        <w:tc>
          <w:tcPr>
            <w:tcW w:w="1623" w:type="dxa"/>
            <w:tcBorders/>
          </w:tcPr>
          <w:p>
            <w:pPr>
              <w:pStyle w:val="style4098"/>
              <w:spacing w:before="4"/>
              <w:rPr>
                <w:rFonts w:ascii="Times New Roman"/>
                <w:sz w:val="16"/>
              </w:rPr>
            </w:pPr>
          </w:p>
          <w:p>
            <w:pPr>
              <w:pStyle w:val="style4098"/>
              <w:ind w:left="8"/>
              <w:jc w:val="center"/>
              <w:rPr>
                <w:sz w:val="20"/>
              </w:rPr>
            </w:pPr>
            <w:r>
              <w:rPr>
                <w:sz w:val="20"/>
              </w:rPr>
              <w:t>不可移动</w:t>
            </w:r>
          </w:p>
        </w:tc>
      </w:tr>
      <w:tr>
        <w:tblPrEx/>
        <w:trPr>
          <w:trHeight w:val="630" w:hRule="atLeast"/>
        </w:trPr>
        <w:tc>
          <w:tcPr>
            <w:tcW w:w="760" w:type="dxa"/>
            <w:tcBorders/>
          </w:tcPr>
          <w:p>
            <w:pPr>
              <w:pStyle w:val="style4098"/>
              <w:spacing w:before="7"/>
              <w:rPr>
                <w:rFonts w:ascii="Times New Roman"/>
                <w:sz w:val="17"/>
              </w:rPr>
            </w:pPr>
          </w:p>
          <w:p>
            <w:pPr>
              <w:pStyle w:val="style4098"/>
              <w:ind w:left="140" w:right="129"/>
              <w:jc w:val="center"/>
              <w:rPr>
                <w:rFonts w:ascii="Times New Roman"/>
                <w:sz w:val="20"/>
              </w:rPr>
            </w:pPr>
            <w:r>
              <w:rPr>
                <w:rFonts w:ascii="Times New Roman"/>
                <w:sz w:val="20"/>
              </w:rPr>
              <w:t>29</w:t>
            </w:r>
          </w:p>
        </w:tc>
        <w:tc>
          <w:tcPr>
            <w:tcW w:w="1050" w:type="dxa"/>
            <w:vMerge w:val="continue"/>
            <w:tcBorders>
              <w:top w:val="nil"/>
            </w:tcBorders>
          </w:tcPr>
          <w:p>
            <w:pPr>
              <w:pStyle w:val="style0"/>
              <w:rPr>
                <w:sz w:val="2"/>
                <w:szCs w:val="2"/>
              </w:rPr>
            </w:pPr>
          </w:p>
        </w:tc>
        <w:tc>
          <w:tcPr>
            <w:tcW w:w="1890" w:type="dxa"/>
            <w:tcBorders/>
          </w:tcPr>
          <w:p>
            <w:pPr>
              <w:pStyle w:val="style4098"/>
              <w:spacing w:before="189"/>
              <w:ind w:left="23" w:right="15"/>
              <w:jc w:val="center"/>
              <w:rPr>
                <w:rFonts w:ascii="Times New Roman" w:eastAsia="Times New Roman"/>
                <w:sz w:val="20"/>
              </w:rPr>
            </w:pPr>
            <w:r>
              <w:rPr>
                <w:sz w:val="20"/>
              </w:rPr>
              <w:t xml:space="preserve">壁柜 </w:t>
            </w:r>
            <w:r>
              <w:rPr>
                <w:rFonts w:ascii="Times New Roman" w:eastAsia="Times New Roman"/>
                <w:sz w:val="20"/>
              </w:rPr>
              <w:t>2</w:t>
            </w:r>
          </w:p>
        </w:tc>
        <w:tc>
          <w:tcPr>
            <w:tcW w:w="1145" w:type="dxa"/>
            <w:tcBorders/>
          </w:tcPr>
          <w:p>
            <w:pPr>
              <w:pStyle w:val="style4098"/>
              <w:spacing w:before="174"/>
              <w:ind w:left="8"/>
              <w:jc w:val="center"/>
              <w:rPr>
                <w:sz w:val="22"/>
              </w:rPr>
            </w:pPr>
            <w:r>
              <w:rPr>
                <w:sz w:val="22"/>
              </w:rPr>
              <w:t>无门</w:t>
            </w:r>
          </w:p>
        </w:tc>
        <w:tc>
          <w:tcPr>
            <w:tcW w:w="1064" w:type="dxa"/>
            <w:tcBorders/>
          </w:tcPr>
          <w:p>
            <w:pPr>
              <w:pStyle w:val="style4098"/>
              <w:spacing w:before="189"/>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7"/>
              <w:rPr>
                <w:rFonts w:ascii="Times New Roman"/>
                <w:sz w:val="17"/>
              </w:rPr>
            </w:pPr>
          </w:p>
          <w:p>
            <w:pPr>
              <w:pStyle w:val="style4098"/>
              <w:ind w:left="145" w:right="136"/>
              <w:jc w:val="center"/>
              <w:rPr>
                <w:rFonts w:ascii="Times New Roman"/>
                <w:sz w:val="20"/>
              </w:rPr>
            </w:pPr>
            <w:r>
              <w:rPr>
                <w:rFonts w:ascii="Times New Roman"/>
                <w:sz w:val="20"/>
              </w:rPr>
              <w:t>300</w:t>
            </w:r>
          </w:p>
        </w:tc>
        <w:tc>
          <w:tcPr>
            <w:tcW w:w="1623" w:type="dxa"/>
            <w:tcBorders/>
          </w:tcPr>
          <w:p>
            <w:pPr>
              <w:pStyle w:val="style4098"/>
              <w:spacing w:before="5"/>
              <w:rPr>
                <w:rFonts w:ascii="Times New Roman"/>
                <w:sz w:val="16"/>
              </w:rPr>
            </w:pPr>
          </w:p>
          <w:p>
            <w:pPr>
              <w:pStyle w:val="style4098"/>
              <w:ind w:left="8"/>
              <w:jc w:val="center"/>
              <w:rPr>
                <w:sz w:val="20"/>
              </w:rPr>
            </w:pPr>
            <w:r>
              <w:rPr>
                <w:sz w:val="20"/>
              </w:rPr>
              <w:t>不可移动</w:t>
            </w:r>
          </w:p>
        </w:tc>
      </w:tr>
      <w:tr>
        <w:tblPrEx/>
        <w:trPr>
          <w:trHeight w:val="630" w:hRule="atLeast"/>
        </w:trPr>
        <w:tc>
          <w:tcPr>
            <w:tcW w:w="760" w:type="dxa"/>
            <w:tcBorders/>
          </w:tcPr>
          <w:p>
            <w:pPr>
              <w:pStyle w:val="style4098"/>
              <w:spacing w:before="5"/>
              <w:rPr>
                <w:rFonts w:ascii="Times New Roman"/>
                <w:sz w:val="17"/>
              </w:rPr>
            </w:pPr>
          </w:p>
          <w:p>
            <w:pPr>
              <w:pStyle w:val="style4098"/>
              <w:ind w:left="140" w:right="129"/>
              <w:jc w:val="center"/>
              <w:rPr>
                <w:rFonts w:ascii="Times New Roman"/>
                <w:sz w:val="20"/>
              </w:rPr>
            </w:pPr>
            <w:r>
              <w:rPr>
                <w:rFonts w:ascii="Times New Roman"/>
                <w:sz w:val="20"/>
              </w:rPr>
              <w:t>30</w:t>
            </w:r>
          </w:p>
        </w:tc>
        <w:tc>
          <w:tcPr>
            <w:tcW w:w="1050" w:type="dxa"/>
            <w:vMerge w:val="continue"/>
            <w:tcBorders>
              <w:top w:val="nil"/>
            </w:tcBorders>
          </w:tcPr>
          <w:p>
            <w:pPr>
              <w:pStyle w:val="style0"/>
              <w:rPr>
                <w:sz w:val="2"/>
                <w:szCs w:val="2"/>
              </w:rPr>
            </w:pPr>
          </w:p>
        </w:tc>
        <w:tc>
          <w:tcPr>
            <w:tcW w:w="1890" w:type="dxa"/>
            <w:tcBorders/>
          </w:tcPr>
          <w:p>
            <w:pPr>
              <w:pStyle w:val="style4098"/>
              <w:spacing w:before="3"/>
              <w:rPr>
                <w:rFonts w:ascii="Times New Roman"/>
                <w:sz w:val="16"/>
              </w:rPr>
            </w:pPr>
          </w:p>
          <w:p>
            <w:pPr>
              <w:pStyle w:val="style4098"/>
              <w:ind w:left="22" w:right="15"/>
              <w:jc w:val="center"/>
              <w:rPr>
                <w:sz w:val="20"/>
              </w:rPr>
            </w:pPr>
            <w:r>
              <w:rPr>
                <w:sz w:val="20"/>
              </w:rPr>
              <w:t>铝合金窗</w:t>
            </w:r>
          </w:p>
        </w:tc>
        <w:tc>
          <w:tcPr>
            <w:tcW w:w="1145" w:type="dxa"/>
            <w:tcBorders/>
          </w:tcPr>
          <w:p>
            <w:pPr>
              <w:pStyle w:val="style4098"/>
              <w:rPr>
                <w:rFonts w:ascii="Times New Roman"/>
                <w:sz w:val="20"/>
              </w:rPr>
            </w:pPr>
          </w:p>
        </w:tc>
        <w:tc>
          <w:tcPr>
            <w:tcW w:w="1064" w:type="dxa"/>
            <w:tcBorders/>
          </w:tcPr>
          <w:p>
            <w:pPr>
              <w:pStyle w:val="style4098"/>
              <w:spacing w:before="187"/>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5"/>
              <w:rPr>
                <w:rFonts w:ascii="Times New Roman"/>
                <w:sz w:val="17"/>
              </w:rPr>
            </w:pPr>
          </w:p>
          <w:p>
            <w:pPr>
              <w:pStyle w:val="style4098"/>
              <w:ind w:left="145" w:right="136"/>
              <w:jc w:val="center"/>
              <w:rPr>
                <w:rFonts w:ascii="Times New Roman"/>
                <w:sz w:val="20"/>
              </w:rPr>
            </w:pPr>
            <w:r>
              <w:rPr>
                <w:rFonts w:ascii="Times New Roman"/>
                <w:sz w:val="20"/>
              </w:rPr>
              <w:t>100</w:t>
            </w:r>
          </w:p>
        </w:tc>
        <w:tc>
          <w:tcPr>
            <w:tcW w:w="1623" w:type="dxa"/>
            <w:tcBorders/>
          </w:tcPr>
          <w:p>
            <w:pPr>
              <w:pStyle w:val="style4098"/>
              <w:spacing w:before="3"/>
              <w:rPr>
                <w:rFonts w:ascii="Times New Roman"/>
                <w:sz w:val="16"/>
              </w:rPr>
            </w:pPr>
          </w:p>
          <w:p>
            <w:pPr>
              <w:pStyle w:val="style4098"/>
              <w:ind w:left="8"/>
              <w:jc w:val="center"/>
              <w:rPr>
                <w:sz w:val="20"/>
              </w:rPr>
            </w:pPr>
            <w:r>
              <w:rPr>
                <w:sz w:val="20"/>
              </w:rPr>
              <w:t>双层窗户</w:t>
            </w:r>
          </w:p>
        </w:tc>
      </w:tr>
      <w:tr>
        <w:tblPrEx/>
        <w:trPr>
          <w:trHeight w:val="457" w:hRule="atLeast"/>
        </w:trPr>
        <w:tc>
          <w:tcPr>
            <w:tcW w:w="760" w:type="dxa"/>
            <w:tcBorders/>
          </w:tcPr>
          <w:p>
            <w:pPr>
              <w:pStyle w:val="style4098"/>
              <w:spacing w:before="115"/>
              <w:ind w:left="140" w:right="129"/>
              <w:jc w:val="center"/>
              <w:rPr>
                <w:rFonts w:ascii="Times New Roman"/>
                <w:sz w:val="20"/>
              </w:rPr>
            </w:pPr>
            <w:r>
              <w:rPr>
                <w:rFonts w:ascii="Times New Roman"/>
                <w:sz w:val="20"/>
              </w:rPr>
              <w:t>31</w:t>
            </w:r>
          </w:p>
        </w:tc>
        <w:tc>
          <w:tcPr>
            <w:tcW w:w="1050" w:type="dxa"/>
            <w:vMerge w:val="continue"/>
            <w:tcBorders>
              <w:top w:val="nil"/>
            </w:tcBorders>
          </w:tcPr>
          <w:p>
            <w:pPr>
              <w:pStyle w:val="style0"/>
              <w:rPr>
                <w:sz w:val="2"/>
                <w:szCs w:val="2"/>
              </w:rPr>
            </w:pPr>
          </w:p>
        </w:tc>
        <w:tc>
          <w:tcPr>
            <w:tcW w:w="1890" w:type="dxa"/>
            <w:tcBorders/>
          </w:tcPr>
          <w:p>
            <w:pPr>
              <w:pStyle w:val="style4098"/>
              <w:spacing w:before="102"/>
              <w:ind w:left="22" w:right="15"/>
              <w:jc w:val="center"/>
              <w:rPr>
                <w:sz w:val="20"/>
              </w:rPr>
            </w:pPr>
            <w:r>
              <w:rPr>
                <w:sz w:val="20"/>
              </w:rPr>
              <w:t>铝合金门</w:t>
            </w:r>
          </w:p>
        </w:tc>
        <w:tc>
          <w:tcPr>
            <w:tcW w:w="1145" w:type="dxa"/>
            <w:tcBorders/>
          </w:tcPr>
          <w:p>
            <w:pPr>
              <w:pStyle w:val="style4098"/>
              <w:rPr>
                <w:rFonts w:ascii="Times New Roman"/>
                <w:sz w:val="20"/>
              </w:rPr>
            </w:pPr>
          </w:p>
        </w:tc>
        <w:tc>
          <w:tcPr>
            <w:tcW w:w="1064" w:type="dxa"/>
            <w:tcBorders/>
          </w:tcPr>
          <w:p>
            <w:pPr>
              <w:pStyle w:val="style4098"/>
              <w:spacing w:before="102"/>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15"/>
              <w:ind w:left="145" w:right="136"/>
              <w:jc w:val="center"/>
              <w:rPr>
                <w:rFonts w:ascii="Times New Roman"/>
                <w:sz w:val="20"/>
              </w:rPr>
            </w:pPr>
            <w:r>
              <w:rPr>
                <w:rFonts w:ascii="Times New Roman"/>
                <w:sz w:val="20"/>
              </w:rPr>
              <w:t>100</w:t>
            </w:r>
          </w:p>
        </w:tc>
        <w:tc>
          <w:tcPr>
            <w:tcW w:w="1623" w:type="dxa"/>
            <w:tcBorders/>
          </w:tcPr>
          <w:p>
            <w:pPr>
              <w:pStyle w:val="style4098"/>
              <w:rPr>
                <w:rFonts w:ascii="Times New Roman"/>
                <w:sz w:val="20"/>
              </w:rPr>
            </w:pPr>
          </w:p>
        </w:tc>
      </w:tr>
      <w:tr>
        <w:tblPrEx/>
        <w:trPr>
          <w:trHeight w:val="512" w:hRule="atLeast"/>
        </w:trPr>
        <w:tc>
          <w:tcPr>
            <w:tcW w:w="760" w:type="dxa"/>
            <w:tcBorders/>
          </w:tcPr>
          <w:p>
            <w:pPr>
              <w:pStyle w:val="style4098"/>
              <w:spacing w:before="141"/>
              <w:ind w:left="140" w:right="129"/>
              <w:jc w:val="center"/>
              <w:rPr>
                <w:rFonts w:ascii="Times New Roman"/>
                <w:sz w:val="20"/>
              </w:rPr>
            </w:pPr>
            <w:r>
              <w:rPr>
                <w:rFonts w:ascii="Times New Roman"/>
                <w:sz w:val="20"/>
              </w:rPr>
              <w:t>32</w:t>
            </w:r>
          </w:p>
        </w:tc>
        <w:tc>
          <w:tcPr>
            <w:tcW w:w="1050" w:type="dxa"/>
            <w:vMerge w:val="continue"/>
            <w:tcBorders>
              <w:top w:val="nil"/>
            </w:tcBorders>
          </w:tcPr>
          <w:p>
            <w:pPr>
              <w:pStyle w:val="style0"/>
              <w:rPr>
                <w:sz w:val="2"/>
                <w:szCs w:val="2"/>
              </w:rPr>
            </w:pPr>
          </w:p>
        </w:tc>
        <w:tc>
          <w:tcPr>
            <w:tcW w:w="1890" w:type="dxa"/>
            <w:tcBorders/>
          </w:tcPr>
          <w:p>
            <w:pPr>
              <w:pStyle w:val="style4098"/>
              <w:spacing w:before="128"/>
              <w:ind w:left="23" w:right="15"/>
              <w:jc w:val="center"/>
              <w:rPr>
                <w:rFonts w:ascii="Times New Roman" w:eastAsia="Times New Roman"/>
                <w:sz w:val="20"/>
              </w:rPr>
            </w:pPr>
            <w:r>
              <w:rPr>
                <w:sz w:val="20"/>
              </w:rPr>
              <w:t xml:space="preserve">防盗窗 </w:t>
            </w:r>
            <w:r>
              <w:rPr>
                <w:rFonts w:ascii="Times New Roman" w:eastAsia="Times New Roman"/>
                <w:sz w:val="20"/>
              </w:rPr>
              <w:t>1</w:t>
            </w:r>
          </w:p>
        </w:tc>
        <w:tc>
          <w:tcPr>
            <w:tcW w:w="1145" w:type="dxa"/>
            <w:tcBorders/>
          </w:tcPr>
          <w:p>
            <w:pPr>
              <w:pStyle w:val="style4098"/>
              <w:spacing w:before="115"/>
              <w:ind w:left="6"/>
              <w:jc w:val="center"/>
              <w:rPr>
                <w:sz w:val="22"/>
              </w:rPr>
            </w:pPr>
            <w:r>
              <w:rPr>
                <w:sz w:val="22"/>
              </w:rPr>
              <w:t>不锈钢</w:t>
            </w:r>
          </w:p>
        </w:tc>
        <w:tc>
          <w:tcPr>
            <w:tcW w:w="1064" w:type="dxa"/>
            <w:tcBorders/>
          </w:tcPr>
          <w:p>
            <w:pPr>
              <w:pStyle w:val="style4098"/>
              <w:spacing w:before="128"/>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41"/>
              <w:ind w:left="145" w:right="136"/>
              <w:jc w:val="center"/>
              <w:rPr>
                <w:rFonts w:ascii="Times New Roman"/>
                <w:sz w:val="20"/>
              </w:rPr>
            </w:pPr>
            <w:r>
              <w:rPr>
                <w:rFonts w:ascii="Times New Roman"/>
                <w:sz w:val="20"/>
              </w:rPr>
              <w:t>90</w:t>
            </w:r>
          </w:p>
        </w:tc>
        <w:tc>
          <w:tcPr>
            <w:tcW w:w="1623" w:type="dxa"/>
            <w:tcBorders/>
          </w:tcPr>
          <w:p>
            <w:pPr>
              <w:pStyle w:val="style4098"/>
              <w:rPr>
                <w:rFonts w:ascii="Times New Roman"/>
                <w:sz w:val="20"/>
              </w:rPr>
            </w:pPr>
          </w:p>
        </w:tc>
      </w:tr>
      <w:tr>
        <w:tblPrEx/>
        <w:trPr>
          <w:trHeight w:val="520" w:hRule="atLeast"/>
        </w:trPr>
        <w:tc>
          <w:tcPr>
            <w:tcW w:w="760" w:type="dxa"/>
            <w:tcBorders/>
          </w:tcPr>
          <w:p>
            <w:pPr>
              <w:pStyle w:val="style4098"/>
              <w:spacing w:before="146"/>
              <w:ind w:left="140" w:right="129"/>
              <w:jc w:val="center"/>
              <w:rPr>
                <w:rFonts w:ascii="Times New Roman"/>
                <w:sz w:val="20"/>
              </w:rPr>
            </w:pPr>
            <w:r>
              <w:rPr>
                <w:rFonts w:ascii="Times New Roman"/>
                <w:sz w:val="20"/>
              </w:rPr>
              <w:t>33</w:t>
            </w:r>
          </w:p>
        </w:tc>
        <w:tc>
          <w:tcPr>
            <w:tcW w:w="1050" w:type="dxa"/>
            <w:vMerge w:val="continue"/>
            <w:tcBorders>
              <w:top w:val="nil"/>
            </w:tcBorders>
          </w:tcPr>
          <w:p>
            <w:pPr>
              <w:pStyle w:val="style0"/>
              <w:rPr>
                <w:sz w:val="2"/>
                <w:szCs w:val="2"/>
              </w:rPr>
            </w:pPr>
          </w:p>
        </w:tc>
        <w:tc>
          <w:tcPr>
            <w:tcW w:w="1890" w:type="dxa"/>
            <w:tcBorders/>
          </w:tcPr>
          <w:p>
            <w:pPr>
              <w:pStyle w:val="style4098"/>
              <w:spacing w:before="133"/>
              <w:ind w:left="23" w:right="15"/>
              <w:jc w:val="center"/>
              <w:rPr>
                <w:rFonts w:ascii="Times New Roman" w:eastAsia="Times New Roman"/>
                <w:sz w:val="20"/>
              </w:rPr>
            </w:pPr>
            <w:r>
              <w:rPr>
                <w:sz w:val="20"/>
              </w:rPr>
              <w:t xml:space="preserve">防盗窗 </w:t>
            </w:r>
            <w:r>
              <w:rPr>
                <w:rFonts w:ascii="Times New Roman" w:eastAsia="Times New Roman"/>
                <w:sz w:val="20"/>
              </w:rPr>
              <w:t>2</w:t>
            </w:r>
          </w:p>
        </w:tc>
        <w:tc>
          <w:tcPr>
            <w:tcW w:w="1145" w:type="dxa"/>
            <w:tcBorders/>
          </w:tcPr>
          <w:p>
            <w:pPr>
              <w:pStyle w:val="style4098"/>
              <w:spacing w:before="120"/>
              <w:ind w:left="8"/>
              <w:jc w:val="center"/>
              <w:rPr>
                <w:sz w:val="22"/>
              </w:rPr>
            </w:pPr>
            <w:r>
              <w:rPr>
                <w:sz w:val="22"/>
              </w:rPr>
              <w:t>钢条</w:t>
            </w:r>
          </w:p>
        </w:tc>
        <w:tc>
          <w:tcPr>
            <w:tcW w:w="1064" w:type="dxa"/>
            <w:tcBorders/>
          </w:tcPr>
          <w:p>
            <w:pPr>
              <w:pStyle w:val="style4098"/>
              <w:spacing w:before="133"/>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46"/>
              <w:ind w:left="145" w:right="136"/>
              <w:jc w:val="center"/>
              <w:rPr>
                <w:rFonts w:ascii="Times New Roman"/>
                <w:sz w:val="20"/>
              </w:rPr>
            </w:pPr>
            <w:r>
              <w:rPr>
                <w:rFonts w:ascii="Times New Roman"/>
                <w:sz w:val="20"/>
              </w:rPr>
              <w:t>120</w:t>
            </w:r>
          </w:p>
        </w:tc>
        <w:tc>
          <w:tcPr>
            <w:tcW w:w="1623" w:type="dxa"/>
            <w:tcBorders/>
          </w:tcPr>
          <w:p>
            <w:pPr>
              <w:pStyle w:val="style4098"/>
              <w:rPr>
                <w:rFonts w:ascii="Times New Roman"/>
                <w:sz w:val="20"/>
              </w:rPr>
            </w:pPr>
          </w:p>
        </w:tc>
      </w:tr>
      <w:tr>
        <w:tblPrEx/>
        <w:trPr>
          <w:trHeight w:val="507" w:hRule="atLeast"/>
        </w:trPr>
        <w:tc>
          <w:tcPr>
            <w:tcW w:w="760" w:type="dxa"/>
            <w:tcBorders/>
          </w:tcPr>
          <w:p>
            <w:pPr>
              <w:pStyle w:val="style4098"/>
              <w:spacing w:before="140"/>
              <w:ind w:left="140" w:right="129"/>
              <w:jc w:val="center"/>
              <w:rPr>
                <w:rFonts w:ascii="Times New Roman"/>
                <w:sz w:val="20"/>
              </w:rPr>
            </w:pPr>
            <w:r>
              <w:rPr>
                <w:rFonts w:ascii="Times New Roman"/>
                <w:sz w:val="20"/>
              </w:rPr>
              <w:t>34</w:t>
            </w:r>
          </w:p>
        </w:tc>
        <w:tc>
          <w:tcPr>
            <w:tcW w:w="1050" w:type="dxa"/>
            <w:vMerge w:val="continue"/>
            <w:tcBorders>
              <w:top w:val="nil"/>
            </w:tcBorders>
          </w:tcPr>
          <w:p>
            <w:pPr>
              <w:pStyle w:val="style0"/>
              <w:rPr>
                <w:sz w:val="2"/>
                <w:szCs w:val="2"/>
              </w:rPr>
            </w:pPr>
          </w:p>
        </w:tc>
        <w:tc>
          <w:tcPr>
            <w:tcW w:w="1890" w:type="dxa"/>
            <w:tcBorders/>
          </w:tcPr>
          <w:p>
            <w:pPr>
              <w:pStyle w:val="style4098"/>
              <w:spacing w:before="126"/>
              <w:ind w:left="22" w:right="15"/>
              <w:jc w:val="center"/>
              <w:rPr>
                <w:sz w:val="20"/>
              </w:rPr>
            </w:pPr>
            <w:r>
              <w:rPr>
                <w:sz w:val="20"/>
              </w:rPr>
              <w:t>钢化玻璃</w:t>
            </w:r>
          </w:p>
        </w:tc>
        <w:tc>
          <w:tcPr>
            <w:tcW w:w="1145" w:type="dxa"/>
            <w:tcBorders/>
          </w:tcPr>
          <w:p>
            <w:pPr>
              <w:pStyle w:val="style4098"/>
              <w:rPr>
                <w:rFonts w:ascii="Times New Roman"/>
                <w:sz w:val="20"/>
              </w:rPr>
            </w:pPr>
          </w:p>
        </w:tc>
        <w:tc>
          <w:tcPr>
            <w:tcW w:w="1064" w:type="dxa"/>
            <w:tcBorders/>
          </w:tcPr>
          <w:p>
            <w:pPr>
              <w:pStyle w:val="style4098"/>
              <w:spacing w:before="126"/>
              <w:ind w:left="295"/>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40"/>
              <w:ind w:left="145" w:right="136"/>
              <w:jc w:val="center"/>
              <w:rPr>
                <w:rFonts w:ascii="Times New Roman"/>
                <w:sz w:val="20"/>
              </w:rPr>
            </w:pPr>
            <w:r>
              <w:rPr>
                <w:rFonts w:ascii="Times New Roman"/>
                <w:sz w:val="20"/>
              </w:rPr>
              <w:t>100</w:t>
            </w:r>
          </w:p>
        </w:tc>
        <w:tc>
          <w:tcPr>
            <w:tcW w:w="1623" w:type="dxa"/>
            <w:tcBorders/>
          </w:tcPr>
          <w:p>
            <w:pPr>
              <w:pStyle w:val="style4098"/>
              <w:rPr>
                <w:rFonts w:ascii="Times New Roman"/>
                <w:sz w:val="20"/>
              </w:rPr>
            </w:pPr>
          </w:p>
        </w:tc>
      </w:tr>
      <w:tr>
        <w:tblPrEx/>
        <w:trPr>
          <w:trHeight w:val="595" w:hRule="atLeast"/>
        </w:trPr>
        <w:tc>
          <w:tcPr>
            <w:tcW w:w="760" w:type="dxa"/>
            <w:tcBorders/>
          </w:tcPr>
          <w:p>
            <w:pPr>
              <w:pStyle w:val="style4098"/>
              <w:spacing w:before="184"/>
              <w:ind w:left="140" w:right="129"/>
              <w:jc w:val="center"/>
              <w:rPr>
                <w:rFonts w:ascii="Times New Roman"/>
                <w:sz w:val="20"/>
              </w:rPr>
            </w:pPr>
            <w:r>
              <w:rPr>
                <w:rFonts w:ascii="Times New Roman"/>
                <w:sz w:val="20"/>
              </w:rPr>
              <w:t>35</w:t>
            </w:r>
          </w:p>
        </w:tc>
        <w:tc>
          <w:tcPr>
            <w:tcW w:w="1050" w:type="dxa"/>
            <w:vMerge w:val="continue"/>
            <w:tcBorders>
              <w:top w:val="nil"/>
            </w:tcBorders>
          </w:tcPr>
          <w:p>
            <w:pPr>
              <w:pStyle w:val="style0"/>
              <w:rPr>
                <w:sz w:val="2"/>
                <w:szCs w:val="2"/>
              </w:rPr>
            </w:pPr>
          </w:p>
        </w:tc>
        <w:tc>
          <w:tcPr>
            <w:tcW w:w="1890" w:type="dxa"/>
            <w:tcBorders/>
          </w:tcPr>
          <w:p>
            <w:pPr>
              <w:pStyle w:val="style4098"/>
              <w:spacing w:before="171"/>
              <w:ind w:left="22" w:right="15"/>
              <w:jc w:val="center"/>
              <w:rPr>
                <w:sz w:val="20"/>
              </w:rPr>
            </w:pPr>
            <w:r>
              <w:rPr>
                <w:sz w:val="20"/>
              </w:rPr>
              <w:t>普通包门</w:t>
            </w:r>
          </w:p>
        </w:tc>
        <w:tc>
          <w:tcPr>
            <w:tcW w:w="1145" w:type="dxa"/>
            <w:tcBorders/>
          </w:tcPr>
          <w:p>
            <w:pPr>
              <w:pStyle w:val="style4098"/>
              <w:rPr>
                <w:rFonts w:ascii="Times New Roman"/>
                <w:sz w:val="20"/>
              </w:rPr>
            </w:pPr>
          </w:p>
        </w:tc>
        <w:tc>
          <w:tcPr>
            <w:tcW w:w="1064" w:type="dxa"/>
            <w:tcBorders/>
          </w:tcPr>
          <w:p>
            <w:pPr>
              <w:pStyle w:val="style4098"/>
              <w:spacing w:before="171"/>
              <w:ind w:left="302"/>
              <w:rPr>
                <w:sz w:val="20"/>
              </w:rPr>
            </w:pPr>
            <w:r>
              <w:rPr>
                <w:sz w:val="20"/>
              </w:rPr>
              <w:t>元</w:t>
            </w:r>
            <w:r>
              <w:rPr>
                <w:rFonts w:ascii="Times New Roman" w:eastAsia="Times New Roman"/>
                <w:sz w:val="20"/>
              </w:rPr>
              <w:t>/</w:t>
            </w:r>
            <w:r>
              <w:rPr>
                <w:sz w:val="20"/>
              </w:rPr>
              <w:t>樘</w:t>
            </w:r>
          </w:p>
        </w:tc>
        <w:tc>
          <w:tcPr>
            <w:tcW w:w="1213" w:type="dxa"/>
            <w:tcBorders/>
          </w:tcPr>
          <w:p>
            <w:pPr>
              <w:pStyle w:val="style4098"/>
              <w:spacing w:before="184"/>
              <w:ind w:left="145" w:right="136"/>
              <w:jc w:val="center"/>
              <w:rPr>
                <w:rFonts w:ascii="Times New Roman"/>
                <w:sz w:val="20"/>
              </w:rPr>
            </w:pPr>
            <w:r>
              <w:rPr>
                <w:rFonts w:ascii="Times New Roman"/>
                <w:sz w:val="20"/>
              </w:rPr>
              <w:t>300</w:t>
            </w:r>
          </w:p>
        </w:tc>
        <w:tc>
          <w:tcPr>
            <w:tcW w:w="1623" w:type="dxa"/>
            <w:tcBorders/>
          </w:tcPr>
          <w:p>
            <w:pPr>
              <w:pStyle w:val="style4098"/>
              <w:rPr>
                <w:rFonts w:ascii="Times New Roman"/>
                <w:sz w:val="20"/>
              </w:rPr>
            </w:pPr>
          </w:p>
        </w:tc>
      </w:tr>
      <w:tr>
        <w:tblPrEx/>
        <w:trPr>
          <w:trHeight w:val="628" w:hRule="atLeast"/>
        </w:trPr>
        <w:tc>
          <w:tcPr>
            <w:tcW w:w="760" w:type="dxa"/>
            <w:tcBorders/>
          </w:tcPr>
          <w:p>
            <w:pPr>
              <w:pStyle w:val="style4098"/>
              <w:spacing w:before="7"/>
              <w:rPr>
                <w:rFonts w:ascii="Times New Roman"/>
                <w:sz w:val="17"/>
              </w:rPr>
            </w:pPr>
          </w:p>
          <w:p>
            <w:pPr>
              <w:pStyle w:val="style4098"/>
              <w:ind w:left="140" w:right="129"/>
              <w:jc w:val="center"/>
              <w:rPr>
                <w:rFonts w:ascii="Times New Roman"/>
                <w:sz w:val="20"/>
              </w:rPr>
            </w:pPr>
            <w:r>
              <w:rPr>
                <w:rFonts w:ascii="Times New Roman"/>
                <w:sz w:val="20"/>
              </w:rPr>
              <w:t>36</w:t>
            </w:r>
          </w:p>
        </w:tc>
        <w:tc>
          <w:tcPr>
            <w:tcW w:w="1050" w:type="dxa"/>
            <w:vMerge w:val="continue"/>
            <w:tcBorders>
              <w:top w:val="nil"/>
            </w:tcBorders>
          </w:tcPr>
          <w:p>
            <w:pPr>
              <w:pStyle w:val="style0"/>
              <w:rPr>
                <w:sz w:val="2"/>
                <w:szCs w:val="2"/>
              </w:rPr>
            </w:pPr>
          </w:p>
        </w:tc>
        <w:tc>
          <w:tcPr>
            <w:tcW w:w="1890" w:type="dxa"/>
            <w:tcBorders/>
          </w:tcPr>
          <w:p>
            <w:pPr>
              <w:pStyle w:val="style4098"/>
              <w:spacing w:before="5"/>
              <w:rPr>
                <w:rFonts w:ascii="Times New Roman"/>
                <w:sz w:val="16"/>
              </w:rPr>
            </w:pPr>
          </w:p>
          <w:p>
            <w:pPr>
              <w:pStyle w:val="style4098"/>
              <w:ind w:left="22" w:right="15"/>
              <w:jc w:val="center"/>
              <w:rPr>
                <w:sz w:val="20"/>
              </w:rPr>
            </w:pPr>
            <w:r>
              <w:rPr>
                <w:sz w:val="20"/>
              </w:rPr>
              <w:t>普通木门</w:t>
            </w:r>
          </w:p>
        </w:tc>
        <w:tc>
          <w:tcPr>
            <w:tcW w:w="1145" w:type="dxa"/>
            <w:tcBorders/>
          </w:tcPr>
          <w:p>
            <w:pPr>
              <w:pStyle w:val="style4098"/>
              <w:rPr>
                <w:rFonts w:ascii="Times New Roman"/>
                <w:sz w:val="20"/>
              </w:rPr>
            </w:pPr>
          </w:p>
        </w:tc>
        <w:tc>
          <w:tcPr>
            <w:tcW w:w="1064" w:type="dxa"/>
            <w:tcBorders/>
          </w:tcPr>
          <w:p>
            <w:pPr>
              <w:pStyle w:val="style4098"/>
              <w:spacing w:before="189"/>
              <w:ind w:left="302"/>
              <w:rPr>
                <w:sz w:val="20"/>
              </w:rPr>
            </w:pPr>
            <w:r>
              <w:rPr>
                <w:sz w:val="20"/>
              </w:rPr>
              <w:t>元</w:t>
            </w:r>
            <w:r>
              <w:rPr>
                <w:rFonts w:ascii="Times New Roman" w:eastAsia="Times New Roman"/>
                <w:sz w:val="20"/>
              </w:rPr>
              <w:t>/</w:t>
            </w:r>
            <w:r>
              <w:rPr>
                <w:sz w:val="20"/>
              </w:rPr>
              <w:t>樘</w:t>
            </w:r>
          </w:p>
        </w:tc>
        <w:tc>
          <w:tcPr>
            <w:tcW w:w="1213" w:type="dxa"/>
            <w:tcBorders/>
          </w:tcPr>
          <w:p>
            <w:pPr>
              <w:pStyle w:val="style4098"/>
              <w:spacing w:before="7"/>
              <w:rPr>
                <w:rFonts w:ascii="Times New Roman"/>
                <w:sz w:val="17"/>
              </w:rPr>
            </w:pPr>
          </w:p>
          <w:p>
            <w:pPr>
              <w:pStyle w:val="style4098"/>
              <w:ind w:left="145" w:right="136"/>
              <w:jc w:val="center"/>
              <w:rPr>
                <w:rFonts w:ascii="Times New Roman"/>
                <w:sz w:val="20"/>
              </w:rPr>
            </w:pPr>
            <w:r>
              <w:rPr>
                <w:rFonts w:ascii="Times New Roman"/>
                <w:sz w:val="20"/>
              </w:rPr>
              <w:t>200</w:t>
            </w:r>
          </w:p>
        </w:tc>
        <w:tc>
          <w:tcPr>
            <w:tcW w:w="1623" w:type="dxa"/>
            <w:tcBorders/>
          </w:tcPr>
          <w:p>
            <w:pPr>
              <w:pStyle w:val="style4098"/>
              <w:rPr>
                <w:rFonts w:ascii="Times New Roman"/>
                <w:sz w:val="20"/>
              </w:rPr>
            </w:pPr>
          </w:p>
        </w:tc>
      </w:tr>
    </w:tbl>
    <w:p>
      <w:pPr>
        <w:pStyle w:val="style0"/>
        <w:spacing w:after="0"/>
        <w:rPr>
          <w:rFonts w:ascii="Times New Roman"/>
          <w:sz w:val="20"/>
        </w:rPr>
        <w:sectPr>
          <w:pgSz w:w="11910" w:h="16840" w:orient="portrait"/>
          <w:pgMar w:top="1580" w:right="1200" w:bottom="1120" w:left="1460" w:header="0" w:footer="922" w:gutter="0"/>
          <w:cols w:space="720" w:num="1"/>
        </w:sectPr>
      </w:pPr>
    </w:p>
    <w:p>
      <w:pPr>
        <w:pStyle w:val="style66"/>
        <w:rPr>
          <w:rFonts w:ascii="Times New Roman"/>
          <w:sz w:val="20"/>
        </w:rPr>
      </w:pPr>
    </w:p>
    <w:p>
      <w:pPr>
        <w:pStyle w:val="style66"/>
        <w:spacing w:before="5"/>
        <w:rPr>
          <w:rFonts w:ascii="Times New Roman"/>
          <w:sz w:val="23"/>
        </w:rPr>
      </w:pPr>
    </w:p>
    <w:tbl>
      <w:tblPr>
        <w:tblStyle w:val="style105"/>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60"/>
        <w:gridCol w:w="1050"/>
        <w:gridCol w:w="1890"/>
        <w:gridCol w:w="1145"/>
        <w:gridCol w:w="1064"/>
        <w:gridCol w:w="1213"/>
        <w:gridCol w:w="1623"/>
      </w:tblGrid>
      <w:tr>
        <w:trPr>
          <w:trHeight w:val="630" w:hRule="atLeast"/>
        </w:trPr>
        <w:tc>
          <w:tcPr>
            <w:tcW w:w="8745" w:type="dxa"/>
            <w:gridSpan w:val="7"/>
            <w:tcBorders/>
          </w:tcPr>
          <w:p>
            <w:pPr>
              <w:pStyle w:val="style4098"/>
              <w:spacing w:before="92"/>
              <w:ind w:left="1343" w:right="1352"/>
              <w:jc w:val="center"/>
              <w:rPr>
                <w:rFonts w:ascii="宋体" w:eastAsia="宋体" w:hint="eastAsia"/>
                <w:sz w:val="40"/>
              </w:rPr>
            </w:pPr>
            <w:r>
              <w:rPr>
                <w:rFonts w:ascii="宋体" w:eastAsia="宋体" w:hint="eastAsia"/>
                <w:sz w:val="40"/>
              </w:rPr>
              <w:t>房屋装饰装修补偿标准（续上表）</w:t>
            </w:r>
          </w:p>
        </w:tc>
      </w:tr>
      <w:tr>
        <w:tblPrEx/>
        <w:trPr>
          <w:trHeight w:val="630" w:hRule="atLeast"/>
        </w:trPr>
        <w:tc>
          <w:tcPr>
            <w:tcW w:w="760" w:type="dxa"/>
            <w:tcBorders/>
          </w:tcPr>
          <w:p>
            <w:pPr>
              <w:pStyle w:val="style4098"/>
              <w:spacing w:before="174"/>
              <w:ind w:left="141" w:right="129"/>
              <w:jc w:val="center"/>
              <w:rPr>
                <w:rFonts w:ascii="黑体" w:eastAsia="黑体" w:hint="eastAsia"/>
                <w:sz w:val="22"/>
              </w:rPr>
            </w:pPr>
            <w:r>
              <w:rPr>
                <w:rFonts w:ascii="黑体" w:eastAsia="黑体" w:hint="eastAsia"/>
                <w:sz w:val="22"/>
              </w:rPr>
              <w:t>序号</w:t>
            </w:r>
          </w:p>
        </w:tc>
        <w:tc>
          <w:tcPr>
            <w:tcW w:w="1050" w:type="dxa"/>
            <w:tcBorders/>
          </w:tcPr>
          <w:p>
            <w:pPr>
              <w:pStyle w:val="style4098"/>
              <w:spacing w:before="174"/>
              <w:ind w:left="305"/>
              <w:rPr>
                <w:rFonts w:ascii="黑体" w:eastAsia="黑体" w:hint="eastAsia"/>
                <w:sz w:val="22"/>
              </w:rPr>
            </w:pPr>
            <w:r>
              <w:rPr>
                <w:rFonts w:ascii="黑体" w:eastAsia="黑体" w:hint="eastAsia"/>
                <w:sz w:val="22"/>
              </w:rPr>
              <w:t>类别</w:t>
            </w:r>
          </w:p>
        </w:tc>
        <w:tc>
          <w:tcPr>
            <w:tcW w:w="1890" w:type="dxa"/>
            <w:tcBorders/>
          </w:tcPr>
          <w:p>
            <w:pPr>
              <w:pStyle w:val="style4098"/>
              <w:spacing w:before="174"/>
              <w:ind w:left="24" w:right="12"/>
              <w:jc w:val="center"/>
              <w:rPr>
                <w:rFonts w:ascii="黑体" w:eastAsia="黑体" w:hint="eastAsia"/>
                <w:sz w:val="22"/>
              </w:rPr>
            </w:pPr>
            <w:r>
              <w:rPr>
                <w:rFonts w:ascii="黑体" w:eastAsia="黑体" w:hint="eastAsia"/>
                <w:sz w:val="22"/>
              </w:rPr>
              <w:t>项目名称</w:t>
            </w:r>
          </w:p>
        </w:tc>
        <w:tc>
          <w:tcPr>
            <w:tcW w:w="1145" w:type="dxa"/>
            <w:tcBorders/>
          </w:tcPr>
          <w:p>
            <w:pPr>
              <w:pStyle w:val="style4098"/>
              <w:spacing w:before="174"/>
              <w:ind w:left="350"/>
              <w:rPr>
                <w:rFonts w:ascii="黑体" w:eastAsia="黑体" w:hint="eastAsia"/>
                <w:sz w:val="22"/>
              </w:rPr>
            </w:pPr>
            <w:r>
              <w:rPr>
                <w:rFonts w:ascii="黑体" w:eastAsia="黑体" w:hint="eastAsia"/>
                <w:sz w:val="22"/>
              </w:rPr>
              <w:t>规格</w:t>
            </w:r>
          </w:p>
        </w:tc>
        <w:tc>
          <w:tcPr>
            <w:tcW w:w="1064" w:type="dxa"/>
            <w:tcBorders/>
          </w:tcPr>
          <w:p>
            <w:pPr>
              <w:pStyle w:val="style4098"/>
              <w:spacing w:before="174"/>
              <w:ind w:left="252" w:right="240"/>
              <w:jc w:val="center"/>
              <w:rPr>
                <w:rFonts w:ascii="黑体" w:eastAsia="黑体" w:hint="eastAsia"/>
                <w:sz w:val="22"/>
              </w:rPr>
            </w:pPr>
            <w:r>
              <w:rPr>
                <w:rFonts w:ascii="黑体" w:eastAsia="黑体" w:hint="eastAsia"/>
                <w:sz w:val="22"/>
              </w:rPr>
              <w:t>单位</w:t>
            </w:r>
          </w:p>
        </w:tc>
        <w:tc>
          <w:tcPr>
            <w:tcW w:w="1213" w:type="dxa"/>
            <w:tcBorders/>
          </w:tcPr>
          <w:p>
            <w:pPr>
              <w:pStyle w:val="style4098"/>
              <w:spacing w:before="174"/>
              <w:ind w:left="145" w:right="137"/>
              <w:jc w:val="center"/>
              <w:rPr>
                <w:rFonts w:ascii="黑体" w:eastAsia="黑体" w:hint="eastAsia"/>
                <w:sz w:val="22"/>
              </w:rPr>
            </w:pPr>
            <w:r>
              <w:rPr>
                <w:rFonts w:ascii="黑体" w:eastAsia="黑体" w:hint="eastAsia"/>
                <w:sz w:val="22"/>
              </w:rPr>
              <w:t>补偿标准</w:t>
            </w:r>
          </w:p>
        </w:tc>
        <w:tc>
          <w:tcPr>
            <w:tcW w:w="1623" w:type="dxa"/>
            <w:tcBorders/>
          </w:tcPr>
          <w:p>
            <w:pPr>
              <w:pStyle w:val="style4098"/>
              <w:spacing w:before="174"/>
              <w:ind w:left="11"/>
              <w:jc w:val="center"/>
              <w:rPr>
                <w:rFonts w:ascii="黑体" w:eastAsia="黑体" w:hint="eastAsia"/>
                <w:sz w:val="22"/>
              </w:rPr>
            </w:pPr>
            <w:r>
              <w:rPr>
                <w:rFonts w:ascii="黑体" w:eastAsia="黑体" w:hint="eastAsia"/>
                <w:sz w:val="22"/>
              </w:rPr>
              <w:t>备注</w:t>
            </w:r>
          </w:p>
        </w:tc>
      </w:tr>
      <w:tr>
        <w:tblPrEx/>
        <w:trPr>
          <w:trHeight w:val="547" w:hRule="atLeast"/>
        </w:trPr>
        <w:tc>
          <w:tcPr>
            <w:tcW w:w="760" w:type="dxa"/>
            <w:tcBorders/>
          </w:tcPr>
          <w:p>
            <w:pPr>
              <w:pStyle w:val="style4098"/>
              <w:spacing w:before="158"/>
              <w:ind w:left="140" w:right="129"/>
              <w:jc w:val="center"/>
              <w:rPr>
                <w:rFonts w:ascii="Times New Roman"/>
                <w:sz w:val="20"/>
              </w:rPr>
            </w:pPr>
            <w:r>
              <w:rPr>
                <w:rFonts w:ascii="Times New Roman"/>
                <w:sz w:val="20"/>
              </w:rPr>
              <w:t>37</w:t>
            </w:r>
          </w:p>
        </w:tc>
        <w:tc>
          <w:tcPr>
            <w:tcW w:w="1050" w:type="dxa"/>
            <w:vMerge w:val="restart"/>
            <w:tcBorders/>
          </w:tcPr>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spacing w:before="169"/>
              <w:ind w:left="125"/>
              <w:rPr>
                <w:sz w:val="20"/>
              </w:rPr>
            </w:pPr>
            <w:r>
              <w:rPr>
                <w:sz w:val="20"/>
              </w:rPr>
              <w:t>配套设施</w:t>
            </w:r>
          </w:p>
        </w:tc>
        <w:tc>
          <w:tcPr>
            <w:tcW w:w="1890" w:type="dxa"/>
            <w:tcBorders/>
          </w:tcPr>
          <w:p>
            <w:pPr>
              <w:pStyle w:val="style4098"/>
              <w:spacing w:before="145"/>
              <w:ind w:left="24" w:right="15"/>
              <w:jc w:val="center"/>
              <w:rPr>
                <w:sz w:val="20"/>
              </w:rPr>
            </w:pPr>
            <w:r>
              <w:rPr>
                <w:sz w:val="20"/>
              </w:rPr>
              <w:t>普通包门套</w:t>
            </w:r>
          </w:p>
        </w:tc>
        <w:tc>
          <w:tcPr>
            <w:tcW w:w="1145" w:type="dxa"/>
            <w:tcBorders/>
          </w:tcPr>
          <w:p>
            <w:pPr>
              <w:pStyle w:val="style4098"/>
              <w:rPr>
                <w:rFonts w:ascii="Times New Roman"/>
                <w:sz w:val="20"/>
              </w:rPr>
            </w:pPr>
          </w:p>
        </w:tc>
        <w:tc>
          <w:tcPr>
            <w:tcW w:w="1064" w:type="dxa"/>
            <w:tcBorders/>
          </w:tcPr>
          <w:p>
            <w:pPr>
              <w:pStyle w:val="style4098"/>
              <w:spacing w:before="145"/>
              <w:ind w:left="250" w:right="243"/>
              <w:jc w:val="center"/>
              <w:rPr>
                <w:sz w:val="20"/>
              </w:rPr>
            </w:pPr>
            <w:r>
              <w:rPr>
                <w:sz w:val="20"/>
              </w:rPr>
              <w:t>元</w:t>
            </w:r>
            <w:r>
              <w:rPr>
                <w:rFonts w:ascii="Times New Roman" w:eastAsia="Times New Roman"/>
                <w:sz w:val="20"/>
              </w:rPr>
              <w:t>/</w:t>
            </w:r>
            <w:r>
              <w:rPr>
                <w:sz w:val="20"/>
              </w:rPr>
              <w:t>樘</w:t>
            </w:r>
          </w:p>
        </w:tc>
        <w:tc>
          <w:tcPr>
            <w:tcW w:w="1213" w:type="dxa"/>
            <w:tcBorders/>
          </w:tcPr>
          <w:p>
            <w:pPr>
              <w:pStyle w:val="style4098"/>
              <w:spacing w:before="158"/>
              <w:ind w:left="145" w:right="136"/>
              <w:jc w:val="center"/>
              <w:rPr>
                <w:rFonts w:ascii="Times New Roman"/>
                <w:sz w:val="20"/>
              </w:rPr>
            </w:pPr>
            <w:r>
              <w:rPr>
                <w:rFonts w:ascii="Times New Roman"/>
                <w:sz w:val="20"/>
              </w:rPr>
              <w:t>150</w:t>
            </w:r>
          </w:p>
        </w:tc>
        <w:tc>
          <w:tcPr>
            <w:tcW w:w="1623" w:type="dxa"/>
            <w:tcBorders/>
          </w:tcPr>
          <w:p>
            <w:pPr>
              <w:pStyle w:val="style4098"/>
              <w:rPr>
                <w:rFonts w:ascii="Times New Roman"/>
                <w:sz w:val="20"/>
              </w:rPr>
            </w:pPr>
          </w:p>
        </w:tc>
      </w:tr>
      <w:tr>
        <w:tblPrEx/>
        <w:trPr>
          <w:trHeight w:val="513" w:hRule="atLeast"/>
        </w:trPr>
        <w:tc>
          <w:tcPr>
            <w:tcW w:w="760" w:type="dxa"/>
            <w:tcBorders/>
          </w:tcPr>
          <w:p>
            <w:pPr>
              <w:pStyle w:val="style4098"/>
              <w:spacing w:before="144"/>
              <w:ind w:left="140" w:right="129"/>
              <w:jc w:val="center"/>
              <w:rPr>
                <w:rFonts w:ascii="Times New Roman"/>
                <w:sz w:val="20"/>
              </w:rPr>
            </w:pPr>
            <w:r>
              <w:rPr>
                <w:rFonts w:ascii="Times New Roman"/>
                <w:sz w:val="20"/>
              </w:rPr>
              <w:t>38</w:t>
            </w:r>
          </w:p>
        </w:tc>
        <w:tc>
          <w:tcPr>
            <w:tcW w:w="1050" w:type="dxa"/>
            <w:vMerge w:val="continue"/>
            <w:tcBorders>
              <w:top w:val="nil"/>
            </w:tcBorders>
          </w:tcPr>
          <w:p>
            <w:pPr>
              <w:pStyle w:val="style0"/>
              <w:rPr>
                <w:sz w:val="2"/>
                <w:szCs w:val="2"/>
              </w:rPr>
            </w:pPr>
          </w:p>
        </w:tc>
        <w:tc>
          <w:tcPr>
            <w:tcW w:w="1890" w:type="dxa"/>
            <w:tcBorders/>
          </w:tcPr>
          <w:p>
            <w:pPr>
              <w:pStyle w:val="style4098"/>
              <w:spacing w:before="130"/>
              <w:ind w:left="24" w:right="15"/>
              <w:jc w:val="center"/>
              <w:rPr>
                <w:sz w:val="20"/>
              </w:rPr>
            </w:pPr>
            <w:r>
              <w:rPr>
                <w:sz w:val="20"/>
              </w:rPr>
              <w:t>套装烤漆门</w:t>
            </w:r>
          </w:p>
        </w:tc>
        <w:tc>
          <w:tcPr>
            <w:tcW w:w="1145" w:type="dxa"/>
            <w:tcBorders/>
          </w:tcPr>
          <w:p>
            <w:pPr>
              <w:pStyle w:val="style4098"/>
              <w:rPr>
                <w:rFonts w:ascii="Times New Roman"/>
                <w:sz w:val="20"/>
              </w:rPr>
            </w:pPr>
          </w:p>
        </w:tc>
        <w:tc>
          <w:tcPr>
            <w:tcW w:w="1064" w:type="dxa"/>
            <w:tcBorders/>
          </w:tcPr>
          <w:p>
            <w:pPr>
              <w:pStyle w:val="style4098"/>
              <w:spacing w:before="130"/>
              <w:ind w:left="250" w:right="243"/>
              <w:jc w:val="center"/>
              <w:rPr>
                <w:sz w:val="20"/>
              </w:rPr>
            </w:pPr>
            <w:r>
              <w:rPr>
                <w:sz w:val="20"/>
              </w:rPr>
              <w:t>元</w:t>
            </w:r>
            <w:r>
              <w:rPr>
                <w:rFonts w:ascii="Times New Roman" w:eastAsia="Times New Roman"/>
                <w:sz w:val="20"/>
              </w:rPr>
              <w:t>/</w:t>
            </w:r>
            <w:r>
              <w:rPr>
                <w:sz w:val="20"/>
              </w:rPr>
              <w:t>樘</w:t>
            </w:r>
          </w:p>
        </w:tc>
        <w:tc>
          <w:tcPr>
            <w:tcW w:w="1213" w:type="dxa"/>
            <w:tcBorders/>
          </w:tcPr>
          <w:p>
            <w:pPr>
              <w:pStyle w:val="style4098"/>
              <w:spacing w:before="144"/>
              <w:ind w:left="145" w:right="136"/>
              <w:jc w:val="center"/>
              <w:rPr>
                <w:rFonts w:ascii="Times New Roman"/>
                <w:sz w:val="20"/>
              </w:rPr>
            </w:pPr>
            <w:r>
              <w:rPr>
                <w:rFonts w:ascii="Times New Roman"/>
                <w:sz w:val="20"/>
              </w:rPr>
              <w:t>800</w:t>
            </w:r>
          </w:p>
        </w:tc>
        <w:tc>
          <w:tcPr>
            <w:tcW w:w="1623" w:type="dxa"/>
            <w:tcBorders/>
          </w:tcPr>
          <w:p>
            <w:pPr>
              <w:pStyle w:val="style4098"/>
              <w:rPr>
                <w:rFonts w:ascii="Times New Roman"/>
                <w:sz w:val="20"/>
              </w:rPr>
            </w:pPr>
          </w:p>
        </w:tc>
      </w:tr>
      <w:tr>
        <w:tblPrEx/>
        <w:trPr>
          <w:trHeight w:val="527" w:hRule="atLeast"/>
        </w:trPr>
        <w:tc>
          <w:tcPr>
            <w:tcW w:w="760" w:type="dxa"/>
            <w:tcBorders/>
          </w:tcPr>
          <w:p>
            <w:pPr>
              <w:pStyle w:val="style4098"/>
              <w:spacing w:before="150"/>
              <w:ind w:left="140" w:right="129"/>
              <w:jc w:val="center"/>
              <w:rPr>
                <w:rFonts w:ascii="Times New Roman"/>
                <w:sz w:val="20"/>
              </w:rPr>
            </w:pPr>
            <w:r>
              <w:rPr>
                <w:rFonts w:ascii="Times New Roman"/>
                <w:sz w:val="20"/>
              </w:rPr>
              <w:t>39</w:t>
            </w:r>
          </w:p>
        </w:tc>
        <w:tc>
          <w:tcPr>
            <w:tcW w:w="1050" w:type="dxa"/>
            <w:vMerge w:val="continue"/>
            <w:tcBorders>
              <w:top w:val="nil"/>
            </w:tcBorders>
          </w:tcPr>
          <w:p>
            <w:pPr>
              <w:pStyle w:val="style0"/>
              <w:rPr>
                <w:sz w:val="2"/>
                <w:szCs w:val="2"/>
              </w:rPr>
            </w:pPr>
          </w:p>
        </w:tc>
        <w:tc>
          <w:tcPr>
            <w:tcW w:w="1890" w:type="dxa"/>
            <w:tcBorders/>
          </w:tcPr>
          <w:p>
            <w:pPr>
              <w:pStyle w:val="style4098"/>
              <w:spacing w:before="137"/>
              <w:ind w:left="24" w:right="15"/>
              <w:jc w:val="center"/>
              <w:rPr>
                <w:sz w:val="20"/>
              </w:rPr>
            </w:pPr>
            <w:r>
              <w:rPr>
                <w:sz w:val="20"/>
              </w:rPr>
              <w:t>金属防盗门</w:t>
            </w:r>
          </w:p>
        </w:tc>
        <w:tc>
          <w:tcPr>
            <w:tcW w:w="1145" w:type="dxa"/>
            <w:tcBorders/>
          </w:tcPr>
          <w:p>
            <w:pPr>
              <w:pStyle w:val="style4098"/>
              <w:rPr>
                <w:rFonts w:ascii="Times New Roman"/>
                <w:sz w:val="20"/>
              </w:rPr>
            </w:pPr>
          </w:p>
        </w:tc>
        <w:tc>
          <w:tcPr>
            <w:tcW w:w="1064" w:type="dxa"/>
            <w:tcBorders/>
          </w:tcPr>
          <w:p>
            <w:pPr>
              <w:pStyle w:val="style4098"/>
              <w:spacing w:before="137"/>
              <w:ind w:left="250" w:right="243"/>
              <w:jc w:val="center"/>
              <w:rPr>
                <w:sz w:val="20"/>
              </w:rPr>
            </w:pPr>
            <w:r>
              <w:rPr>
                <w:sz w:val="20"/>
              </w:rPr>
              <w:t>元</w:t>
            </w:r>
            <w:r>
              <w:rPr>
                <w:rFonts w:ascii="Times New Roman" w:eastAsia="Times New Roman"/>
                <w:sz w:val="20"/>
              </w:rPr>
              <w:t>/</w:t>
            </w:r>
            <w:r>
              <w:rPr>
                <w:sz w:val="20"/>
              </w:rPr>
              <w:t>樘</w:t>
            </w:r>
          </w:p>
        </w:tc>
        <w:tc>
          <w:tcPr>
            <w:tcW w:w="1213" w:type="dxa"/>
            <w:tcBorders/>
          </w:tcPr>
          <w:p>
            <w:pPr>
              <w:pStyle w:val="style4098"/>
              <w:spacing w:before="150"/>
              <w:ind w:left="143" w:right="137"/>
              <w:jc w:val="center"/>
              <w:rPr>
                <w:rFonts w:ascii="Times New Roman"/>
                <w:sz w:val="20"/>
              </w:rPr>
            </w:pPr>
            <w:r>
              <w:rPr>
                <w:rFonts w:ascii="Times New Roman"/>
                <w:sz w:val="20"/>
              </w:rPr>
              <w:t>1400</w:t>
            </w:r>
          </w:p>
        </w:tc>
        <w:tc>
          <w:tcPr>
            <w:tcW w:w="1623" w:type="dxa"/>
            <w:tcBorders/>
          </w:tcPr>
          <w:p>
            <w:pPr>
              <w:pStyle w:val="style4098"/>
              <w:rPr>
                <w:rFonts w:ascii="Times New Roman"/>
                <w:sz w:val="20"/>
              </w:rPr>
            </w:pPr>
          </w:p>
        </w:tc>
      </w:tr>
      <w:tr>
        <w:tblPrEx/>
        <w:trPr>
          <w:trHeight w:val="554" w:hRule="atLeast"/>
        </w:trPr>
        <w:tc>
          <w:tcPr>
            <w:tcW w:w="760" w:type="dxa"/>
            <w:tcBorders/>
          </w:tcPr>
          <w:p>
            <w:pPr>
              <w:pStyle w:val="style4098"/>
              <w:spacing w:before="163"/>
              <w:ind w:left="140" w:right="129"/>
              <w:jc w:val="center"/>
              <w:rPr>
                <w:rFonts w:ascii="Times New Roman"/>
                <w:sz w:val="20"/>
              </w:rPr>
            </w:pPr>
            <w:r>
              <w:rPr>
                <w:rFonts w:ascii="Times New Roman"/>
                <w:sz w:val="20"/>
              </w:rPr>
              <w:t>40</w:t>
            </w:r>
          </w:p>
        </w:tc>
        <w:tc>
          <w:tcPr>
            <w:tcW w:w="1050" w:type="dxa"/>
            <w:vMerge w:val="continue"/>
            <w:tcBorders>
              <w:top w:val="nil"/>
            </w:tcBorders>
          </w:tcPr>
          <w:p>
            <w:pPr>
              <w:pStyle w:val="style0"/>
              <w:rPr>
                <w:sz w:val="2"/>
                <w:szCs w:val="2"/>
              </w:rPr>
            </w:pPr>
          </w:p>
        </w:tc>
        <w:tc>
          <w:tcPr>
            <w:tcW w:w="1890" w:type="dxa"/>
            <w:tcBorders/>
          </w:tcPr>
          <w:p>
            <w:pPr>
              <w:pStyle w:val="style4098"/>
              <w:spacing w:before="149"/>
              <w:ind w:left="24" w:right="15"/>
              <w:jc w:val="center"/>
              <w:rPr>
                <w:sz w:val="20"/>
              </w:rPr>
            </w:pPr>
            <w:r>
              <w:rPr>
                <w:sz w:val="20"/>
              </w:rPr>
              <w:t>窗套</w:t>
            </w:r>
          </w:p>
        </w:tc>
        <w:tc>
          <w:tcPr>
            <w:tcW w:w="1145" w:type="dxa"/>
            <w:tcBorders/>
          </w:tcPr>
          <w:p>
            <w:pPr>
              <w:pStyle w:val="style4098"/>
              <w:rPr>
                <w:rFonts w:ascii="Times New Roman"/>
                <w:sz w:val="20"/>
              </w:rPr>
            </w:pPr>
          </w:p>
        </w:tc>
        <w:tc>
          <w:tcPr>
            <w:tcW w:w="1064" w:type="dxa"/>
            <w:tcBorders/>
          </w:tcPr>
          <w:p>
            <w:pPr>
              <w:pStyle w:val="style4098"/>
              <w:spacing w:before="149"/>
              <w:ind w:left="251" w:right="243"/>
              <w:jc w:val="center"/>
              <w:rPr>
                <w:rFonts w:ascii="Times New Roman" w:eastAsia="Times New Roman"/>
                <w:sz w:val="20"/>
              </w:rPr>
            </w:pPr>
            <w:r>
              <w:rPr>
                <w:sz w:val="20"/>
              </w:rPr>
              <w:t>元</w:t>
            </w:r>
            <w:r>
              <w:rPr>
                <w:rFonts w:ascii="Times New Roman" w:eastAsia="Times New Roman"/>
                <w:sz w:val="20"/>
              </w:rPr>
              <w:t>/m</w:t>
            </w:r>
          </w:p>
        </w:tc>
        <w:tc>
          <w:tcPr>
            <w:tcW w:w="1213" w:type="dxa"/>
            <w:tcBorders/>
          </w:tcPr>
          <w:p>
            <w:pPr>
              <w:pStyle w:val="style4098"/>
              <w:spacing w:before="163"/>
              <w:ind w:left="145" w:right="136"/>
              <w:jc w:val="center"/>
              <w:rPr>
                <w:rFonts w:ascii="Times New Roman"/>
                <w:sz w:val="20"/>
              </w:rPr>
            </w:pPr>
            <w:r>
              <w:rPr>
                <w:rFonts w:ascii="Times New Roman"/>
                <w:sz w:val="20"/>
              </w:rPr>
              <w:t>60</w:t>
            </w:r>
          </w:p>
        </w:tc>
        <w:tc>
          <w:tcPr>
            <w:tcW w:w="1623" w:type="dxa"/>
            <w:tcBorders/>
          </w:tcPr>
          <w:p>
            <w:pPr>
              <w:pStyle w:val="style4098"/>
              <w:spacing w:before="149"/>
              <w:ind w:left="30"/>
              <w:jc w:val="center"/>
              <w:rPr>
                <w:sz w:val="20"/>
              </w:rPr>
            </w:pPr>
            <w:r>
              <w:rPr>
                <w:sz w:val="20"/>
              </w:rPr>
              <w:t>按窗户长度计</w:t>
            </w:r>
          </w:p>
        </w:tc>
      </w:tr>
      <w:tr>
        <w:tblPrEx/>
        <w:trPr>
          <w:trHeight w:val="492" w:hRule="atLeast"/>
        </w:trPr>
        <w:tc>
          <w:tcPr>
            <w:tcW w:w="760" w:type="dxa"/>
            <w:tcBorders/>
          </w:tcPr>
          <w:p>
            <w:pPr>
              <w:pStyle w:val="style4098"/>
              <w:spacing w:before="131"/>
              <w:ind w:left="140" w:right="129"/>
              <w:jc w:val="center"/>
              <w:rPr>
                <w:rFonts w:ascii="Times New Roman"/>
                <w:sz w:val="20"/>
              </w:rPr>
            </w:pPr>
            <w:r>
              <w:rPr>
                <w:rFonts w:ascii="Times New Roman"/>
                <w:sz w:val="20"/>
              </w:rPr>
              <w:t>41</w:t>
            </w:r>
          </w:p>
        </w:tc>
        <w:tc>
          <w:tcPr>
            <w:tcW w:w="1050" w:type="dxa"/>
            <w:vMerge w:val="continue"/>
            <w:tcBorders>
              <w:top w:val="nil"/>
            </w:tcBorders>
          </w:tcPr>
          <w:p>
            <w:pPr>
              <w:pStyle w:val="style0"/>
              <w:rPr>
                <w:sz w:val="2"/>
                <w:szCs w:val="2"/>
              </w:rPr>
            </w:pPr>
          </w:p>
        </w:tc>
        <w:tc>
          <w:tcPr>
            <w:tcW w:w="1890" w:type="dxa"/>
            <w:tcBorders/>
          </w:tcPr>
          <w:p>
            <w:pPr>
              <w:pStyle w:val="style4098"/>
              <w:spacing w:before="118"/>
              <w:ind w:left="22" w:right="15"/>
              <w:jc w:val="center"/>
              <w:rPr>
                <w:sz w:val="20"/>
              </w:rPr>
            </w:pPr>
            <w:r>
              <w:rPr>
                <w:sz w:val="20"/>
              </w:rPr>
              <w:t>卷帘门（手动）</w:t>
            </w:r>
          </w:p>
        </w:tc>
        <w:tc>
          <w:tcPr>
            <w:tcW w:w="1145" w:type="dxa"/>
            <w:tcBorders/>
          </w:tcPr>
          <w:p>
            <w:pPr>
              <w:pStyle w:val="style4098"/>
              <w:rPr>
                <w:rFonts w:ascii="Times New Roman"/>
                <w:sz w:val="20"/>
              </w:rPr>
            </w:pPr>
          </w:p>
        </w:tc>
        <w:tc>
          <w:tcPr>
            <w:tcW w:w="1064" w:type="dxa"/>
            <w:tcBorders/>
          </w:tcPr>
          <w:p>
            <w:pPr>
              <w:pStyle w:val="style4098"/>
              <w:spacing w:before="118"/>
              <w:ind w:left="250" w:right="243"/>
              <w:jc w:val="center"/>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31"/>
              <w:ind w:left="145" w:right="136"/>
              <w:jc w:val="center"/>
              <w:rPr>
                <w:rFonts w:ascii="Times New Roman"/>
                <w:sz w:val="20"/>
              </w:rPr>
            </w:pPr>
            <w:r>
              <w:rPr>
                <w:rFonts w:ascii="Times New Roman"/>
                <w:sz w:val="20"/>
              </w:rPr>
              <w:t>130</w:t>
            </w:r>
          </w:p>
        </w:tc>
        <w:tc>
          <w:tcPr>
            <w:tcW w:w="1623" w:type="dxa"/>
            <w:tcBorders/>
          </w:tcPr>
          <w:p>
            <w:pPr>
              <w:pStyle w:val="style4098"/>
              <w:rPr>
                <w:rFonts w:ascii="Times New Roman"/>
                <w:sz w:val="20"/>
              </w:rPr>
            </w:pPr>
          </w:p>
        </w:tc>
      </w:tr>
      <w:tr>
        <w:tblPrEx/>
        <w:trPr>
          <w:trHeight w:val="540" w:hRule="atLeast"/>
        </w:trPr>
        <w:tc>
          <w:tcPr>
            <w:tcW w:w="760" w:type="dxa"/>
            <w:tcBorders/>
          </w:tcPr>
          <w:p>
            <w:pPr>
              <w:pStyle w:val="style4098"/>
              <w:spacing w:before="156"/>
              <w:ind w:left="140" w:right="129"/>
              <w:jc w:val="center"/>
              <w:rPr>
                <w:rFonts w:ascii="Times New Roman"/>
                <w:sz w:val="20"/>
              </w:rPr>
            </w:pPr>
            <w:r>
              <w:rPr>
                <w:rFonts w:ascii="Times New Roman"/>
                <w:sz w:val="20"/>
              </w:rPr>
              <w:t>42</w:t>
            </w:r>
          </w:p>
        </w:tc>
        <w:tc>
          <w:tcPr>
            <w:tcW w:w="1050" w:type="dxa"/>
            <w:vMerge w:val="continue"/>
            <w:tcBorders>
              <w:top w:val="nil"/>
            </w:tcBorders>
          </w:tcPr>
          <w:p>
            <w:pPr>
              <w:pStyle w:val="style0"/>
              <w:rPr>
                <w:sz w:val="2"/>
                <w:szCs w:val="2"/>
              </w:rPr>
            </w:pPr>
          </w:p>
        </w:tc>
        <w:tc>
          <w:tcPr>
            <w:tcW w:w="1890" w:type="dxa"/>
            <w:tcBorders/>
          </w:tcPr>
          <w:p>
            <w:pPr>
              <w:pStyle w:val="style4098"/>
              <w:spacing w:before="143"/>
              <w:ind w:left="22" w:right="15"/>
              <w:jc w:val="center"/>
              <w:rPr>
                <w:sz w:val="20"/>
              </w:rPr>
            </w:pPr>
            <w:r>
              <w:rPr>
                <w:sz w:val="20"/>
              </w:rPr>
              <w:t>卷帘门（电动）</w:t>
            </w:r>
          </w:p>
        </w:tc>
        <w:tc>
          <w:tcPr>
            <w:tcW w:w="1145" w:type="dxa"/>
            <w:tcBorders/>
          </w:tcPr>
          <w:p>
            <w:pPr>
              <w:pStyle w:val="style4098"/>
              <w:rPr>
                <w:rFonts w:ascii="Times New Roman"/>
                <w:sz w:val="20"/>
              </w:rPr>
            </w:pPr>
          </w:p>
        </w:tc>
        <w:tc>
          <w:tcPr>
            <w:tcW w:w="1064" w:type="dxa"/>
            <w:tcBorders/>
          </w:tcPr>
          <w:p>
            <w:pPr>
              <w:pStyle w:val="style4098"/>
              <w:spacing w:before="143"/>
              <w:ind w:left="250" w:right="243"/>
              <w:jc w:val="center"/>
              <w:rPr>
                <w:rFonts w:ascii="Times New Roman" w:eastAsia="Times New Roman" w:hAnsi="Times New Roman"/>
                <w:sz w:val="20"/>
              </w:rPr>
            </w:pPr>
            <w:r>
              <w:rPr>
                <w:sz w:val="20"/>
              </w:rPr>
              <w:t>元</w:t>
            </w:r>
            <w:r>
              <w:rPr>
                <w:rFonts w:ascii="Times New Roman" w:eastAsia="Times New Roman" w:hAnsi="Times New Roman"/>
                <w:sz w:val="20"/>
              </w:rPr>
              <w:t>/m²</w:t>
            </w:r>
          </w:p>
        </w:tc>
        <w:tc>
          <w:tcPr>
            <w:tcW w:w="1213" w:type="dxa"/>
            <w:tcBorders/>
          </w:tcPr>
          <w:p>
            <w:pPr>
              <w:pStyle w:val="style4098"/>
              <w:spacing w:before="156"/>
              <w:ind w:left="145" w:right="136"/>
              <w:jc w:val="center"/>
              <w:rPr>
                <w:rFonts w:ascii="Times New Roman"/>
                <w:sz w:val="20"/>
              </w:rPr>
            </w:pPr>
            <w:r>
              <w:rPr>
                <w:rFonts w:ascii="Times New Roman"/>
                <w:sz w:val="20"/>
              </w:rPr>
              <w:t>220</w:t>
            </w:r>
          </w:p>
        </w:tc>
        <w:tc>
          <w:tcPr>
            <w:tcW w:w="1623" w:type="dxa"/>
            <w:tcBorders/>
          </w:tcPr>
          <w:p>
            <w:pPr>
              <w:pStyle w:val="style4098"/>
              <w:rPr>
                <w:rFonts w:ascii="Times New Roman"/>
                <w:sz w:val="20"/>
              </w:rPr>
            </w:pPr>
          </w:p>
        </w:tc>
      </w:tr>
      <w:tr>
        <w:tblPrEx/>
        <w:trPr>
          <w:trHeight w:val="520" w:hRule="atLeast"/>
        </w:trPr>
        <w:tc>
          <w:tcPr>
            <w:tcW w:w="760" w:type="dxa"/>
            <w:tcBorders/>
          </w:tcPr>
          <w:p>
            <w:pPr>
              <w:pStyle w:val="style4098"/>
              <w:spacing w:before="146"/>
              <w:ind w:left="140" w:right="129"/>
              <w:jc w:val="center"/>
              <w:rPr>
                <w:rFonts w:ascii="Times New Roman"/>
                <w:sz w:val="20"/>
              </w:rPr>
            </w:pPr>
            <w:r>
              <w:rPr>
                <w:rFonts w:ascii="Times New Roman"/>
                <w:sz w:val="20"/>
              </w:rPr>
              <w:t>43</w:t>
            </w:r>
          </w:p>
        </w:tc>
        <w:tc>
          <w:tcPr>
            <w:tcW w:w="1050" w:type="dxa"/>
            <w:vMerge w:val="continue"/>
            <w:tcBorders>
              <w:top w:val="nil"/>
            </w:tcBorders>
          </w:tcPr>
          <w:p>
            <w:pPr>
              <w:pStyle w:val="style0"/>
              <w:rPr>
                <w:sz w:val="2"/>
                <w:szCs w:val="2"/>
              </w:rPr>
            </w:pPr>
          </w:p>
        </w:tc>
        <w:tc>
          <w:tcPr>
            <w:tcW w:w="1890" w:type="dxa"/>
            <w:tcBorders/>
          </w:tcPr>
          <w:p>
            <w:pPr>
              <w:pStyle w:val="style4098"/>
              <w:spacing w:before="133"/>
              <w:ind w:left="24" w:right="15"/>
              <w:jc w:val="center"/>
              <w:rPr>
                <w:sz w:val="20"/>
              </w:rPr>
            </w:pPr>
            <w:r>
              <w:rPr>
                <w:sz w:val="20"/>
              </w:rPr>
              <w:t>马桶</w:t>
            </w:r>
          </w:p>
        </w:tc>
        <w:tc>
          <w:tcPr>
            <w:tcW w:w="1145" w:type="dxa"/>
            <w:tcBorders/>
          </w:tcPr>
          <w:p>
            <w:pPr>
              <w:pStyle w:val="style4098"/>
              <w:rPr>
                <w:rFonts w:ascii="Times New Roman"/>
                <w:sz w:val="20"/>
              </w:rPr>
            </w:pPr>
          </w:p>
        </w:tc>
        <w:tc>
          <w:tcPr>
            <w:tcW w:w="1064" w:type="dxa"/>
            <w:tcBorders/>
          </w:tcPr>
          <w:p>
            <w:pPr>
              <w:pStyle w:val="style4098"/>
              <w:spacing w:before="133"/>
              <w:ind w:left="250" w:right="243"/>
              <w:jc w:val="center"/>
              <w:rPr>
                <w:sz w:val="20"/>
              </w:rPr>
            </w:pPr>
            <w:r>
              <w:rPr>
                <w:sz w:val="20"/>
              </w:rPr>
              <w:t>元</w:t>
            </w:r>
            <w:r>
              <w:rPr>
                <w:rFonts w:ascii="Times New Roman" w:eastAsia="Times New Roman"/>
                <w:sz w:val="20"/>
              </w:rPr>
              <w:t>/</w:t>
            </w:r>
            <w:r>
              <w:rPr>
                <w:sz w:val="20"/>
              </w:rPr>
              <w:t>个</w:t>
            </w:r>
          </w:p>
        </w:tc>
        <w:tc>
          <w:tcPr>
            <w:tcW w:w="1213" w:type="dxa"/>
            <w:tcBorders/>
          </w:tcPr>
          <w:p>
            <w:pPr>
              <w:pStyle w:val="style4098"/>
              <w:spacing w:before="146"/>
              <w:ind w:left="145" w:right="136"/>
              <w:jc w:val="center"/>
              <w:rPr>
                <w:rFonts w:ascii="Times New Roman"/>
                <w:sz w:val="20"/>
              </w:rPr>
            </w:pPr>
            <w:r>
              <w:rPr>
                <w:rFonts w:ascii="Times New Roman"/>
                <w:sz w:val="20"/>
              </w:rPr>
              <w:t>500</w:t>
            </w:r>
          </w:p>
        </w:tc>
        <w:tc>
          <w:tcPr>
            <w:tcW w:w="1623" w:type="dxa"/>
            <w:tcBorders/>
          </w:tcPr>
          <w:p>
            <w:pPr>
              <w:pStyle w:val="style4098"/>
              <w:rPr>
                <w:rFonts w:ascii="Times New Roman"/>
                <w:sz w:val="20"/>
              </w:rPr>
            </w:pPr>
          </w:p>
        </w:tc>
      </w:tr>
      <w:tr>
        <w:tblPrEx/>
        <w:trPr>
          <w:trHeight w:val="533" w:hRule="atLeast"/>
        </w:trPr>
        <w:tc>
          <w:tcPr>
            <w:tcW w:w="760" w:type="dxa"/>
            <w:tcBorders/>
          </w:tcPr>
          <w:p>
            <w:pPr>
              <w:pStyle w:val="style4098"/>
              <w:spacing w:before="154"/>
              <w:ind w:left="140" w:right="129"/>
              <w:jc w:val="center"/>
              <w:rPr>
                <w:rFonts w:ascii="Times New Roman"/>
                <w:sz w:val="20"/>
              </w:rPr>
            </w:pPr>
            <w:r>
              <w:rPr>
                <w:rFonts w:ascii="Times New Roman"/>
                <w:sz w:val="20"/>
              </w:rPr>
              <w:t>44</w:t>
            </w:r>
          </w:p>
        </w:tc>
        <w:tc>
          <w:tcPr>
            <w:tcW w:w="1050" w:type="dxa"/>
            <w:vMerge w:val="continue"/>
            <w:tcBorders>
              <w:top w:val="nil"/>
            </w:tcBorders>
          </w:tcPr>
          <w:p>
            <w:pPr>
              <w:pStyle w:val="style0"/>
              <w:rPr>
                <w:sz w:val="2"/>
                <w:szCs w:val="2"/>
              </w:rPr>
            </w:pPr>
          </w:p>
        </w:tc>
        <w:tc>
          <w:tcPr>
            <w:tcW w:w="1890" w:type="dxa"/>
            <w:tcBorders/>
          </w:tcPr>
          <w:p>
            <w:pPr>
              <w:pStyle w:val="style4098"/>
              <w:spacing w:before="141"/>
              <w:ind w:left="24" w:right="15"/>
              <w:jc w:val="center"/>
              <w:rPr>
                <w:sz w:val="20"/>
              </w:rPr>
            </w:pPr>
            <w:r>
              <w:rPr>
                <w:sz w:val="20"/>
              </w:rPr>
              <w:t>蹲便器</w:t>
            </w:r>
          </w:p>
        </w:tc>
        <w:tc>
          <w:tcPr>
            <w:tcW w:w="1145" w:type="dxa"/>
            <w:tcBorders/>
          </w:tcPr>
          <w:p>
            <w:pPr>
              <w:pStyle w:val="style4098"/>
              <w:rPr>
                <w:rFonts w:ascii="Times New Roman"/>
                <w:sz w:val="20"/>
              </w:rPr>
            </w:pPr>
          </w:p>
        </w:tc>
        <w:tc>
          <w:tcPr>
            <w:tcW w:w="1064" w:type="dxa"/>
            <w:tcBorders/>
          </w:tcPr>
          <w:p>
            <w:pPr>
              <w:pStyle w:val="style4098"/>
              <w:spacing w:before="141"/>
              <w:ind w:left="250" w:right="243"/>
              <w:jc w:val="center"/>
              <w:rPr>
                <w:sz w:val="20"/>
              </w:rPr>
            </w:pPr>
            <w:r>
              <w:rPr>
                <w:sz w:val="20"/>
              </w:rPr>
              <w:t>元</w:t>
            </w:r>
            <w:r>
              <w:rPr>
                <w:rFonts w:ascii="Times New Roman" w:eastAsia="Times New Roman"/>
                <w:sz w:val="20"/>
              </w:rPr>
              <w:t>/</w:t>
            </w:r>
            <w:r>
              <w:rPr>
                <w:sz w:val="20"/>
              </w:rPr>
              <w:t>个</w:t>
            </w:r>
          </w:p>
        </w:tc>
        <w:tc>
          <w:tcPr>
            <w:tcW w:w="1213" w:type="dxa"/>
            <w:tcBorders/>
          </w:tcPr>
          <w:p>
            <w:pPr>
              <w:pStyle w:val="style4098"/>
              <w:spacing w:before="154"/>
              <w:ind w:left="145" w:right="136"/>
              <w:jc w:val="center"/>
              <w:rPr>
                <w:rFonts w:ascii="Times New Roman"/>
                <w:sz w:val="20"/>
              </w:rPr>
            </w:pPr>
            <w:r>
              <w:rPr>
                <w:rFonts w:ascii="Times New Roman"/>
                <w:sz w:val="20"/>
              </w:rPr>
              <w:t>200</w:t>
            </w:r>
          </w:p>
        </w:tc>
        <w:tc>
          <w:tcPr>
            <w:tcW w:w="1623" w:type="dxa"/>
            <w:tcBorders/>
          </w:tcPr>
          <w:p>
            <w:pPr>
              <w:pStyle w:val="style4098"/>
              <w:rPr>
                <w:rFonts w:ascii="Times New Roman"/>
                <w:sz w:val="20"/>
              </w:rPr>
            </w:pPr>
          </w:p>
        </w:tc>
      </w:tr>
      <w:tr>
        <w:tblPrEx/>
        <w:trPr>
          <w:trHeight w:val="500" w:hRule="atLeast"/>
        </w:trPr>
        <w:tc>
          <w:tcPr>
            <w:tcW w:w="760" w:type="dxa"/>
            <w:tcBorders/>
          </w:tcPr>
          <w:p>
            <w:pPr>
              <w:pStyle w:val="style4098"/>
              <w:spacing w:before="136"/>
              <w:ind w:left="140" w:right="129"/>
              <w:jc w:val="center"/>
              <w:rPr>
                <w:rFonts w:ascii="Times New Roman"/>
                <w:sz w:val="20"/>
              </w:rPr>
            </w:pPr>
            <w:r>
              <w:rPr>
                <w:rFonts w:ascii="Times New Roman"/>
                <w:sz w:val="20"/>
              </w:rPr>
              <w:t>45</w:t>
            </w:r>
          </w:p>
        </w:tc>
        <w:tc>
          <w:tcPr>
            <w:tcW w:w="1050" w:type="dxa"/>
            <w:vMerge w:val="continue"/>
            <w:tcBorders>
              <w:top w:val="nil"/>
            </w:tcBorders>
          </w:tcPr>
          <w:p>
            <w:pPr>
              <w:pStyle w:val="style0"/>
              <w:rPr>
                <w:sz w:val="2"/>
                <w:szCs w:val="2"/>
              </w:rPr>
            </w:pPr>
          </w:p>
        </w:tc>
        <w:tc>
          <w:tcPr>
            <w:tcW w:w="1890" w:type="dxa"/>
            <w:tcBorders/>
          </w:tcPr>
          <w:p>
            <w:pPr>
              <w:pStyle w:val="style4098"/>
              <w:spacing w:before="122"/>
              <w:ind w:left="24" w:right="15"/>
              <w:jc w:val="center"/>
              <w:rPr>
                <w:sz w:val="20"/>
              </w:rPr>
            </w:pPr>
            <w:r>
              <w:rPr>
                <w:sz w:val="20"/>
              </w:rPr>
              <w:t>立柱陶瓷脸盆</w:t>
            </w:r>
          </w:p>
        </w:tc>
        <w:tc>
          <w:tcPr>
            <w:tcW w:w="1145" w:type="dxa"/>
            <w:tcBorders/>
          </w:tcPr>
          <w:p>
            <w:pPr>
              <w:pStyle w:val="style4098"/>
              <w:rPr>
                <w:rFonts w:ascii="Times New Roman"/>
                <w:sz w:val="20"/>
              </w:rPr>
            </w:pPr>
          </w:p>
        </w:tc>
        <w:tc>
          <w:tcPr>
            <w:tcW w:w="1064" w:type="dxa"/>
            <w:tcBorders/>
          </w:tcPr>
          <w:p>
            <w:pPr>
              <w:pStyle w:val="style4098"/>
              <w:spacing w:before="122"/>
              <w:ind w:left="250" w:right="243"/>
              <w:jc w:val="center"/>
              <w:rPr>
                <w:sz w:val="20"/>
              </w:rPr>
            </w:pPr>
            <w:r>
              <w:rPr>
                <w:sz w:val="20"/>
              </w:rPr>
              <w:t>元</w:t>
            </w:r>
            <w:r>
              <w:rPr>
                <w:rFonts w:ascii="Times New Roman" w:eastAsia="Times New Roman"/>
                <w:sz w:val="20"/>
              </w:rPr>
              <w:t>/</w:t>
            </w:r>
            <w:r>
              <w:rPr>
                <w:sz w:val="20"/>
              </w:rPr>
              <w:t>个</w:t>
            </w:r>
          </w:p>
        </w:tc>
        <w:tc>
          <w:tcPr>
            <w:tcW w:w="1213" w:type="dxa"/>
            <w:tcBorders/>
          </w:tcPr>
          <w:p>
            <w:pPr>
              <w:pStyle w:val="style4098"/>
              <w:spacing w:before="136"/>
              <w:ind w:left="145" w:right="136"/>
              <w:jc w:val="center"/>
              <w:rPr>
                <w:rFonts w:ascii="Times New Roman"/>
                <w:sz w:val="20"/>
              </w:rPr>
            </w:pPr>
            <w:r>
              <w:rPr>
                <w:rFonts w:ascii="Times New Roman"/>
                <w:sz w:val="20"/>
              </w:rPr>
              <w:t>150</w:t>
            </w:r>
          </w:p>
        </w:tc>
        <w:tc>
          <w:tcPr>
            <w:tcW w:w="1623" w:type="dxa"/>
            <w:tcBorders/>
          </w:tcPr>
          <w:p>
            <w:pPr>
              <w:pStyle w:val="style4098"/>
              <w:rPr>
                <w:rFonts w:ascii="Times New Roman"/>
                <w:sz w:val="20"/>
              </w:rPr>
            </w:pPr>
          </w:p>
        </w:tc>
      </w:tr>
      <w:tr>
        <w:tblPrEx/>
        <w:trPr>
          <w:trHeight w:val="541" w:hRule="atLeast"/>
        </w:trPr>
        <w:tc>
          <w:tcPr>
            <w:tcW w:w="760" w:type="dxa"/>
            <w:tcBorders/>
          </w:tcPr>
          <w:p>
            <w:pPr>
              <w:pStyle w:val="style4098"/>
              <w:spacing w:before="156"/>
              <w:ind w:left="140" w:right="129"/>
              <w:jc w:val="center"/>
              <w:rPr>
                <w:rFonts w:ascii="Times New Roman"/>
                <w:sz w:val="20"/>
              </w:rPr>
            </w:pPr>
            <w:r>
              <w:rPr>
                <w:rFonts w:ascii="Times New Roman"/>
                <w:sz w:val="20"/>
              </w:rPr>
              <w:t>46</w:t>
            </w:r>
          </w:p>
        </w:tc>
        <w:tc>
          <w:tcPr>
            <w:tcW w:w="1050" w:type="dxa"/>
            <w:vMerge w:val="continue"/>
            <w:tcBorders>
              <w:top w:val="nil"/>
            </w:tcBorders>
          </w:tcPr>
          <w:p>
            <w:pPr>
              <w:pStyle w:val="style0"/>
              <w:rPr>
                <w:sz w:val="2"/>
                <w:szCs w:val="2"/>
              </w:rPr>
            </w:pPr>
          </w:p>
        </w:tc>
        <w:tc>
          <w:tcPr>
            <w:tcW w:w="1890" w:type="dxa"/>
            <w:tcBorders/>
          </w:tcPr>
          <w:p>
            <w:pPr>
              <w:pStyle w:val="style4098"/>
              <w:spacing w:before="143"/>
              <w:ind w:left="24" w:right="15"/>
              <w:jc w:val="center"/>
              <w:rPr>
                <w:sz w:val="20"/>
              </w:rPr>
            </w:pPr>
            <w:r>
              <w:rPr>
                <w:sz w:val="20"/>
              </w:rPr>
              <w:t>太阳能热水器</w:t>
            </w:r>
          </w:p>
        </w:tc>
        <w:tc>
          <w:tcPr>
            <w:tcW w:w="1145" w:type="dxa"/>
            <w:tcBorders/>
          </w:tcPr>
          <w:p>
            <w:pPr>
              <w:pStyle w:val="style4098"/>
              <w:rPr>
                <w:rFonts w:ascii="Times New Roman"/>
                <w:sz w:val="20"/>
              </w:rPr>
            </w:pPr>
          </w:p>
        </w:tc>
        <w:tc>
          <w:tcPr>
            <w:tcW w:w="1064" w:type="dxa"/>
            <w:tcBorders/>
          </w:tcPr>
          <w:p>
            <w:pPr>
              <w:pStyle w:val="style4098"/>
              <w:spacing w:before="143"/>
              <w:ind w:left="250" w:right="243"/>
              <w:jc w:val="center"/>
              <w:rPr>
                <w:sz w:val="20"/>
              </w:rPr>
            </w:pPr>
            <w:r>
              <w:rPr>
                <w:sz w:val="20"/>
              </w:rPr>
              <w:t>元</w:t>
            </w:r>
            <w:r>
              <w:rPr>
                <w:rFonts w:ascii="Times New Roman" w:eastAsia="Times New Roman"/>
                <w:sz w:val="20"/>
              </w:rPr>
              <w:t>/</w:t>
            </w:r>
            <w:r>
              <w:rPr>
                <w:sz w:val="20"/>
              </w:rPr>
              <w:t>套</w:t>
            </w:r>
          </w:p>
        </w:tc>
        <w:tc>
          <w:tcPr>
            <w:tcW w:w="1213" w:type="dxa"/>
            <w:tcBorders/>
          </w:tcPr>
          <w:p>
            <w:pPr>
              <w:pStyle w:val="style4098"/>
              <w:spacing w:before="156"/>
              <w:ind w:left="143" w:right="137"/>
              <w:jc w:val="center"/>
              <w:rPr>
                <w:rFonts w:ascii="Times New Roman"/>
                <w:sz w:val="20"/>
              </w:rPr>
            </w:pPr>
            <w:r>
              <w:rPr>
                <w:rFonts w:ascii="Times New Roman"/>
                <w:sz w:val="20"/>
              </w:rPr>
              <w:t>1200</w:t>
            </w:r>
          </w:p>
        </w:tc>
        <w:tc>
          <w:tcPr>
            <w:tcW w:w="1623" w:type="dxa"/>
            <w:tcBorders/>
          </w:tcPr>
          <w:p>
            <w:pPr>
              <w:pStyle w:val="style4098"/>
              <w:spacing w:before="143"/>
              <w:ind w:left="6"/>
              <w:jc w:val="center"/>
              <w:rPr>
                <w:sz w:val="20"/>
              </w:rPr>
            </w:pPr>
            <w:r>
              <w:rPr>
                <w:sz w:val="20"/>
              </w:rPr>
              <w:t>处置费</w:t>
            </w:r>
          </w:p>
        </w:tc>
      </w:tr>
      <w:tr>
        <w:tblPrEx/>
        <w:trPr>
          <w:trHeight w:val="633" w:hRule="atLeast"/>
        </w:trPr>
        <w:tc>
          <w:tcPr>
            <w:tcW w:w="760" w:type="dxa"/>
            <w:tcBorders/>
          </w:tcPr>
          <w:p>
            <w:pPr>
              <w:pStyle w:val="style4098"/>
              <w:spacing w:before="7"/>
              <w:rPr>
                <w:rFonts w:ascii="Times New Roman"/>
                <w:sz w:val="17"/>
              </w:rPr>
            </w:pPr>
          </w:p>
          <w:p>
            <w:pPr>
              <w:pStyle w:val="style4098"/>
              <w:ind w:left="140" w:right="129"/>
              <w:jc w:val="center"/>
              <w:rPr>
                <w:rFonts w:ascii="Times New Roman"/>
                <w:sz w:val="20"/>
              </w:rPr>
            </w:pPr>
            <w:r>
              <w:rPr>
                <w:rFonts w:ascii="Times New Roman"/>
                <w:sz w:val="20"/>
              </w:rPr>
              <w:t>47</w:t>
            </w:r>
          </w:p>
        </w:tc>
        <w:tc>
          <w:tcPr>
            <w:tcW w:w="1050" w:type="dxa"/>
            <w:vMerge w:val="continue"/>
            <w:tcBorders>
              <w:top w:val="nil"/>
            </w:tcBorders>
          </w:tcPr>
          <w:p>
            <w:pPr>
              <w:pStyle w:val="style0"/>
              <w:rPr>
                <w:sz w:val="2"/>
                <w:szCs w:val="2"/>
              </w:rPr>
            </w:pPr>
          </w:p>
        </w:tc>
        <w:tc>
          <w:tcPr>
            <w:tcW w:w="1890" w:type="dxa"/>
            <w:tcBorders/>
          </w:tcPr>
          <w:p>
            <w:pPr>
              <w:pStyle w:val="style4098"/>
              <w:spacing w:before="176"/>
              <w:ind w:left="24" w:right="14"/>
              <w:jc w:val="center"/>
              <w:rPr>
                <w:sz w:val="22"/>
              </w:rPr>
            </w:pPr>
            <w:r>
              <w:rPr>
                <w:sz w:val="22"/>
              </w:rPr>
              <w:t>水电安装（暗装）</w:t>
            </w:r>
          </w:p>
        </w:tc>
        <w:tc>
          <w:tcPr>
            <w:tcW w:w="1145" w:type="dxa"/>
            <w:tcBorders/>
          </w:tcPr>
          <w:p>
            <w:pPr>
              <w:pStyle w:val="style4098"/>
              <w:rPr>
                <w:rFonts w:ascii="Times New Roman"/>
                <w:sz w:val="20"/>
              </w:rPr>
            </w:pPr>
          </w:p>
        </w:tc>
        <w:tc>
          <w:tcPr>
            <w:tcW w:w="1064" w:type="dxa"/>
            <w:tcBorders/>
          </w:tcPr>
          <w:p>
            <w:pPr>
              <w:pStyle w:val="style4098"/>
              <w:spacing w:before="176"/>
              <w:ind w:left="252" w:right="243"/>
              <w:jc w:val="center"/>
              <w:rPr>
                <w:rFonts w:ascii="Times New Roman" w:eastAsia="Times New Roman" w:hAnsi="Times New Roman"/>
                <w:sz w:val="22"/>
              </w:rPr>
            </w:pPr>
            <w:r>
              <w:rPr>
                <w:sz w:val="22"/>
              </w:rPr>
              <w:t>元</w:t>
            </w:r>
            <w:r>
              <w:rPr>
                <w:rFonts w:ascii="Times New Roman" w:eastAsia="Times New Roman" w:hAnsi="Times New Roman"/>
                <w:sz w:val="22"/>
              </w:rPr>
              <w:t>/m²</w:t>
            </w:r>
          </w:p>
        </w:tc>
        <w:tc>
          <w:tcPr>
            <w:tcW w:w="1213" w:type="dxa"/>
            <w:tcBorders/>
          </w:tcPr>
          <w:p>
            <w:pPr>
              <w:pStyle w:val="style4098"/>
              <w:spacing w:before="191"/>
              <w:ind w:left="145" w:right="135"/>
              <w:jc w:val="center"/>
              <w:rPr>
                <w:rFonts w:ascii="Times New Roman"/>
                <w:sz w:val="22"/>
              </w:rPr>
            </w:pPr>
            <w:r>
              <w:rPr>
                <w:rFonts w:ascii="Times New Roman"/>
                <w:sz w:val="22"/>
              </w:rPr>
              <w:t>60</w:t>
            </w:r>
          </w:p>
        </w:tc>
        <w:tc>
          <w:tcPr>
            <w:tcW w:w="1623" w:type="dxa"/>
            <w:tcBorders/>
          </w:tcPr>
          <w:p>
            <w:pPr>
              <w:pStyle w:val="style4098"/>
              <w:rPr>
                <w:rFonts w:ascii="Times New Roman"/>
                <w:sz w:val="20"/>
              </w:rPr>
            </w:pPr>
          </w:p>
        </w:tc>
      </w:tr>
      <w:tr>
        <w:tblPrEx/>
        <w:trPr>
          <w:trHeight w:val="593" w:hRule="atLeast"/>
        </w:trPr>
        <w:tc>
          <w:tcPr>
            <w:tcW w:w="760" w:type="dxa"/>
            <w:tcBorders/>
          </w:tcPr>
          <w:p>
            <w:pPr>
              <w:pStyle w:val="style4098"/>
              <w:spacing w:before="183"/>
              <w:ind w:left="140" w:right="129"/>
              <w:jc w:val="center"/>
              <w:rPr>
                <w:rFonts w:ascii="Times New Roman"/>
                <w:sz w:val="20"/>
              </w:rPr>
            </w:pPr>
            <w:r>
              <w:rPr>
                <w:rFonts w:ascii="Times New Roman"/>
                <w:sz w:val="20"/>
              </w:rPr>
              <w:t>48</w:t>
            </w:r>
          </w:p>
        </w:tc>
        <w:tc>
          <w:tcPr>
            <w:tcW w:w="1050" w:type="dxa"/>
            <w:vMerge w:val="continue"/>
            <w:tcBorders>
              <w:top w:val="nil"/>
            </w:tcBorders>
          </w:tcPr>
          <w:p>
            <w:pPr>
              <w:pStyle w:val="style0"/>
              <w:rPr>
                <w:sz w:val="2"/>
                <w:szCs w:val="2"/>
              </w:rPr>
            </w:pPr>
          </w:p>
        </w:tc>
        <w:tc>
          <w:tcPr>
            <w:tcW w:w="1890" w:type="dxa"/>
            <w:tcBorders/>
          </w:tcPr>
          <w:p>
            <w:pPr>
              <w:pStyle w:val="style4098"/>
              <w:spacing w:before="156"/>
              <w:ind w:left="24" w:right="14"/>
              <w:jc w:val="center"/>
              <w:rPr>
                <w:sz w:val="22"/>
              </w:rPr>
            </w:pPr>
            <w:r>
              <w:rPr>
                <w:sz w:val="22"/>
              </w:rPr>
              <w:t>水电安装（明装）</w:t>
            </w:r>
          </w:p>
        </w:tc>
        <w:tc>
          <w:tcPr>
            <w:tcW w:w="1145" w:type="dxa"/>
            <w:tcBorders/>
          </w:tcPr>
          <w:p>
            <w:pPr>
              <w:pStyle w:val="style4098"/>
              <w:rPr>
                <w:rFonts w:ascii="Times New Roman"/>
                <w:sz w:val="20"/>
              </w:rPr>
            </w:pPr>
          </w:p>
        </w:tc>
        <w:tc>
          <w:tcPr>
            <w:tcW w:w="1064" w:type="dxa"/>
            <w:tcBorders/>
          </w:tcPr>
          <w:p>
            <w:pPr>
              <w:pStyle w:val="style4098"/>
              <w:spacing w:before="156"/>
              <w:ind w:left="252" w:right="243"/>
              <w:jc w:val="center"/>
              <w:rPr>
                <w:rFonts w:ascii="Times New Roman" w:eastAsia="Times New Roman" w:hAnsi="Times New Roman"/>
                <w:sz w:val="22"/>
              </w:rPr>
            </w:pPr>
            <w:r>
              <w:rPr>
                <w:sz w:val="22"/>
              </w:rPr>
              <w:t>元</w:t>
            </w:r>
            <w:r>
              <w:rPr>
                <w:rFonts w:ascii="Times New Roman" w:eastAsia="Times New Roman" w:hAnsi="Times New Roman"/>
                <w:sz w:val="22"/>
              </w:rPr>
              <w:t>/m²</w:t>
            </w:r>
          </w:p>
        </w:tc>
        <w:tc>
          <w:tcPr>
            <w:tcW w:w="1213" w:type="dxa"/>
            <w:tcBorders/>
          </w:tcPr>
          <w:p>
            <w:pPr>
              <w:pStyle w:val="style4098"/>
              <w:spacing w:before="169"/>
              <w:ind w:left="145" w:right="135"/>
              <w:jc w:val="center"/>
              <w:rPr>
                <w:rFonts w:ascii="Times New Roman"/>
                <w:sz w:val="22"/>
              </w:rPr>
            </w:pPr>
            <w:r>
              <w:rPr>
                <w:rFonts w:ascii="Times New Roman"/>
                <w:sz w:val="22"/>
              </w:rPr>
              <w:t>40</w:t>
            </w:r>
          </w:p>
        </w:tc>
        <w:tc>
          <w:tcPr>
            <w:tcW w:w="1623" w:type="dxa"/>
            <w:tcBorders/>
          </w:tcPr>
          <w:p>
            <w:pPr>
              <w:pStyle w:val="style4098"/>
              <w:rPr>
                <w:rFonts w:ascii="Times New Roman"/>
                <w:sz w:val="20"/>
              </w:rPr>
            </w:pPr>
          </w:p>
        </w:tc>
      </w:tr>
      <w:tr>
        <w:tblPrEx/>
        <w:trPr>
          <w:trHeight w:val="630" w:hRule="atLeast"/>
        </w:trPr>
        <w:tc>
          <w:tcPr>
            <w:tcW w:w="760" w:type="dxa"/>
            <w:tcBorders/>
          </w:tcPr>
          <w:p>
            <w:pPr>
              <w:pStyle w:val="style4098"/>
              <w:spacing w:before="6"/>
              <w:rPr>
                <w:rFonts w:ascii="Times New Roman"/>
                <w:sz w:val="17"/>
              </w:rPr>
            </w:pPr>
          </w:p>
          <w:p>
            <w:pPr>
              <w:pStyle w:val="style4098"/>
              <w:ind w:left="140" w:right="129"/>
              <w:jc w:val="center"/>
              <w:rPr>
                <w:rFonts w:ascii="Times New Roman"/>
                <w:sz w:val="20"/>
              </w:rPr>
            </w:pPr>
            <w:r>
              <w:rPr>
                <w:rFonts w:ascii="Times New Roman"/>
                <w:sz w:val="20"/>
              </w:rPr>
              <w:t>49</w:t>
            </w:r>
          </w:p>
        </w:tc>
        <w:tc>
          <w:tcPr>
            <w:tcW w:w="1050" w:type="dxa"/>
            <w:vMerge w:val="continue"/>
            <w:tcBorders>
              <w:top w:val="nil"/>
            </w:tcBorders>
          </w:tcPr>
          <w:p>
            <w:pPr>
              <w:pStyle w:val="style0"/>
              <w:rPr>
                <w:sz w:val="2"/>
                <w:szCs w:val="2"/>
              </w:rPr>
            </w:pPr>
          </w:p>
        </w:tc>
        <w:tc>
          <w:tcPr>
            <w:tcW w:w="1890" w:type="dxa"/>
            <w:tcBorders/>
          </w:tcPr>
          <w:p>
            <w:pPr>
              <w:pStyle w:val="style4098"/>
              <w:spacing w:before="175"/>
              <w:ind w:left="24" w:right="14"/>
              <w:jc w:val="center"/>
              <w:rPr>
                <w:sz w:val="22"/>
              </w:rPr>
            </w:pPr>
            <w:r>
              <w:rPr>
                <w:sz w:val="22"/>
              </w:rPr>
              <w:t>水箱</w:t>
            </w:r>
          </w:p>
        </w:tc>
        <w:tc>
          <w:tcPr>
            <w:tcW w:w="1145" w:type="dxa"/>
            <w:tcBorders/>
          </w:tcPr>
          <w:p>
            <w:pPr>
              <w:pStyle w:val="style4098"/>
              <w:rPr>
                <w:rFonts w:ascii="Times New Roman"/>
                <w:sz w:val="20"/>
              </w:rPr>
            </w:pPr>
          </w:p>
        </w:tc>
        <w:tc>
          <w:tcPr>
            <w:tcW w:w="1064" w:type="dxa"/>
            <w:tcBorders/>
          </w:tcPr>
          <w:p>
            <w:pPr>
              <w:pStyle w:val="style4098"/>
              <w:spacing w:before="175"/>
              <w:ind w:left="252" w:right="242"/>
              <w:jc w:val="center"/>
              <w:rPr>
                <w:sz w:val="22"/>
              </w:rPr>
            </w:pPr>
            <w:r>
              <w:rPr>
                <w:sz w:val="22"/>
              </w:rPr>
              <w:t>元</w:t>
            </w:r>
            <w:r>
              <w:rPr>
                <w:rFonts w:ascii="Times New Roman" w:eastAsia="Times New Roman"/>
                <w:sz w:val="22"/>
              </w:rPr>
              <w:t>/</w:t>
            </w:r>
            <w:r>
              <w:rPr>
                <w:sz w:val="22"/>
              </w:rPr>
              <w:t>个</w:t>
            </w:r>
          </w:p>
        </w:tc>
        <w:tc>
          <w:tcPr>
            <w:tcW w:w="1213" w:type="dxa"/>
            <w:tcBorders/>
          </w:tcPr>
          <w:p>
            <w:pPr>
              <w:pStyle w:val="style4098"/>
              <w:spacing w:before="5"/>
              <w:rPr>
                <w:rFonts w:ascii="Times New Roman"/>
                <w:sz w:val="19"/>
              </w:rPr>
            </w:pPr>
          </w:p>
          <w:p>
            <w:pPr>
              <w:pStyle w:val="style4098"/>
              <w:ind w:left="145" w:right="135"/>
              <w:jc w:val="center"/>
              <w:rPr>
                <w:rFonts w:ascii="Times New Roman"/>
                <w:sz w:val="22"/>
              </w:rPr>
            </w:pPr>
            <w:r>
              <w:rPr>
                <w:rFonts w:ascii="Times New Roman"/>
                <w:sz w:val="22"/>
              </w:rPr>
              <w:t>400</w:t>
            </w:r>
          </w:p>
        </w:tc>
        <w:tc>
          <w:tcPr>
            <w:tcW w:w="1623" w:type="dxa"/>
            <w:tcBorders/>
          </w:tcPr>
          <w:p>
            <w:pPr>
              <w:pStyle w:val="style4098"/>
              <w:spacing w:before="10"/>
              <w:rPr>
                <w:rFonts w:ascii="Times New Roman"/>
                <w:sz w:val="19"/>
              </w:rPr>
            </w:pPr>
          </w:p>
          <w:p>
            <w:pPr>
              <w:pStyle w:val="style4098"/>
              <w:ind w:left="3"/>
              <w:jc w:val="center"/>
              <w:rPr>
                <w:sz w:val="20"/>
              </w:rPr>
            </w:pPr>
            <w:r>
              <w:rPr>
                <w:sz w:val="20"/>
              </w:rPr>
              <w:t xml:space="preserve">容积 </w:t>
            </w:r>
            <w:r>
              <w:rPr>
                <w:rFonts w:ascii="Times New Roman" w:eastAsia="Times New Roman" w:hAnsi="Times New Roman"/>
                <w:sz w:val="20"/>
              </w:rPr>
              <w:t>1m³</w:t>
            </w:r>
            <w:r>
              <w:rPr>
                <w:sz w:val="20"/>
              </w:rPr>
              <w:t>以内</w:t>
            </w:r>
          </w:p>
        </w:tc>
      </w:tr>
      <w:tr>
        <w:tblPrEx/>
        <w:trPr>
          <w:trHeight w:val="630" w:hRule="atLeast"/>
        </w:trPr>
        <w:tc>
          <w:tcPr>
            <w:tcW w:w="760" w:type="dxa"/>
            <w:tcBorders/>
          </w:tcPr>
          <w:p>
            <w:pPr>
              <w:pStyle w:val="style4098"/>
              <w:spacing w:before="6"/>
              <w:rPr>
                <w:rFonts w:ascii="Times New Roman"/>
                <w:sz w:val="17"/>
              </w:rPr>
            </w:pPr>
          </w:p>
          <w:p>
            <w:pPr>
              <w:pStyle w:val="style4098"/>
              <w:ind w:left="140" w:right="129"/>
              <w:jc w:val="center"/>
              <w:rPr>
                <w:rFonts w:ascii="Times New Roman"/>
                <w:sz w:val="20"/>
              </w:rPr>
            </w:pPr>
            <w:r>
              <w:rPr>
                <w:rFonts w:ascii="Times New Roman"/>
                <w:sz w:val="20"/>
              </w:rPr>
              <w:t>50</w:t>
            </w:r>
          </w:p>
        </w:tc>
        <w:tc>
          <w:tcPr>
            <w:tcW w:w="1050" w:type="dxa"/>
            <w:vMerge w:val="continue"/>
            <w:tcBorders>
              <w:top w:val="nil"/>
            </w:tcBorders>
          </w:tcPr>
          <w:p>
            <w:pPr>
              <w:pStyle w:val="style0"/>
              <w:rPr>
                <w:sz w:val="2"/>
                <w:szCs w:val="2"/>
              </w:rPr>
            </w:pPr>
          </w:p>
        </w:tc>
        <w:tc>
          <w:tcPr>
            <w:tcW w:w="1890" w:type="dxa"/>
            <w:tcBorders/>
          </w:tcPr>
          <w:p>
            <w:pPr>
              <w:pStyle w:val="style4098"/>
              <w:spacing w:before="176"/>
              <w:ind w:left="24" w:right="12"/>
              <w:jc w:val="center"/>
              <w:rPr>
                <w:sz w:val="22"/>
              </w:rPr>
            </w:pPr>
            <w:r>
              <w:rPr>
                <w:sz w:val="22"/>
              </w:rPr>
              <w:t>简易隔墙</w:t>
            </w:r>
          </w:p>
        </w:tc>
        <w:tc>
          <w:tcPr>
            <w:tcW w:w="1145" w:type="dxa"/>
            <w:tcBorders/>
          </w:tcPr>
          <w:p>
            <w:pPr>
              <w:pStyle w:val="style4098"/>
              <w:rPr>
                <w:rFonts w:ascii="Times New Roman"/>
                <w:sz w:val="20"/>
              </w:rPr>
            </w:pPr>
          </w:p>
        </w:tc>
        <w:tc>
          <w:tcPr>
            <w:tcW w:w="1064" w:type="dxa"/>
            <w:tcBorders/>
          </w:tcPr>
          <w:p>
            <w:pPr>
              <w:pStyle w:val="style4098"/>
              <w:spacing w:before="176"/>
              <w:ind w:left="252" w:right="243"/>
              <w:jc w:val="center"/>
              <w:rPr>
                <w:rFonts w:ascii="Times New Roman" w:eastAsia="Times New Roman" w:hAnsi="Times New Roman"/>
                <w:sz w:val="22"/>
              </w:rPr>
            </w:pPr>
            <w:r>
              <w:rPr>
                <w:sz w:val="22"/>
              </w:rPr>
              <w:t>元</w:t>
            </w:r>
            <w:r>
              <w:rPr>
                <w:rFonts w:ascii="Times New Roman" w:eastAsia="Times New Roman" w:hAnsi="Times New Roman"/>
                <w:sz w:val="22"/>
              </w:rPr>
              <w:t>/m²</w:t>
            </w:r>
          </w:p>
        </w:tc>
        <w:tc>
          <w:tcPr>
            <w:tcW w:w="1213" w:type="dxa"/>
            <w:tcBorders/>
          </w:tcPr>
          <w:p>
            <w:pPr>
              <w:pStyle w:val="style4098"/>
              <w:spacing w:before="188"/>
              <w:ind w:left="145" w:right="135"/>
              <w:jc w:val="center"/>
              <w:rPr>
                <w:rFonts w:ascii="Times New Roman"/>
                <w:sz w:val="22"/>
              </w:rPr>
            </w:pPr>
            <w:r>
              <w:rPr>
                <w:rFonts w:ascii="Times New Roman"/>
                <w:sz w:val="22"/>
              </w:rPr>
              <w:t>100</w:t>
            </w:r>
          </w:p>
        </w:tc>
        <w:tc>
          <w:tcPr>
            <w:tcW w:w="1623" w:type="dxa"/>
            <w:tcBorders/>
          </w:tcPr>
          <w:p>
            <w:pPr>
              <w:pStyle w:val="style4098"/>
              <w:rPr>
                <w:rFonts w:ascii="Times New Roman"/>
                <w:sz w:val="20"/>
              </w:rPr>
            </w:pPr>
          </w:p>
        </w:tc>
      </w:tr>
      <w:tr>
        <w:tblPrEx/>
        <w:trPr>
          <w:trHeight w:val="790" w:hRule="atLeast"/>
        </w:trPr>
        <w:tc>
          <w:tcPr>
            <w:tcW w:w="760" w:type="dxa"/>
            <w:tcBorders/>
          </w:tcPr>
          <w:p>
            <w:pPr>
              <w:pStyle w:val="style4098"/>
              <w:spacing w:before="6"/>
              <w:rPr>
                <w:rFonts w:ascii="Times New Roman"/>
                <w:sz w:val="24"/>
              </w:rPr>
            </w:pPr>
          </w:p>
          <w:p>
            <w:pPr>
              <w:pStyle w:val="style4098"/>
              <w:ind w:left="140" w:right="129"/>
              <w:jc w:val="center"/>
              <w:rPr>
                <w:rFonts w:ascii="Times New Roman"/>
                <w:sz w:val="20"/>
              </w:rPr>
            </w:pPr>
            <w:r>
              <w:rPr>
                <w:rFonts w:ascii="Times New Roman"/>
                <w:sz w:val="20"/>
              </w:rPr>
              <w:t>51</w:t>
            </w:r>
          </w:p>
        </w:tc>
        <w:tc>
          <w:tcPr>
            <w:tcW w:w="1050" w:type="dxa"/>
            <w:vMerge w:val="continue"/>
            <w:tcBorders>
              <w:top w:val="nil"/>
            </w:tcBorders>
          </w:tcPr>
          <w:p>
            <w:pPr>
              <w:pStyle w:val="style0"/>
              <w:rPr>
                <w:sz w:val="2"/>
                <w:szCs w:val="2"/>
              </w:rPr>
            </w:pPr>
          </w:p>
        </w:tc>
        <w:tc>
          <w:tcPr>
            <w:tcW w:w="1890" w:type="dxa"/>
            <w:tcBorders/>
          </w:tcPr>
          <w:p>
            <w:pPr>
              <w:pStyle w:val="style4098"/>
              <w:spacing w:before="64"/>
              <w:ind w:left="24" w:right="14"/>
              <w:jc w:val="center"/>
              <w:rPr>
                <w:sz w:val="22"/>
              </w:rPr>
            </w:pPr>
            <w:r>
              <w:rPr>
                <w:sz w:val="22"/>
              </w:rPr>
              <w:t>隔层（钢架及木结</w:t>
            </w:r>
          </w:p>
          <w:p>
            <w:pPr>
              <w:pStyle w:val="style4098"/>
              <w:spacing w:before="100"/>
              <w:ind w:left="24" w:right="14"/>
              <w:jc w:val="center"/>
              <w:rPr>
                <w:sz w:val="22"/>
              </w:rPr>
            </w:pPr>
            <w:r>
              <w:rPr>
                <w:sz w:val="22"/>
              </w:rPr>
              <w:t>构）</w:t>
            </w:r>
          </w:p>
        </w:tc>
        <w:tc>
          <w:tcPr>
            <w:tcW w:w="1145" w:type="dxa"/>
            <w:tcBorders/>
          </w:tcPr>
          <w:p>
            <w:pPr>
              <w:pStyle w:val="style4098"/>
              <w:rPr>
                <w:rFonts w:ascii="Times New Roman"/>
                <w:sz w:val="20"/>
              </w:rPr>
            </w:pPr>
          </w:p>
        </w:tc>
        <w:tc>
          <w:tcPr>
            <w:tcW w:w="1064" w:type="dxa"/>
            <w:tcBorders/>
          </w:tcPr>
          <w:p>
            <w:pPr>
              <w:pStyle w:val="style4098"/>
              <w:spacing w:before="3"/>
              <w:rPr>
                <w:rFonts w:ascii="Times New Roman"/>
                <w:sz w:val="22"/>
              </w:rPr>
            </w:pPr>
          </w:p>
          <w:p>
            <w:pPr>
              <w:pStyle w:val="style4098"/>
              <w:ind w:left="252" w:right="243"/>
              <w:jc w:val="center"/>
              <w:rPr>
                <w:rFonts w:ascii="Times New Roman" w:eastAsia="Times New Roman" w:hAnsi="Times New Roman"/>
                <w:sz w:val="22"/>
              </w:rPr>
            </w:pPr>
            <w:r>
              <w:rPr>
                <w:sz w:val="22"/>
              </w:rPr>
              <w:t>元</w:t>
            </w:r>
            <w:r>
              <w:rPr>
                <w:rFonts w:ascii="Times New Roman" w:eastAsia="Times New Roman" w:hAnsi="Times New Roman"/>
                <w:sz w:val="22"/>
              </w:rPr>
              <w:t>/m²</w:t>
            </w:r>
          </w:p>
        </w:tc>
        <w:tc>
          <w:tcPr>
            <w:tcW w:w="1213" w:type="dxa"/>
            <w:tcBorders/>
          </w:tcPr>
          <w:p>
            <w:pPr>
              <w:pStyle w:val="style4098"/>
              <w:spacing w:before="3"/>
              <w:rPr>
                <w:rFonts w:ascii="Times New Roman"/>
                <w:sz w:val="23"/>
              </w:rPr>
            </w:pPr>
          </w:p>
          <w:p>
            <w:pPr>
              <w:pStyle w:val="style4098"/>
              <w:spacing w:before="1"/>
              <w:ind w:left="145" w:right="135"/>
              <w:jc w:val="center"/>
              <w:rPr>
                <w:rFonts w:ascii="Times New Roman"/>
                <w:sz w:val="22"/>
              </w:rPr>
            </w:pPr>
            <w:r>
              <w:rPr>
                <w:rFonts w:ascii="Times New Roman"/>
                <w:sz w:val="22"/>
              </w:rPr>
              <w:t>258</w:t>
            </w:r>
          </w:p>
        </w:tc>
        <w:tc>
          <w:tcPr>
            <w:tcW w:w="1623" w:type="dxa"/>
            <w:tcBorders/>
          </w:tcPr>
          <w:p>
            <w:pPr>
              <w:pStyle w:val="style4098"/>
              <w:rPr>
                <w:rFonts w:ascii="Times New Roman"/>
                <w:sz w:val="20"/>
              </w:rPr>
            </w:pPr>
          </w:p>
        </w:tc>
      </w:tr>
      <w:tr>
        <w:tblPrEx/>
        <w:trPr>
          <w:trHeight w:val="790" w:hRule="atLeast"/>
        </w:trPr>
        <w:tc>
          <w:tcPr>
            <w:tcW w:w="760" w:type="dxa"/>
            <w:tcBorders/>
          </w:tcPr>
          <w:p>
            <w:pPr>
              <w:pStyle w:val="style4098"/>
              <w:spacing w:before="5"/>
              <w:rPr>
                <w:rFonts w:ascii="Times New Roman"/>
                <w:sz w:val="24"/>
              </w:rPr>
            </w:pPr>
          </w:p>
          <w:p>
            <w:pPr>
              <w:pStyle w:val="style4098"/>
              <w:ind w:left="140" w:right="129"/>
              <w:jc w:val="center"/>
              <w:rPr>
                <w:rFonts w:ascii="Times New Roman"/>
                <w:sz w:val="20"/>
              </w:rPr>
            </w:pPr>
            <w:r>
              <w:rPr>
                <w:rFonts w:ascii="Times New Roman"/>
                <w:sz w:val="20"/>
              </w:rPr>
              <w:t>52</w:t>
            </w:r>
          </w:p>
        </w:tc>
        <w:tc>
          <w:tcPr>
            <w:tcW w:w="1050" w:type="dxa"/>
            <w:vMerge w:val="continue"/>
            <w:tcBorders>
              <w:top w:val="nil"/>
            </w:tcBorders>
          </w:tcPr>
          <w:p>
            <w:pPr>
              <w:pStyle w:val="style0"/>
              <w:rPr>
                <w:sz w:val="2"/>
                <w:szCs w:val="2"/>
              </w:rPr>
            </w:pPr>
          </w:p>
        </w:tc>
        <w:tc>
          <w:tcPr>
            <w:tcW w:w="1890" w:type="dxa"/>
            <w:tcBorders/>
          </w:tcPr>
          <w:p>
            <w:pPr>
              <w:pStyle w:val="style4098"/>
              <w:spacing w:before="66"/>
              <w:ind w:left="24" w:right="14"/>
              <w:jc w:val="center"/>
              <w:rPr>
                <w:sz w:val="22"/>
              </w:rPr>
            </w:pPr>
            <w:r>
              <w:rPr>
                <w:sz w:val="22"/>
              </w:rPr>
              <w:t>电热水器、立挂式</w:t>
            </w:r>
          </w:p>
          <w:p>
            <w:pPr>
              <w:pStyle w:val="style4098"/>
              <w:spacing w:before="97"/>
              <w:ind w:left="24" w:right="14"/>
              <w:jc w:val="center"/>
              <w:rPr>
                <w:sz w:val="22"/>
              </w:rPr>
            </w:pPr>
            <w:r>
              <w:rPr>
                <w:sz w:val="22"/>
              </w:rPr>
              <w:t>空调</w:t>
            </w:r>
          </w:p>
        </w:tc>
        <w:tc>
          <w:tcPr>
            <w:tcW w:w="1145" w:type="dxa"/>
            <w:tcBorders/>
          </w:tcPr>
          <w:p>
            <w:pPr>
              <w:pStyle w:val="style4098"/>
              <w:rPr>
                <w:rFonts w:ascii="Times New Roman"/>
                <w:sz w:val="20"/>
              </w:rPr>
            </w:pPr>
          </w:p>
        </w:tc>
        <w:tc>
          <w:tcPr>
            <w:tcW w:w="1064" w:type="dxa"/>
            <w:tcBorders/>
          </w:tcPr>
          <w:p>
            <w:pPr>
              <w:pStyle w:val="style4098"/>
              <w:spacing w:before="2"/>
              <w:rPr>
                <w:rFonts w:ascii="Times New Roman"/>
                <w:sz w:val="22"/>
              </w:rPr>
            </w:pPr>
          </w:p>
          <w:p>
            <w:pPr>
              <w:pStyle w:val="style4098"/>
              <w:ind w:left="252" w:right="242"/>
              <w:jc w:val="center"/>
              <w:rPr>
                <w:sz w:val="22"/>
              </w:rPr>
            </w:pPr>
            <w:r>
              <w:rPr>
                <w:sz w:val="22"/>
              </w:rPr>
              <w:t>元</w:t>
            </w:r>
            <w:r>
              <w:rPr>
                <w:rFonts w:ascii="Times New Roman" w:eastAsia="Times New Roman"/>
                <w:sz w:val="22"/>
              </w:rPr>
              <w:t>/</w:t>
            </w:r>
            <w:r>
              <w:rPr>
                <w:sz w:val="22"/>
              </w:rPr>
              <w:t>台</w:t>
            </w:r>
          </w:p>
        </w:tc>
        <w:tc>
          <w:tcPr>
            <w:tcW w:w="1213" w:type="dxa"/>
            <w:tcBorders/>
          </w:tcPr>
          <w:p>
            <w:pPr>
              <w:pStyle w:val="style4098"/>
              <w:spacing w:before="3"/>
              <w:rPr>
                <w:rFonts w:ascii="Times New Roman"/>
                <w:sz w:val="23"/>
              </w:rPr>
            </w:pPr>
          </w:p>
          <w:p>
            <w:pPr>
              <w:pStyle w:val="style4098"/>
              <w:ind w:left="145" w:right="135"/>
              <w:jc w:val="center"/>
              <w:rPr>
                <w:rFonts w:ascii="Times New Roman"/>
                <w:sz w:val="22"/>
              </w:rPr>
            </w:pPr>
            <w:r>
              <w:rPr>
                <w:rFonts w:ascii="Times New Roman"/>
                <w:sz w:val="22"/>
              </w:rPr>
              <w:t>300</w:t>
            </w:r>
          </w:p>
        </w:tc>
        <w:tc>
          <w:tcPr>
            <w:tcW w:w="1623" w:type="dxa"/>
            <w:tcBorders/>
          </w:tcPr>
          <w:p>
            <w:pPr>
              <w:pStyle w:val="style4098"/>
              <w:spacing w:before="1"/>
              <w:rPr>
                <w:rFonts w:ascii="Times New Roman"/>
                <w:sz w:val="25"/>
              </w:rPr>
            </w:pPr>
          </w:p>
          <w:p>
            <w:pPr>
              <w:pStyle w:val="style4098"/>
              <w:ind w:left="9"/>
              <w:jc w:val="center"/>
              <w:rPr>
                <w:sz w:val="22"/>
              </w:rPr>
            </w:pPr>
            <w:r>
              <w:rPr>
                <w:sz w:val="22"/>
              </w:rPr>
              <w:t>移机、安装</w:t>
            </w:r>
          </w:p>
        </w:tc>
      </w:tr>
      <w:tr>
        <w:tblPrEx/>
        <w:trPr>
          <w:trHeight w:val="790" w:hRule="atLeast"/>
        </w:trPr>
        <w:tc>
          <w:tcPr>
            <w:tcW w:w="760" w:type="dxa"/>
            <w:tcBorders/>
          </w:tcPr>
          <w:p>
            <w:pPr>
              <w:pStyle w:val="style4098"/>
              <w:spacing w:before="4"/>
              <w:rPr>
                <w:rFonts w:ascii="Times New Roman"/>
                <w:sz w:val="24"/>
              </w:rPr>
            </w:pPr>
          </w:p>
          <w:p>
            <w:pPr>
              <w:pStyle w:val="style4098"/>
              <w:ind w:left="140" w:right="129"/>
              <w:jc w:val="center"/>
              <w:rPr>
                <w:rFonts w:ascii="Times New Roman"/>
                <w:sz w:val="20"/>
              </w:rPr>
            </w:pPr>
            <w:r>
              <w:rPr>
                <w:rFonts w:ascii="Times New Roman"/>
                <w:sz w:val="20"/>
              </w:rPr>
              <w:t>53</w:t>
            </w:r>
          </w:p>
        </w:tc>
        <w:tc>
          <w:tcPr>
            <w:tcW w:w="1050" w:type="dxa"/>
            <w:vMerge w:val="continue"/>
            <w:tcBorders>
              <w:top w:val="nil"/>
            </w:tcBorders>
          </w:tcPr>
          <w:p>
            <w:pPr>
              <w:pStyle w:val="style0"/>
              <w:rPr>
                <w:sz w:val="2"/>
                <w:szCs w:val="2"/>
              </w:rPr>
            </w:pPr>
          </w:p>
        </w:tc>
        <w:tc>
          <w:tcPr>
            <w:tcW w:w="1890" w:type="dxa"/>
            <w:tcBorders/>
          </w:tcPr>
          <w:p>
            <w:pPr>
              <w:pStyle w:val="style4098"/>
              <w:spacing w:before="65"/>
              <w:ind w:left="24" w:right="14"/>
              <w:jc w:val="center"/>
              <w:rPr>
                <w:sz w:val="22"/>
              </w:rPr>
            </w:pPr>
            <w:r>
              <w:rPr>
                <w:sz w:val="22"/>
              </w:rPr>
              <w:t>室内楼梯扶手（木</w:t>
            </w:r>
          </w:p>
          <w:p>
            <w:pPr>
              <w:pStyle w:val="style4098"/>
              <w:spacing w:before="97"/>
              <w:ind w:left="24" w:right="14"/>
              <w:jc w:val="center"/>
              <w:rPr>
                <w:sz w:val="22"/>
              </w:rPr>
            </w:pPr>
            <w:r>
              <w:rPr>
                <w:sz w:val="22"/>
              </w:rPr>
              <w:t>质）</w:t>
            </w:r>
          </w:p>
        </w:tc>
        <w:tc>
          <w:tcPr>
            <w:tcW w:w="1145" w:type="dxa"/>
            <w:tcBorders/>
          </w:tcPr>
          <w:p>
            <w:pPr>
              <w:pStyle w:val="style4098"/>
              <w:rPr>
                <w:rFonts w:ascii="Times New Roman"/>
                <w:sz w:val="20"/>
              </w:rPr>
            </w:pPr>
          </w:p>
        </w:tc>
        <w:tc>
          <w:tcPr>
            <w:tcW w:w="1064" w:type="dxa"/>
            <w:tcBorders/>
          </w:tcPr>
          <w:p>
            <w:pPr>
              <w:pStyle w:val="style4098"/>
              <w:spacing w:before="1"/>
              <w:rPr>
                <w:rFonts w:ascii="Times New Roman"/>
                <w:sz w:val="22"/>
              </w:rPr>
            </w:pPr>
          </w:p>
          <w:p>
            <w:pPr>
              <w:pStyle w:val="style4098"/>
              <w:ind w:left="252" w:right="242"/>
              <w:jc w:val="center"/>
              <w:rPr>
                <w:sz w:val="22"/>
              </w:rPr>
            </w:pPr>
            <w:r>
              <w:rPr>
                <w:sz w:val="22"/>
              </w:rPr>
              <w:t>元</w:t>
            </w:r>
            <w:r>
              <w:rPr>
                <w:rFonts w:ascii="Times New Roman" w:eastAsia="Times New Roman"/>
                <w:sz w:val="22"/>
              </w:rPr>
              <w:t>/</w:t>
            </w:r>
            <w:r>
              <w:rPr>
                <w:sz w:val="22"/>
              </w:rPr>
              <w:t>㎡</w:t>
            </w:r>
          </w:p>
        </w:tc>
        <w:tc>
          <w:tcPr>
            <w:tcW w:w="1213" w:type="dxa"/>
            <w:tcBorders/>
          </w:tcPr>
          <w:p>
            <w:pPr>
              <w:pStyle w:val="style4098"/>
              <w:spacing w:before="4"/>
              <w:rPr>
                <w:rFonts w:ascii="Times New Roman"/>
                <w:sz w:val="23"/>
              </w:rPr>
            </w:pPr>
          </w:p>
          <w:p>
            <w:pPr>
              <w:pStyle w:val="style4098"/>
              <w:ind w:left="145" w:right="135"/>
              <w:jc w:val="center"/>
              <w:rPr>
                <w:rFonts w:ascii="Times New Roman"/>
                <w:sz w:val="22"/>
              </w:rPr>
            </w:pPr>
            <w:r>
              <w:rPr>
                <w:rFonts w:ascii="Times New Roman"/>
                <w:sz w:val="22"/>
              </w:rPr>
              <w:t>200</w:t>
            </w:r>
          </w:p>
        </w:tc>
        <w:tc>
          <w:tcPr>
            <w:tcW w:w="1623" w:type="dxa"/>
            <w:tcBorders/>
          </w:tcPr>
          <w:p>
            <w:pPr>
              <w:pStyle w:val="style4098"/>
              <w:rPr>
                <w:rFonts w:ascii="Times New Roman"/>
                <w:sz w:val="20"/>
              </w:rPr>
            </w:pPr>
          </w:p>
        </w:tc>
      </w:tr>
      <w:tr>
        <w:tblPrEx/>
        <w:trPr>
          <w:trHeight w:val="787" w:hRule="atLeast"/>
        </w:trPr>
        <w:tc>
          <w:tcPr>
            <w:tcW w:w="760" w:type="dxa"/>
            <w:tcBorders/>
          </w:tcPr>
          <w:p>
            <w:pPr>
              <w:pStyle w:val="style4098"/>
              <w:spacing w:before="6"/>
              <w:rPr>
                <w:rFonts w:ascii="Times New Roman"/>
                <w:sz w:val="24"/>
              </w:rPr>
            </w:pPr>
          </w:p>
          <w:p>
            <w:pPr>
              <w:pStyle w:val="style4098"/>
              <w:ind w:left="140" w:right="129"/>
              <w:jc w:val="center"/>
              <w:rPr>
                <w:rFonts w:ascii="Times New Roman"/>
                <w:sz w:val="20"/>
              </w:rPr>
            </w:pPr>
            <w:r>
              <w:rPr>
                <w:rFonts w:ascii="Times New Roman"/>
                <w:sz w:val="20"/>
              </w:rPr>
              <w:t>54</w:t>
            </w:r>
          </w:p>
        </w:tc>
        <w:tc>
          <w:tcPr>
            <w:tcW w:w="1050" w:type="dxa"/>
            <w:vMerge w:val="continue"/>
            <w:tcBorders>
              <w:top w:val="nil"/>
            </w:tcBorders>
          </w:tcPr>
          <w:p>
            <w:pPr>
              <w:pStyle w:val="style0"/>
              <w:rPr>
                <w:sz w:val="2"/>
                <w:szCs w:val="2"/>
              </w:rPr>
            </w:pPr>
          </w:p>
        </w:tc>
        <w:tc>
          <w:tcPr>
            <w:tcW w:w="1890" w:type="dxa"/>
            <w:tcBorders/>
          </w:tcPr>
          <w:p>
            <w:pPr>
              <w:pStyle w:val="style4098"/>
              <w:spacing w:before="64"/>
              <w:ind w:left="613"/>
              <w:rPr>
                <w:sz w:val="22"/>
              </w:rPr>
            </w:pPr>
            <w:r>
              <w:rPr>
                <w:spacing w:val="-2"/>
                <w:sz w:val="22"/>
              </w:rPr>
              <w:t>不锈钢</w:t>
            </w:r>
          </w:p>
          <w:p>
            <w:pPr>
              <w:pStyle w:val="style4098"/>
              <w:spacing w:before="100"/>
              <w:ind w:left="613"/>
              <w:rPr>
                <w:sz w:val="22"/>
              </w:rPr>
            </w:pPr>
            <w:r>
              <w:rPr>
                <w:spacing w:val="-2"/>
                <w:sz w:val="22"/>
              </w:rPr>
              <w:t>洗菜盆</w:t>
            </w:r>
          </w:p>
        </w:tc>
        <w:tc>
          <w:tcPr>
            <w:tcW w:w="1145" w:type="dxa"/>
            <w:tcBorders/>
          </w:tcPr>
          <w:p>
            <w:pPr>
              <w:pStyle w:val="style4098"/>
              <w:rPr>
                <w:rFonts w:ascii="Times New Roman"/>
                <w:sz w:val="20"/>
              </w:rPr>
            </w:pPr>
          </w:p>
        </w:tc>
        <w:tc>
          <w:tcPr>
            <w:tcW w:w="1064" w:type="dxa"/>
            <w:tcBorders/>
          </w:tcPr>
          <w:p>
            <w:pPr>
              <w:pStyle w:val="style4098"/>
              <w:spacing w:before="3"/>
              <w:rPr>
                <w:rFonts w:ascii="Times New Roman"/>
                <w:sz w:val="22"/>
              </w:rPr>
            </w:pPr>
          </w:p>
          <w:p>
            <w:pPr>
              <w:pStyle w:val="style4098"/>
              <w:ind w:left="252" w:right="242"/>
              <w:jc w:val="center"/>
              <w:rPr>
                <w:sz w:val="22"/>
              </w:rPr>
            </w:pPr>
            <w:r>
              <w:rPr>
                <w:sz w:val="22"/>
              </w:rPr>
              <w:t>元</w:t>
            </w:r>
            <w:r>
              <w:rPr>
                <w:rFonts w:ascii="Times New Roman" w:eastAsia="Times New Roman"/>
                <w:sz w:val="22"/>
              </w:rPr>
              <w:t>/</w:t>
            </w:r>
            <w:r>
              <w:rPr>
                <w:sz w:val="22"/>
              </w:rPr>
              <w:t>个</w:t>
            </w:r>
          </w:p>
        </w:tc>
        <w:tc>
          <w:tcPr>
            <w:tcW w:w="1213" w:type="dxa"/>
            <w:tcBorders/>
          </w:tcPr>
          <w:p>
            <w:pPr>
              <w:pStyle w:val="style4098"/>
              <w:spacing w:before="3"/>
              <w:rPr>
                <w:rFonts w:ascii="Times New Roman"/>
                <w:sz w:val="23"/>
              </w:rPr>
            </w:pPr>
          </w:p>
          <w:p>
            <w:pPr>
              <w:pStyle w:val="style4098"/>
              <w:spacing w:before="1"/>
              <w:ind w:left="145" w:right="135"/>
              <w:jc w:val="center"/>
              <w:rPr>
                <w:rFonts w:ascii="Times New Roman"/>
                <w:sz w:val="22"/>
              </w:rPr>
            </w:pPr>
            <w:r>
              <w:rPr>
                <w:rFonts w:ascii="Times New Roman"/>
                <w:sz w:val="22"/>
              </w:rPr>
              <w:t>200</w:t>
            </w:r>
          </w:p>
        </w:tc>
        <w:tc>
          <w:tcPr>
            <w:tcW w:w="1623" w:type="dxa"/>
            <w:tcBorders/>
          </w:tcPr>
          <w:p>
            <w:pPr>
              <w:pStyle w:val="style4098"/>
              <w:rPr>
                <w:rFonts w:ascii="Times New Roman"/>
                <w:sz w:val="20"/>
              </w:rPr>
            </w:pPr>
          </w:p>
        </w:tc>
      </w:tr>
    </w:tbl>
    <w:p>
      <w:pPr>
        <w:pStyle w:val="style0"/>
        <w:spacing w:after="0"/>
        <w:rPr>
          <w:rFonts w:ascii="Times New Roman"/>
          <w:sz w:val="20"/>
        </w:rPr>
        <w:sectPr>
          <w:pgSz w:w="11910" w:h="16840" w:orient="portrait"/>
          <w:pgMar w:top="1580" w:right="1200" w:bottom="1120" w:left="1460" w:header="0" w:footer="922" w:gutter="0"/>
          <w:cols w:space="720" w:num="1"/>
        </w:sectPr>
      </w:pPr>
    </w:p>
    <w:p>
      <w:pPr>
        <w:pStyle w:val="style66"/>
        <w:rPr>
          <w:rFonts w:ascii="Times New Roman"/>
          <w:sz w:val="20"/>
        </w:rPr>
      </w:pPr>
    </w:p>
    <w:p>
      <w:pPr>
        <w:pStyle w:val="style66"/>
        <w:spacing w:before="5"/>
        <w:rPr>
          <w:rFonts w:ascii="Times New Roman"/>
          <w:sz w:val="23"/>
        </w:rPr>
      </w:pPr>
    </w:p>
    <w:tbl>
      <w:tblPr>
        <w:tblStyle w:val="style105"/>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60"/>
        <w:gridCol w:w="1050"/>
        <w:gridCol w:w="1890"/>
        <w:gridCol w:w="1145"/>
        <w:gridCol w:w="1064"/>
        <w:gridCol w:w="1213"/>
        <w:gridCol w:w="1623"/>
      </w:tblGrid>
      <w:tr>
        <w:trPr>
          <w:trHeight w:val="630" w:hRule="atLeast"/>
        </w:trPr>
        <w:tc>
          <w:tcPr>
            <w:tcW w:w="8745" w:type="dxa"/>
            <w:gridSpan w:val="7"/>
            <w:tcBorders/>
          </w:tcPr>
          <w:p>
            <w:pPr>
              <w:pStyle w:val="style4098"/>
              <w:spacing w:before="92"/>
              <w:ind w:left="1343" w:right="1352"/>
              <w:jc w:val="center"/>
              <w:rPr>
                <w:rFonts w:ascii="宋体" w:eastAsia="宋体" w:hint="eastAsia"/>
                <w:sz w:val="40"/>
              </w:rPr>
            </w:pPr>
            <w:r>
              <w:rPr>
                <w:rFonts w:ascii="宋体" w:eastAsia="宋体" w:hint="eastAsia"/>
                <w:sz w:val="40"/>
              </w:rPr>
              <w:t>房屋装饰装修补偿标准（续上表）</w:t>
            </w:r>
          </w:p>
        </w:tc>
      </w:tr>
      <w:tr>
        <w:tblPrEx/>
        <w:trPr>
          <w:trHeight w:val="580" w:hRule="atLeast"/>
        </w:trPr>
        <w:tc>
          <w:tcPr>
            <w:tcW w:w="760" w:type="dxa"/>
            <w:tcBorders/>
          </w:tcPr>
          <w:p>
            <w:pPr>
              <w:pStyle w:val="style4098"/>
              <w:spacing w:before="151"/>
              <w:ind w:left="141" w:right="129"/>
              <w:jc w:val="center"/>
              <w:rPr>
                <w:rFonts w:ascii="黑体" w:eastAsia="黑体" w:hint="eastAsia"/>
                <w:sz w:val="22"/>
              </w:rPr>
            </w:pPr>
            <w:r>
              <w:rPr>
                <w:rFonts w:ascii="黑体" w:eastAsia="黑体" w:hint="eastAsia"/>
                <w:sz w:val="22"/>
              </w:rPr>
              <w:t>序号</w:t>
            </w:r>
          </w:p>
        </w:tc>
        <w:tc>
          <w:tcPr>
            <w:tcW w:w="1050" w:type="dxa"/>
            <w:tcBorders/>
          </w:tcPr>
          <w:p>
            <w:pPr>
              <w:pStyle w:val="style4098"/>
              <w:spacing w:before="151"/>
              <w:ind w:left="305"/>
              <w:rPr>
                <w:rFonts w:ascii="黑体" w:eastAsia="黑体" w:hint="eastAsia"/>
                <w:sz w:val="22"/>
              </w:rPr>
            </w:pPr>
            <w:r>
              <w:rPr>
                <w:rFonts w:ascii="黑体" w:eastAsia="黑体" w:hint="eastAsia"/>
                <w:sz w:val="22"/>
              </w:rPr>
              <w:t>类别</w:t>
            </w:r>
          </w:p>
        </w:tc>
        <w:tc>
          <w:tcPr>
            <w:tcW w:w="1890" w:type="dxa"/>
            <w:tcBorders/>
          </w:tcPr>
          <w:p>
            <w:pPr>
              <w:pStyle w:val="style4098"/>
              <w:spacing w:before="151"/>
              <w:ind w:left="24" w:right="12"/>
              <w:jc w:val="center"/>
              <w:rPr>
                <w:rFonts w:ascii="黑体" w:eastAsia="黑体" w:hint="eastAsia"/>
                <w:sz w:val="22"/>
              </w:rPr>
            </w:pPr>
            <w:r>
              <w:rPr>
                <w:rFonts w:ascii="黑体" w:eastAsia="黑体" w:hint="eastAsia"/>
                <w:sz w:val="22"/>
              </w:rPr>
              <w:t>项目名称</w:t>
            </w:r>
          </w:p>
        </w:tc>
        <w:tc>
          <w:tcPr>
            <w:tcW w:w="1145" w:type="dxa"/>
            <w:tcBorders/>
          </w:tcPr>
          <w:p>
            <w:pPr>
              <w:pStyle w:val="style4098"/>
              <w:spacing w:before="151"/>
              <w:ind w:left="8"/>
              <w:jc w:val="center"/>
              <w:rPr>
                <w:rFonts w:ascii="黑体" w:eastAsia="黑体" w:hint="eastAsia"/>
                <w:sz w:val="22"/>
              </w:rPr>
            </w:pPr>
            <w:r>
              <w:rPr>
                <w:rFonts w:ascii="黑体" w:eastAsia="黑体" w:hint="eastAsia"/>
                <w:sz w:val="22"/>
              </w:rPr>
              <w:t>规格</w:t>
            </w:r>
          </w:p>
        </w:tc>
        <w:tc>
          <w:tcPr>
            <w:tcW w:w="1064" w:type="dxa"/>
            <w:tcBorders/>
          </w:tcPr>
          <w:p>
            <w:pPr>
              <w:pStyle w:val="style4098"/>
              <w:spacing w:before="151"/>
              <w:ind w:left="252" w:right="240"/>
              <w:jc w:val="center"/>
              <w:rPr>
                <w:rFonts w:ascii="黑体" w:eastAsia="黑体" w:hint="eastAsia"/>
                <w:sz w:val="22"/>
              </w:rPr>
            </w:pPr>
            <w:r>
              <w:rPr>
                <w:rFonts w:ascii="黑体" w:eastAsia="黑体" w:hint="eastAsia"/>
                <w:sz w:val="22"/>
              </w:rPr>
              <w:t>单位</w:t>
            </w:r>
          </w:p>
        </w:tc>
        <w:tc>
          <w:tcPr>
            <w:tcW w:w="1213" w:type="dxa"/>
            <w:tcBorders/>
          </w:tcPr>
          <w:p>
            <w:pPr>
              <w:pStyle w:val="style4098"/>
              <w:spacing w:before="151"/>
              <w:ind w:left="145" w:right="137"/>
              <w:jc w:val="center"/>
              <w:rPr>
                <w:rFonts w:ascii="黑体" w:eastAsia="黑体" w:hint="eastAsia"/>
                <w:sz w:val="22"/>
              </w:rPr>
            </w:pPr>
            <w:r>
              <w:rPr>
                <w:rFonts w:ascii="黑体" w:eastAsia="黑体" w:hint="eastAsia"/>
                <w:sz w:val="22"/>
              </w:rPr>
              <w:t>补偿标准</w:t>
            </w:r>
          </w:p>
        </w:tc>
        <w:tc>
          <w:tcPr>
            <w:tcW w:w="1623" w:type="dxa"/>
            <w:tcBorders/>
          </w:tcPr>
          <w:p>
            <w:pPr>
              <w:pStyle w:val="style4098"/>
              <w:spacing w:before="151"/>
              <w:ind w:left="11"/>
              <w:jc w:val="center"/>
              <w:rPr>
                <w:rFonts w:ascii="黑体" w:eastAsia="黑体" w:hint="eastAsia"/>
                <w:sz w:val="22"/>
              </w:rPr>
            </w:pPr>
            <w:r>
              <w:rPr>
                <w:rFonts w:ascii="黑体" w:eastAsia="黑体" w:hint="eastAsia"/>
                <w:sz w:val="22"/>
              </w:rPr>
              <w:t>备注</w:t>
            </w:r>
          </w:p>
        </w:tc>
      </w:tr>
      <w:tr>
        <w:tblPrEx/>
        <w:trPr>
          <w:trHeight w:val="580" w:hRule="atLeast"/>
        </w:trPr>
        <w:tc>
          <w:tcPr>
            <w:tcW w:w="760" w:type="dxa"/>
            <w:tcBorders/>
          </w:tcPr>
          <w:p>
            <w:pPr>
              <w:pStyle w:val="style4098"/>
              <w:spacing w:before="177"/>
              <w:ind w:left="140" w:right="129"/>
              <w:jc w:val="center"/>
              <w:rPr>
                <w:rFonts w:ascii="Times New Roman"/>
                <w:sz w:val="20"/>
              </w:rPr>
            </w:pPr>
            <w:r>
              <w:rPr>
                <w:rFonts w:ascii="Times New Roman"/>
                <w:sz w:val="20"/>
              </w:rPr>
              <w:t>55</w:t>
            </w:r>
          </w:p>
        </w:tc>
        <w:tc>
          <w:tcPr>
            <w:tcW w:w="1050" w:type="dxa"/>
            <w:vMerge w:val="restart"/>
            <w:tcBorders/>
          </w:tcPr>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rPr>
                <w:rFonts w:ascii="Times New Roman"/>
                <w:sz w:val="20"/>
              </w:rPr>
            </w:pPr>
          </w:p>
          <w:p>
            <w:pPr>
              <w:pStyle w:val="style4098"/>
              <w:spacing w:before="1"/>
              <w:rPr>
                <w:rFonts w:ascii="Times New Roman"/>
                <w:sz w:val="26"/>
              </w:rPr>
            </w:pPr>
          </w:p>
          <w:p>
            <w:pPr>
              <w:pStyle w:val="style4098"/>
              <w:spacing w:before="1"/>
              <w:ind w:left="125"/>
              <w:rPr>
                <w:sz w:val="20"/>
              </w:rPr>
            </w:pPr>
            <w:r>
              <w:rPr>
                <w:sz w:val="20"/>
              </w:rPr>
              <w:t>配套设施</w:t>
            </w:r>
          </w:p>
        </w:tc>
        <w:tc>
          <w:tcPr>
            <w:tcW w:w="1890" w:type="dxa"/>
            <w:tcBorders/>
          </w:tcPr>
          <w:p>
            <w:pPr>
              <w:pStyle w:val="style4098"/>
              <w:spacing w:before="151"/>
              <w:ind w:left="24" w:right="12"/>
              <w:jc w:val="center"/>
              <w:rPr>
                <w:sz w:val="22"/>
              </w:rPr>
            </w:pPr>
            <w:r>
              <w:rPr>
                <w:sz w:val="22"/>
              </w:rPr>
              <w:t>整体浴室</w:t>
            </w:r>
          </w:p>
        </w:tc>
        <w:tc>
          <w:tcPr>
            <w:tcW w:w="1145" w:type="dxa"/>
            <w:tcBorders/>
          </w:tcPr>
          <w:p>
            <w:pPr>
              <w:pStyle w:val="style4098"/>
              <w:rPr>
                <w:rFonts w:ascii="Times New Roman"/>
                <w:sz w:val="24"/>
              </w:rPr>
            </w:pPr>
          </w:p>
        </w:tc>
        <w:tc>
          <w:tcPr>
            <w:tcW w:w="1064" w:type="dxa"/>
            <w:tcBorders/>
          </w:tcPr>
          <w:p>
            <w:pPr>
              <w:pStyle w:val="style4098"/>
              <w:spacing w:before="151"/>
              <w:ind w:left="252" w:right="242"/>
              <w:jc w:val="center"/>
              <w:rPr>
                <w:sz w:val="22"/>
              </w:rPr>
            </w:pPr>
            <w:r>
              <w:rPr>
                <w:sz w:val="22"/>
              </w:rPr>
              <w:t>元</w:t>
            </w:r>
            <w:r>
              <w:rPr>
                <w:rFonts w:ascii="Times New Roman" w:eastAsia="Times New Roman"/>
                <w:sz w:val="22"/>
              </w:rPr>
              <w:t>/</w:t>
            </w:r>
            <w:r>
              <w:rPr>
                <w:sz w:val="22"/>
              </w:rPr>
              <w:t>套</w:t>
            </w:r>
          </w:p>
        </w:tc>
        <w:tc>
          <w:tcPr>
            <w:tcW w:w="1213" w:type="dxa"/>
            <w:tcBorders/>
          </w:tcPr>
          <w:p>
            <w:pPr>
              <w:pStyle w:val="style4098"/>
              <w:spacing w:before="163"/>
              <w:ind w:left="145" w:right="135"/>
              <w:jc w:val="center"/>
              <w:rPr>
                <w:rFonts w:ascii="Times New Roman"/>
                <w:sz w:val="22"/>
              </w:rPr>
            </w:pPr>
            <w:r>
              <w:rPr>
                <w:rFonts w:ascii="Times New Roman"/>
                <w:sz w:val="22"/>
              </w:rPr>
              <w:t>1400</w:t>
            </w:r>
          </w:p>
        </w:tc>
        <w:tc>
          <w:tcPr>
            <w:tcW w:w="1623" w:type="dxa"/>
            <w:tcBorders/>
          </w:tcPr>
          <w:p>
            <w:pPr>
              <w:pStyle w:val="style4098"/>
              <w:spacing w:before="180"/>
              <w:ind w:left="9"/>
              <w:jc w:val="center"/>
              <w:rPr>
                <w:sz w:val="22"/>
              </w:rPr>
            </w:pPr>
            <w:r>
              <w:rPr>
                <w:sz w:val="22"/>
              </w:rPr>
              <w:t>处置费</w:t>
            </w:r>
          </w:p>
        </w:tc>
      </w:tr>
      <w:tr>
        <w:tblPrEx/>
        <w:trPr>
          <w:trHeight w:val="580" w:hRule="atLeast"/>
        </w:trPr>
        <w:tc>
          <w:tcPr>
            <w:tcW w:w="760" w:type="dxa"/>
            <w:tcBorders/>
          </w:tcPr>
          <w:p>
            <w:pPr>
              <w:pStyle w:val="style4098"/>
              <w:spacing w:before="175"/>
              <w:ind w:left="140" w:right="129"/>
              <w:jc w:val="center"/>
              <w:rPr>
                <w:rFonts w:ascii="Times New Roman"/>
                <w:sz w:val="20"/>
              </w:rPr>
            </w:pPr>
            <w:r>
              <w:rPr>
                <w:rFonts w:ascii="Times New Roman"/>
                <w:sz w:val="20"/>
              </w:rPr>
              <w:t>56</w:t>
            </w:r>
          </w:p>
        </w:tc>
        <w:tc>
          <w:tcPr>
            <w:tcW w:w="1050" w:type="dxa"/>
            <w:vMerge w:val="continue"/>
            <w:tcBorders>
              <w:top w:val="nil"/>
            </w:tcBorders>
          </w:tcPr>
          <w:p>
            <w:pPr>
              <w:pStyle w:val="style0"/>
              <w:rPr>
                <w:sz w:val="2"/>
                <w:szCs w:val="2"/>
              </w:rPr>
            </w:pPr>
          </w:p>
        </w:tc>
        <w:tc>
          <w:tcPr>
            <w:tcW w:w="1890" w:type="dxa"/>
            <w:tcBorders/>
          </w:tcPr>
          <w:p>
            <w:pPr>
              <w:pStyle w:val="style4098"/>
              <w:spacing w:before="149"/>
              <w:ind w:left="24" w:right="12"/>
              <w:jc w:val="center"/>
              <w:rPr>
                <w:sz w:val="22"/>
              </w:rPr>
            </w:pPr>
            <w:r>
              <w:rPr>
                <w:sz w:val="22"/>
              </w:rPr>
              <w:t>神龛移装费</w:t>
            </w:r>
          </w:p>
        </w:tc>
        <w:tc>
          <w:tcPr>
            <w:tcW w:w="1145" w:type="dxa"/>
            <w:tcBorders/>
          </w:tcPr>
          <w:p>
            <w:pPr>
              <w:pStyle w:val="style4098"/>
              <w:rPr>
                <w:rFonts w:ascii="Times New Roman"/>
                <w:sz w:val="24"/>
              </w:rPr>
            </w:pPr>
          </w:p>
        </w:tc>
        <w:tc>
          <w:tcPr>
            <w:tcW w:w="1064" w:type="dxa"/>
            <w:tcBorders/>
          </w:tcPr>
          <w:p>
            <w:pPr>
              <w:pStyle w:val="style4098"/>
              <w:spacing w:before="149"/>
              <w:ind w:left="252" w:right="242"/>
              <w:jc w:val="center"/>
              <w:rPr>
                <w:sz w:val="22"/>
              </w:rPr>
            </w:pPr>
            <w:r>
              <w:rPr>
                <w:sz w:val="22"/>
              </w:rPr>
              <w:t>元</w:t>
            </w:r>
            <w:r>
              <w:rPr>
                <w:rFonts w:ascii="Times New Roman" w:eastAsia="Times New Roman"/>
                <w:sz w:val="22"/>
              </w:rPr>
              <w:t>/</w:t>
            </w:r>
            <w:r>
              <w:rPr>
                <w:sz w:val="22"/>
              </w:rPr>
              <w:t>套</w:t>
            </w:r>
          </w:p>
        </w:tc>
        <w:tc>
          <w:tcPr>
            <w:tcW w:w="1213" w:type="dxa"/>
            <w:tcBorders/>
          </w:tcPr>
          <w:p>
            <w:pPr>
              <w:pStyle w:val="style4098"/>
              <w:spacing w:before="164"/>
              <w:ind w:left="145" w:right="135"/>
              <w:jc w:val="center"/>
              <w:rPr>
                <w:rFonts w:ascii="Times New Roman"/>
                <w:sz w:val="22"/>
              </w:rPr>
            </w:pPr>
            <w:r>
              <w:rPr>
                <w:rFonts w:ascii="Times New Roman"/>
                <w:sz w:val="22"/>
              </w:rPr>
              <w:t>300</w:t>
            </w:r>
          </w:p>
        </w:tc>
        <w:tc>
          <w:tcPr>
            <w:tcW w:w="1623" w:type="dxa"/>
            <w:tcBorders/>
          </w:tcPr>
          <w:p>
            <w:pPr>
              <w:pStyle w:val="style4098"/>
              <w:rPr>
                <w:rFonts w:ascii="Times New Roman"/>
                <w:sz w:val="24"/>
              </w:rPr>
            </w:pPr>
          </w:p>
        </w:tc>
      </w:tr>
      <w:tr>
        <w:tblPrEx/>
        <w:trPr>
          <w:trHeight w:val="580" w:hRule="atLeast"/>
        </w:trPr>
        <w:tc>
          <w:tcPr>
            <w:tcW w:w="760" w:type="dxa"/>
            <w:vMerge w:val="restart"/>
            <w:tcBorders/>
          </w:tcPr>
          <w:p>
            <w:pPr>
              <w:pStyle w:val="style4098"/>
              <w:rPr>
                <w:rFonts w:ascii="Times New Roman"/>
                <w:sz w:val="22"/>
              </w:rPr>
            </w:pPr>
          </w:p>
          <w:p>
            <w:pPr>
              <w:pStyle w:val="style4098"/>
              <w:rPr>
                <w:rFonts w:ascii="Times New Roman"/>
                <w:sz w:val="22"/>
              </w:rPr>
            </w:pPr>
          </w:p>
          <w:p>
            <w:pPr>
              <w:pStyle w:val="style4098"/>
              <w:rPr>
                <w:rFonts w:ascii="Times New Roman"/>
                <w:sz w:val="22"/>
              </w:rPr>
            </w:pPr>
          </w:p>
          <w:p>
            <w:pPr>
              <w:pStyle w:val="style4098"/>
              <w:spacing w:before="10"/>
              <w:rPr>
                <w:rFonts w:ascii="Times New Roman"/>
                <w:sz w:val="26"/>
              </w:rPr>
            </w:pPr>
          </w:p>
          <w:p>
            <w:pPr>
              <w:pStyle w:val="style4098"/>
              <w:ind w:left="140" w:right="129"/>
              <w:jc w:val="center"/>
              <w:rPr>
                <w:rFonts w:ascii="Times New Roman"/>
                <w:sz w:val="20"/>
              </w:rPr>
            </w:pPr>
            <w:r>
              <w:rPr>
                <w:rFonts w:ascii="Times New Roman"/>
                <w:sz w:val="20"/>
              </w:rPr>
              <w:t>57</w:t>
            </w:r>
          </w:p>
        </w:tc>
        <w:tc>
          <w:tcPr>
            <w:tcW w:w="1050" w:type="dxa"/>
            <w:vMerge w:val="continue"/>
            <w:tcBorders>
              <w:top w:val="nil"/>
            </w:tcBorders>
          </w:tcPr>
          <w:p>
            <w:pPr>
              <w:pStyle w:val="style0"/>
              <w:rPr>
                <w:sz w:val="2"/>
                <w:szCs w:val="2"/>
              </w:rPr>
            </w:pPr>
          </w:p>
        </w:tc>
        <w:tc>
          <w:tcPr>
            <w:tcW w:w="1890" w:type="dxa"/>
            <w:vMerge w:val="restart"/>
            <w:tcBorders/>
          </w:tcPr>
          <w:p>
            <w:pPr>
              <w:pStyle w:val="style4098"/>
              <w:rPr>
                <w:rFonts w:ascii="Times New Roman"/>
                <w:sz w:val="22"/>
              </w:rPr>
            </w:pPr>
          </w:p>
          <w:p>
            <w:pPr>
              <w:pStyle w:val="style4098"/>
              <w:rPr>
                <w:rFonts w:ascii="Times New Roman"/>
                <w:sz w:val="22"/>
              </w:rPr>
            </w:pPr>
          </w:p>
          <w:p>
            <w:pPr>
              <w:pStyle w:val="style4098"/>
              <w:rPr>
                <w:rFonts w:ascii="Times New Roman"/>
                <w:sz w:val="22"/>
              </w:rPr>
            </w:pPr>
          </w:p>
          <w:p>
            <w:pPr>
              <w:pStyle w:val="style4098"/>
              <w:spacing w:before="7"/>
              <w:rPr>
                <w:rFonts w:ascii="Times New Roman"/>
                <w:sz w:val="24"/>
              </w:rPr>
            </w:pPr>
          </w:p>
          <w:p>
            <w:pPr>
              <w:pStyle w:val="style4098"/>
              <w:ind w:left="505"/>
              <w:rPr>
                <w:sz w:val="22"/>
              </w:rPr>
            </w:pPr>
            <w:r>
              <w:rPr>
                <w:sz w:val="22"/>
              </w:rPr>
              <w:t>门头招牌</w:t>
            </w:r>
          </w:p>
        </w:tc>
        <w:tc>
          <w:tcPr>
            <w:tcW w:w="1145" w:type="dxa"/>
            <w:tcBorders/>
          </w:tcPr>
          <w:p>
            <w:pPr>
              <w:pStyle w:val="style4098"/>
              <w:spacing w:before="178"/>
              <w:ind w:left="6"/>
              <w:jc w:val="center"/>
              <w:rPr>
                <w:sz w:val="22"/>
              </w:rPr>
            </w:pPr>
            <w:r>
              <w:rPr>
                <w:sz w:val="22"/>
              </w:rPr>
              <w:t>板材类</w:t>
            </w:r>
          </w:p>
        </w:tc>
        <w:tc>
          <w:tcPr>
            <w:tcW w:w="1064" w:type="dxa"/>
            <w:tcBorders/>
          </w:tcPr>
          <w:p>
            <w:pPr>
              <w:pStyle w:val="style4098"/>
              <w:spacing w:before="149"/>
              <w:ind w:left="252" w:right="242"/>
              <w:jc w:val="center"/>
              <w:rPr>
                <w:sz w:val="22"/>
              </w:rPr>
            </w:pPr>
            <w:r>
              <w:rPr>
                <w:sz w:val="22"/>
              </w:rPr>
              <w:t>元</w:t>
            </w:r>
            <w:r>
              <w:rPr>
                <w:rFonts w:ascii="Times New Roman" w:eastAsia="Times New Roman"/>
                <w:sz w:val="22"/>
              </w:rPr>
              <w:t>/</w:t>
            </w:r>
            <w:r>
              <w:rPr>
                <w:sz w:val="22"/>
              </w:rPr>
              <w:t>㎡</w:t>
            </w:r>
          </w:p>
        </w:tc>
        <w:tc>
          <w:tcPr>
            <w:tcW w:w="1213" w:type="dxa"/>
            <w:tcBorders/>
          </w:tcPr>
          <w:p>
            <w:pPr>
              <w:pStyle w:val="style4098"/>
              <w:spacing w:before="164"/>
              <w:ind w:left="145" w:right="135"/>
              <w:jc w:val="center"/>
              <w:rPr>
                <w:rFonts w:ascii="Times New Roman"/>
                <w:sz w:val="22"/>
              </w:rPr>
            </w:pPr>
            <w:r>
              <w:rPr>
                <w:rFonts w:ascii="Times New Roman"/>
                <w:sz w:val="22"/>
              </w:rPr>
              <w:t>120</w:t>
            </w:r>
          </w:p>
        </w:tc>
        <w:tc>
          <w:tcPr>
            <w:tcW w:w="1623" w:type="dxa"/>
            <w:tcBorders/>
          </w:tcPr>
          <w:p>
            <w:pPr>
              <w:pStyle w:val="style4098"/>
              <w:rPr>
                <w:rFonts w:ascii="Times New Roman"/>
                <w:sz w:val="24"/>
              </w:rPr>
            </w:pPr>
          </w:p>
        </w:tc>
      </w:tr>
      <w:tr>
        <w:tblPrEx/>
        <w:trPr>
          <w:trHeight w:val="565" w:hRule="atLeast"/>
        </w:trPr>
        <w:tc>
          <w:tcPr>
            <w:tcW w:w="760" w:type="dxa"/>
            <w:vMerge w:val="continue"/>
            <w:tcBorders>
              <w:top w:val="nil"/>
            </w:tcBorders>
          </w:tcPr>
          <w:p>
            <w:pPr>
              <w:pStyle w:val="style0"/>
              <w:rPr>
                <w:sz w:val="2"/>
                <w:szCs w:val="2"/>
              </w:rPr>
            </w:pPr>
          </w:p>
        </w:tc>
        <w:tc>
          <w:tcPr>
            <w:tcW w:w="1050" w:type="dxa"/>
            <w:vMerge w:val="continue"/>
            <w:tcBorders>
              <w:top w:val="nil"/>
            </w:tcBorders>
          </w:tcPr>
          <w:p>
            <w:pPr>
              <w:pStyle w:val="style0"/>
              <w:rPr>
                <w:sz w:val="2"/>
                <w:szCs w:val="2"/>
              </w:rPr>
            </w:pPr>
          </w:p>
        </w:tc>
        <w:tc>
          <w:tcPr>
            <w:tcW w:w="1890" w:type="dxa"/>
            <w:vMerge w:val="continue"/>
            <w:tcBorders>
              <w:top w:val="nil"/>
            </w:tcBorders>
          </w:tcPr>
          <w:p>
            <w:pPr>
              <w:pStyle w:val="style0"/>
              <w:rPr>
                <w:sz w:val="2"/>
                <w:szCs w:val="2"/>
              </w:rPr>
            </w:pPr>
          </w:p>
        </w:tc>
        <w:tc>
          <w:tcPr>
            <w:tcW w:w="1145" w:type="dxa"/>
            <w:tcBorders/>
          </w:tcPr>
          <w:p>
            <w:pPr>
              <w:pStyle w:val="style4098"/>
              <w:spacing w:before="171"/>
              <w:ind w:left="8"/>
              <w:jc w:val="center"/>
              <w:rPr>
                <w:sz w:val="22"/>
              </w:rPr>
            </w:pPr>
            <w:r>
              <w:rPr>
                <w:sz w:val="22"/>
              </w:rPr>
              <w:t>灯箱</w:t>
            </w:r>
          </w:p>
        </w:tc>
        <w:tc>
          <w:tcPr>
            <w:tcW w:w="1064" w:type="dxa"/>
            <w:tcBorders/>
          </w:tcPr>
          <w:p>
            <w:pPr>
              <w:pStyle w:val="style4098"/>
              <w:spacing w:before="143"/>
              <w:ind w:left="252" w:right="242"/>
              <w:jc w:val="center"/>
              <w:rPr>
                <w:sz w:val="22"/>
              </w:rPr>
            </w:pPr>
            <w:r>
              <w:rPr>
                <w:sz w:val="22"/>
              </w:rPr>
              <w:t>元</w:t>
            </w:r>
            <w:r>
              <w:rPr>
                <w:rFonts w:ascii="Times New Roman" w:eastAsia="Times New Roman"/>
                <w:sz w:val="22"/>
              </w:rPr>
              <w:t>/</w:t>
            </w:r>
            <w:r>
              <w:rPr>
                <w:sz w:val="22"/>
              </w:rPr>
              <w:t>㎡</w:t>
            </w:r>
          </w:p>
        </w:tc>
        <w:tc>
          <w:tcPr>
            <w:tcW w:w="1213" w:type="dxa"/>
            <w:tcBorders/>
          </w:tcPr>
          <w:p>
            <w:pPr>
              <w:pStyle w:val="style4098"/>
              <w:spacing w:before="155"/>
              <w:ind w:left="145" w:right="135"/>
              <w:jc w:val="center"/>
              <w:rPr>
                <w:rFonts w:ascii="Times New Roman"/>
                <w:sz w:val="22"/>
              </w:rPr>
            </w:pPr>
            <w:r>
              <w:rPr>
                <w:rFonts w:ascii="Times New Roman"/>
                <w:sz w:val="22"/>
              </w:rPr>
              <w:t>100</w:t>
            </w:r>
          </w:p>
        </w:tc>
        <w:tc>
          <w:tcPr>
            <w:tcW w:w="1623" w:type="dxa"/>
            <w:tcBorders/>
          </w:tcPr>
          <w:p>
            <w:pPr>
              <w:pStyle w:val="style4098"/>
              <w:rPr>
                <w:rFonts w:ascii="Times New Roman"/>
                <w:sz w:val="24"/>
              </w:rPr>
            </w:pPr>
          </w:p>
        </w:tc>
      </w:tr>
      <w:tr>
        <w:tblPrEx/>
        <w:trPr>
          <w:trHeight w:val="580" w:hRule="atLeast"/>
        </w:trPr>
        <w:tc>
          <w:tcPr>
            <w:tcW w:w="760" w:type="dxa"/>
            <w:vMerge w:val="continue"/>
            <w:tcBorders>
              <w:top w:val="nil"/>
            </w:tcBorders>
          </w:tcPr>
          <w:p>
            <w:pPr>
              <w:pStyle w:val="style0"/>
              <w:rPr>
                <w:sz w:val="2"/>
                <w:szCs w:val="2"/>
              </w:rPr>
            </w:pPr>
          </w:p>
        </w:tc>
        <w:tc>
          <w:tcPr>
            <w:tcW w:w="1050" w:type="dxa"/>
            <w:vMerge w:val="continue"/>
            <w:tcBorders>
              <w:top w:val="nil"/>
            </w:tcBorders>
          </w:tcPr>
          <w:p>
            <w:pPr>
              <w:pStyle w:val="style0"/>
              <w:rPr>
                <w:sz w:val="2"/>
                <w:szCs w:val="2"/>
              </w:rPr>
            </w:pPr>
          </w:p>
        </w:tc>
        <w:tc>
          <w:tcPr>
            <w:tcW w:w="1890" w:type="dxa"/>
            <w:vMerge w:val="continue"/>
            <w:tcBorders>
              <w:top w:val="nil"/>
            </w:tcBorders>
          </w:tcPr>
          <w:p>
            <w:pPr>
              <w:pStyle w:val="style0"/>
              <w:rPr>
                <w:sz w:val="2"/>
                <w:szCs w:val="2"/>
              </w:rPr>
            </w:pPr>
          </w:p>
        </w:tc>
        <w:tc>
          <w:tcPr>
            <w:tcW w:w="1145" w:type="dxa"/>
            <w:tcBorders/>
          </w:tcPr>
          <w:p>
            <w:pPr>
              <w:pStyle w:val="style4098"/>
              <w:spacing w:before="179"/>
              <w:ind w:left="6"/>
              <w:jc w:val="center"/>
              <w:rPr>
                <w:sz w:val="22"/>
              </w:rPr>
            </w:pPr>
            <w:r>
              <w:rPr>
                <w:sz w:val="22"/>
              </w:rPr>
              <w:t>霓虹灯</w:t>
            </w:r>
          </w:p>
        </w:tc>
        <w:tc>
          <w:tcPr>
            <w:tcW w:w="1064" w:type="dxa"/>
            <w:tcBorders/>
          </w:tcPr>
          <w:p>
            <w:pPr>
              <w:pStyle w:val="style4098"/>
              <w:spacing w:before="151"/>
              <w:ind w:left="252" w:right="242"/>
              <w:jc w:val="center"/>
              <w:rPr>
                <w:sz w:val="22"/>
              </w:rPr>
            </w:pPr>
            <w:r>
              <w:rPr>
                <w:sz w:val="22"/>
              </w:rPr>
              <w:t>元</w:t>
            </w:r>
            <w:r>
              <w:rPr>
                <w:rFonts w:ascii="Times New Roman" w:eastAsia="Times New Roman"/>
                <w:sz w:val="22"/>
              </w:rPr>
              <w:t>/</w:t>
            </w:r>
            <w:r>
              <w:rPr>
                <w:sz w:val="22"/>
              </w:rPr>
              <w:t>㎡</w:t>
            </w:r>
          </w:p>
        </w:tc>
        <w:tc>
          <w:tcPr>
            <w:tcW w:w="1213" w:type="dxa"/>
            <w:tcBorders/>
          </w:tcPr>
          <w:p>
            <w:pPr>
              <w:pStyle w:val="style4098"/>
              <w:spacing w:before="163"/>
              <w:ind w:left="145" w:right="135"/>
              <w:jc w:val="center"/>
              <w:rPr>
                <w:rFonts w:ascii="Times New Roman"/>
                <w:sz w:val="22"/>
              </w:rPr>
            </w:pPr>
            <w:r>
              <w:rPr>
                <w:rFonts w:ascii="Times New Roman"/>
                <w:sz w:val="22"/>
              </w:rPr>
              <w:t>180</w:t>
            </w:r>
          </w:p>
        </w:tc>
        <w:tc>
          <w:tcPr>
            <w:tcW w:w="1623" w:type="dxa"/>
            <w:tcBorders/>
          </w:tcPr>
          <w:p>
            <w:pPr>
              <w:pStyle w:val="style4098"/>
              <w:rPr>
                <w:rFonts w:ascii="Times New Roman"/>
                <w:sz w:val="24"/>
              </w:rPr>
            </w:pPr>
          </w:p>
        </w:tc>
      </w:tr>
      <w:tr>
        <w:tblPrEx/>
        <w:trPr>
          <w:trHeight w:val="610" w:hRule="atLeast"/>
        </w:trPr>
        <w:tc>
          <w:tcPr>
            <w:tcW w:w="760" w:type="dxa"/>
            <w:vMerge w:val="continue"/>
            <w:tcBorders>
              <w:top w:val="nil"/>
            </w:tcBorders>
          </w:tcPr>
          <w:p>
            <w:pPr>
              <w:pStyle w:val="style0"/>
              <w:rPr>
                <w:sz w:val="2"/>
                <w:szCs w:val="2"/>
              </w:rPr>
            </w:pPr>
          </w:p>
        </w:tc>
        <w:tc>
          <w:tcPr>
            <w:tcW w:w="1050" w:type="dxa"/>
            <w:vMerge w:val="continue"/>
            <w:tcBorders>
              <w:top w:val="nil"/>
            </w:tcBorders>
          </w:tcPr>
          <w:p>
            <w:pPr>
              <w:pStyle w:val="style0"/>
              <w:rPr>
                <w:sz w:val="2"/>
                <w:szCs w:val="2"/>
              </w:rPr>
            </w:pPr>
          </w:p>
        </w:tc>
        <w:tc>
          <w:tcPr>
            <w:tcW w:w="1890" w:type="dxa"/>
            <w:vMerge w:val="continue"/>
            <w:tcBorders>
              <w:top w:val="nil"/>
            </w:tcBorders>
          </w:tcPr>
          <w:p>
            <w:pPr>
              <w:pStyle w:val="style0"/>
              <w:rPr>
                <w:sz w:val="2"/>
                <w:szCs w:val="2"/>
              </w:rPr>
            </w:pPr>
          </w:p>
        </w:tc>
        <w:tc>
          <w:tcPr>
            <w:tcW w:w="1145" w:type="dxa"/>
            <w:tcBorders/>
          </w:tcPr>
          <w:p>
            <w:pPr>
              <w:pStyle w:val="style4098"/>
              <w:spacing w:before="194"/>
              <w:ind w:left="6"/>
              <w:jc w:val="center"/>
              <w:rPr>
                <w:sz w:val="22"/>
              </w:rPr>
            </w:pPr>
            <w:r>
              <w:rPr>
                <w:sz w:val="22"/>
              </w:rPr>
              <w:t>喷绘类</w:t>
            </w:r>
          </w:p>
        </w:tc>
        <w:tc>
          <w:tcPr>
            <w:tcW w:w="1064" w:type="dxa"/>
            <w:tcBorders/>
          </w:tcPr>
          <w:p>
            <w:pPr>
              <w:pStyle w:val="style4098"/>
              <w:spacing w:before="165"/>
              <w:ind w:left="252" w:right="242"/>
              <w:jc w:val="center"/>
              <w:rPr>
                <w:sz w:val="22"/>
              </w:rPr>
            </w:pPr>
            <w:r>
              <w:rPr>
                <w:sz w:val="22"/>
              </w:rPr>
              <w:t>元</w:t>
            </w:r>
            <w:r>
              <w:rPr>
                <w:rFonts w:ascii="Times New Roman" w:eastAsia="Times New Roman"/>
                <w:sz w:val="22"/>
              </w:rPr>
              <w:t>/</w:t>
            </w:r>
            <w:r>
              <w:rPr>
                <w:sz w:val="22"/>
              </w:rPr>
              <w:t>㎡</w:t>
            </w:r>
          </w:p>
        </w:tc>
        <w:tc>
          <w:tcPr>
            <w:tcW w:w="1213" w:type="dxa"/>
            <w:tcBorders/>
          </w:tcPr>
          <w:p>
            <w:pPr>
              <w:pStyle w:val="style4098"/>
              <w:spacing w:before="178"/>
              <w:ind w:left="145" w:right="135"/>
              <w:jc w:val="center"/>
              <w:rPr>
                <w:rFonts w:ascii="Times New Roman"/>
                <w:sz w:val="22"/>
              </w:rPr>
            </w:pPr>
            <w:r>
              <w:rPr>
                <w:rFonts w:ascii="Times New Roman"/>
                <w:sz w:val="22"/>
              </w:rPr>
              <w:t>30</w:t>
            </w:r>
          </w:p>
        </w:tc>
        <w:tc>
          <w:tcPr>
            <w:tcW w:w="1623" w:type="dxa"/>
            <w:tcBorders/>
          </w:tcPr>
          <w:p>
            <w:pPr>
              <w:pStyle w:val="style4098"/>
              <w:rPr>
                <w:rFonts w:ascii="Times New Roman"/>
                <w:sz w:val="24"/>
              </w:rPr>
            </w:pPr>
          </w:p>
        </w:tc>
      </w:tr>
    </w:tbl>
    <w:p>
      <w:pPr>
        <w:pStyle w:val="style0"/>
        <w:spacing w:after="0"/>
        <w:rPr>
          <w:rFonts w:ascii="Times New Roman"/>
          <w:sz w:val="24"/>
        </w:rPr>
        <w:sectPr>
          <w:pgSz w:w="11910" w:h="16840" w:orient="portrait"/>
          <w:pgMar w:top="1580" w:right="1200" w:bottom="1120" w:left="1460" w:header="0" w:footer="922" w:gutter="0"/>
          <w:cols w:space="720" w:num="1"/>
        </w:sectPr>
      </w:pPr>
    </w:p>
    <w:p>
      <w:pPr>
        <w:pStyle w:val="style66"/>
        <w:spacing w:before="67"/>
        <w:rPr>
          <w:rFonts w:ascii="Times New Roman" w:eastAsia="宋体" w:hint="eastAsia"/>
          <w:lang w:val="en-US" w:eastAsia="zh-CN"/>
        </w:rPr>
      </w:pPr>
      <w:r>
        <w:rPr>
          <w:rFonts w:ascii="黑体" w:eastAsia="黑体" w:hint="eastAsia"/>
          <w:spacing w:val="-19"/>
        </w:rPr>
        <w:t xml:space="preserve">附件 </w:t>
      </w:r>
      <w:r>
        <w:rPr>
          <w:rFonts w:ascii="Times New Roman" w:eastAsia="宋体" w:hint="eastAsia"/>
          <w:lang w:val="en-US" w:eastAsia="zh-CN"/>
        </w:rPr>
        <w:t>3</w:t>
      </w:r>
    </w:p>
    <w:p>
      <w:pPr>
        <w:pStyle w:val="style66"/>
        <w:spacing w:before="67"/>
        <w:rPr>
          <w:rFonts w:ascii="Times New Roman" w:eastAsia="宋体" w:hint="eastAsia"/>
          <w:lang w:val="en-US" w:eastAsia="zh-CN"/>
        </w:rPr>
      </w:pPr>
      <w:r>
        <w:rPr>
          <w:rFonts w:ascii="Times New Roman" w:eastAsia="宋体" w:hint="eastAsia"/>
          <w:lang w:val="en-US" w:eastAsia="zh-CN"/>
        </w:rPr>
        <w:drawing>
          <wp:inline distL="0" distT="0" distB="0" distR="0">
            <wp:extent cx="6402070" cy="4102735"/>
            <wp:effectExtent l="0" t="0" r="17780" b="12065"/>
            <wp:docPr id="1026" name="图片 4" descr="拟征收范围图"/>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5" cstate="print"/>
                    <a:srcRect l="0" t="0" r="0" b="0"/>
                    <a:stretch/>
                  </pic:blipFill>
                  <pic:spPr>
                    <a:xfrm rot="0">
                      <a:off x="0" y="0"/>
                      <a:ext cx="6402070" cy="4102735"/>
                    </a:xfrm>
                    <a:prstGeom prst="rect"/>
                  </pic:spPr>
                </pic:pic>
              </a:graphicData>
            </a:graphic>
          </wp:inline>
        </w:drawing>
      </w:r>
    </w:p>
    <w:bookmarkStart w:id="0" w:name="_GoBack"/>
    <w:bookmarkEnd w:id="0"/>
    <w:p>
      <w:pPr>
        <w:pStyle w:val="style66"/>
        <w:spacing w:before="9"/>
        <w:rPr>
          <w:rFonts w:ascii="黑体" w:eastAsia="仿宋" w:hint="default"/>
          <w:sz w:val="36"/>
          <w:szCs w:val="52"/>
          <w:lang w:val="en-US" w:eastAsia="zh-CN"/>
        </w:rPr>
      </w:pPr>
    </w:p>
    <w:sectPr>
      <w:pgSz w:w="11910" w:h="16840" w:orient="portrait"/>
      <w:pgMar w:top="1580" w:right="1200" w:bottom="1120" w:left="1460" w:header="0" w:footer="92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86"/>
    <w:family w:val="swiss"/>
    <w:pitch w:val="default"/>
    <w:sig w:usb0="E00002FF" w:usb1="4000ACFF" w:usb2="00000001" w:usb3="00000000" w:csb0="2000019F"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楷体">
    <w:altName w:val="楷体"/>
    <w:panose1 w:val="02010609060001010101"/>
    <w:charset w:val="86"/>
    <w:family w:val="modern"/>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mc:AlternateContent>
        <mc:Choice Requires="wps">
          <w:drawing>
            <wp:anchor distT="0" distB="0" distL="0" distR="0" simplePos="false" relativeHeight="2" behindDoc="true" locked="false" layoutInCell="true" allowOverlap="true">
              <wp:simplePos x="0" y="0"/>
              <wp:positionH relativeFrom="page">
                <wp:posOffset>3536315</wp:posOffset>
              </wp:positionH>
              <wp:positionV relativeFrom="page">
                <wp:posOffset>9916160</wp:posOffset>
              </wp:positionV>
              <wp:extent cx="559434" cy="223519"/>
              <wp:effectExtent l="0" t="0" r="0" b="0"/>
              <wp:wrapNone/>
              <wp:docPr id="4097" name="文本框 10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9434" cy="223519"/>
                      </a:xfrm>
                      <a:prstGeom prst="rect"/>
                      <a:ln>
                        <a:noFill/>
                      </a:ln>
                    </wps:spPr>
                    <wps:txbx id="4097">
                      <w:txbxContent>
                        <w:p>
                          <w:pPr>
                            <w:pStyle w:val="style0"/>
                            <w:spacing w:before="9"/>
                            <w:ind w:left="20" w:right="0" w:firstLine="0"/>
                            <w:jc w:val="left"/>
                            <w:rPr>
                              <w:rFonts w:ascii="Times New Roman" w:hAnsi="Times New Roman"/>
                              <w:sz w:val="28"/>
                            </w:rPr>
                          </w:pPr>
                          <w:r>
                            <w:rPr>
                              <w:rFonts w:ascii="Times New Roman" w:hAnsi="Times New Roman"/>
                              <w:sz w:val="28"/>
                            </w:rPr>
                            <w:t xml:space="preserve">— </w:t>
                          </w:r>
                          <w:r>
                            <w:rPr/>
                            <w:fldChar w:fldCharType="begin"/>
                          </w:r>
                          <w:r>
                            <w:rPr>
                              <w:rFonts w:ascii="Times New Roman" w:hAnsi="Times New Roman"/>
                              <w:sz w:val="28"/>
                            </w:rPr>
                            <w:instrText xml:space="preserve"> PAGE </w:instrText>
                          </w:r>
                          <w:r>
                            <w:rPr/>
                            <w:fldChar w:fldCharType="separate"/>
                          </w:r>
                          <w:r>
                            <w:t>1</w:t>
                          </w:r>
                          <w:r>
                            <w:rPr/>
                            <w:fldChar w:fldCharType="end"/>
                          </w:r>
                          <w:r>
                            <w:rPr>
                              <w:rFonts w:ascii="Times New Roman" w:hAnsi="Times New Roman"/>
                              <w:sz w:val="28"/>
                            </w:rPr>
                            <w:t xml:space="preserve"> —</w:t>
                          </w:r>
                        </w:p>
                      </w:txbxContent>
                    </wps:txbx>
                    <wps:bodyPr lIns="0" rIns="0" tIns="0" bIns="0" upright="true">
                      <a:prstTxWarp prst="textNoShape"/>
                    </wps:bodyPr>
                  </wps:wsp>
                </a:graphicData>
              </a:graphic>
            </wp:anchor>
          </w:drawing>
        </mc:Choice>
        <mc:Fallback>
          <w:pict>
            <v:rect id="4097" filled="f" stroked="f" style="position:absolute;margin-left:278.45pt;margin-top:780.8pt;width:44.05pt;height:17.6pt;z-index:-2147483645;mso-position-horizontal-relative:page;mso-position-vertical-relative:page;mso-width-relative:page;mso-height-relative:page;mso-wrap-distance-left:0.0pt;mso-wrap-distance-right:0.0pt;visibility:visible;">
              <v:stroke on="f"/>
              <v:fill/>
              <v:textbox inset="0.0pt,0.0pt,0.0pt,0.0pt">
                <w:txbxContent>
                  <w:p>
                    <w:pPr>
                      <w:pStyle w:val="style0"/>
                      <w:spacing w:before="9"/>
                      <w:ind w:left="20" w:right="0" w:firstLine="0"/>
                      <w:jc w:val="left"/>
                      <w:rPr>
                        <w:rFonts w:ascii="Times New Roman" w:hAnsi="Times New Roman"/>
                        <w:sz w:val="28"/>
                      </w:rPr>
                    </w:pPr>
                    <w:r>
                      <w:rPr>
                        <w:rFonts w:ascii="Times New Roman" w:hAnsi="Times New Roman"/>
                        <w:sz w:val="28"/>
                      </w:rPr>
                      <w:t xml:space="preserve">— </w:t>
                    </w:r>
                    <w:r>
                      <w:rPr/>
                      <w:fldChar w:fldCharType="begin"/>
                    </w:r>
                    <w:r>
                      <w:rPr>
                        <w:rFonts w:ascii="Times New Roman" w:hAnsi="Times New Roman"/>
                        <w:sz w:val="28"/>
                      </w:rPr>
                      <w:instrText xml:space="preserve"> PAGE </w:instrText>
                    </w:r>
                    <w:r>
                      <w:rPr/>
                      <w:fldChar w:fldCharType="separate"/>
                    </w:r>
                    <w:r>
                      <w:t>1</w:t>
                    </w:r>
                    <w:r>
                      <w:rPr/>
                      <w:fldChar w:fldCharType="end"/>
                    </w:r>
                    <w:r>
                      <w:rPr>
                        <w:rFonts w:ascii="Times New Roman" w:hAnsi="Times New Roman"/>
                        <w:sz w:val="28"/>
                      </w:rPr>
                      <w:t xml:space="preserve"> —</w:t>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mc:AlternateContent>
        <mc:Choice Requires="wps">
          <w:drawing>
            <wp:anchor distT="0" distB="0" distL="0" distR="0" simplePos="false" relativeHeight="3" behindDoc="true" locked="false" layoutInCell="true" allowOverlap="true">
              <wp:simplePos x="0" y="0"/>
              <wp:positionH relativeFrom="page">
                <wp:posOffset>3492500</wp:posOffset>
              </wp:positionH>
              <wp:positionV relativeFrom="page">
                <wp:posOffset>9916160</wp:posOffset>
              </wp:positionV>
              <wp:extent cx="647700" cy="223519"/>
              <wp:effectExtent l="0" t="0" r="0" b="0"/>
              <wp:wrapNone/>
              <wp:docPr id="4098" name="文本框 10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7700" cy="223519"/>
                      </a:xfrm>
                      <a:prstGeom prst="rect"/>
                      <a:ln>
                        <a:noFill/>
                      </a:ln>
                    </wps:spPr>
                    <wps:txbx id="4098">
                      <w:txbxContent>
                        <w:p>
                          <w:pPr>
                            <w:pStyle w:val="style0"/>
                            <w:spacing w:before="9"/>
                            <w:ind w:left="20" w:right="0" w:firstLine="0"/>
                            <w:jc w:val="left"/>
                            <w:rPr>
                              <w:rFonts w:ascii="Times New Roman" w:hAnsi="Times New Roman"/>
                              <w:sz w:val="28"/>
                            </w:rPr>
                          </w:pPr>
                          <w:r>
                            <w:rPr>
                              <w:rFonts w:ascii="Times New Roman" w:hAnsi="Times New Roman"/>
                              <w:sz w:val="28"/>
                            </w:rPr>
                            <w:t xml:space="preserve">— </w:t>
                          </w:r>
                          <w:r>
                            <w:rPr/>
                            <w:fldChar w:fldCharType="begin"/>
                          </w:r>
                          <w:r>
                            <w:rPr>
                              <w:rFonts w:ascii="Times New Roman" w:hAnsi="Times New Roman"/>
                              <w:sz w:val="28"/>
                            </w:rPr>
                            <w:instrText xml:space="preserve"> PAGE </w:instrText>
                          </w:r>
                          <w:r>
                            <w:rPr/>
                            <w:fldChar w:fldCharType="separate"/>
                          </w:r>
                          <w:r>
                            <w:t>10</w:t>
                          </w:r>
                          <w:r>
                            <w:rPr/>
                            <w:fldChar w:fldCharType="end"/>
                          </w:r>
                          <w:r>
                            <w:rPr>
                              <w:rFonts w:ascii="Times New Roman" w:hAnsi="Times New Roman"/>
                              <w:sz w:val="28"/>
                            </w:rPr>
                            <w:t xml:space="preserve"> —</w:t>
                          </w:r>
                        </w:p>
                      </w:txbxContent>
                    </wps:txbx>
                    <wps:bodyPr lIns="0" rIns="0" tIns="0" bIns="0" upright="true">
                      <a:prstTxWarp prst="textNoShape"/>
                    </wps:bodyPr>
                  </wps:wsp>
                </a:graphicData>
              </a:graphic>
            </wp:anchor>
          </w:drawing>
        </mc:Choice>
        <mc:Fallback>
          <w:pict>
            <v:rect id="4098" filled="f" stroked="f" style="position:absolute;margin-left:275.0pt;margin-top:780.8pt;width:51.0pt;height:17.6pt;z-index:-2147483644;mso-position-horizontal-relative:page;mso-position-vertical-relative:page;mso-width-relative:page;mso-height-relative:page;mso-wrap-distance-left:0.0pt;mso-wrap-distance-right:0.0pt;visibility:visible;">
              <v:stroke on="f"/>
              <v:fill/>
              <v:textbox inset="0.0pt,0.0pt,0.0pt,0.0pt">
                <w:txbxContent>
                  <w:p>
                    <w:pPr>
                      <w:pStyle w:val="style0"/>
                      <w:spacing w:before="9"/>
                      <w:ind w:left="20" w:right="0" w:firstLine="0"/>
                      <w:jc w:val="left"/>
                      <w:rPr>
                        <w:rFonts w:ascii="Times New Roman" w:hAnsi="Times New Roman"/>
                        <w:sz w:val="28"/>
                      </w:rPr>
                    </w:pPr>
                    <w:r>
                      <w:rPr>
                        <w:rFonts w:ascii="Times New Roman" w:hAnsi="Times New Roman"/>
                        <w:sz w:val="28"/>
                      </w:rPr>
                      <w:t xml:space="preserve">— </w:t>
                    </w:r>
                    <w:r>
                      <w:rPr/>
                      <w:fldChar w:fldCharType="begin"/>
                    </w:r>
                    <w:r>
                      <w:rPr>
                        <w:rFonts w:ascii="Times New Roman" w:hAnsi="Times New Roman"/>
                        <w:sz w:val="28"/>
                      </w:rPr>
                      <w:instrText xml:space="preserve"> PAGE </w:instrText>
                    </w:r>
                    <w:r>
                      <w:rPr/>
                      <w:fldChar w:fldCharType="separate"/>
                    </w:r>
                    <w:r>
                      <w:t>10</w:t>
                    </w:r>
                    <w:r>
                      <w:rPr/>
                      <w:fldChar w:fldCharType="end"/>
                    </w:r>
                    <w:r>
                      <w:rPr>
                        <w:rFonts w:ascii="Times New Roman" w:hAnsi="Times New Roman"/>
                        <w:sz w:val="28"/>
                      </w:rPr>
                      <w:t xml:space="preserve"> —</w:t>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mc:AlternateContent>
        <mc:Choice Requires="wps">
          <w:drawing>
            <wp:anchor distT="0" distB="0" distL="0" distR="0" simplePos="false" relativeHeight="4" behindDoc="true" locked="false" layoutInCell="true" allowOverlap="true">
              <wp:simplePos x="0" y="0"/>
              <wp:positionH relativeFrom="page">
                <wp:posOffset>3492500</wp:posOffset>
              </wp:positionH>
              <wp:positionV relativeFrom="page">
                <wp:posOffset>9916160</wp:posOffset>
              </wp:positionV>
              <wp:extent cx="647700" cy="223519"/>
              <wp:effectExtent l="0" t="0" r="0" b="0"/>
              <wp:wrapNone/>
              <wp:docPr id="4099" name="文本框 10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7700" cy="223519"/>
                      </a:xfrm>
                      <a:prstGeom prst="rect"/>
                      <a:ln>
                        <a:noFill/>
                      </a:ln>
                    </wps:spPr>
                    <wps:txbx id="4099">
                      <w:txbxContent>
                        <w:p>
                          <w:pPr>
                            <w:pStyle w:val="style0"/>
                            <w:spacing w:before="9"/>
                            <w:ind w:left="20" w:right="0" w:firstLine="0"/>
                            <w:jc w:val="left"/>
                            <w:rPr>
                              <w:rFonts w:ascii="Times New Roman" w:hAnsi="Times New Roman"/>
                              <w:sz w:val="28"/>
                            </w:rPr>
                          </w:pPr>
                          <w:r>
                            <w:rPr>
                              <w:rFonts w:ascii="Times New Roman" w:hAnsi="Times New Roman"/>
                              <w:sz w:val="28"/>
                            </w:rPr>
                            <w:t xml:space="preserve">— </w:t>
                          </w:r>
                          <w:r>
                            <w:rPr/>
                            <w:fldChar w:fldCharType="begin"/>
                          </w:r>
                          <w:r>
                            <w:rPr>
                              <w:rFonts w:ascii="Times New Roman" w:hAnsi="Times New Roman"/>
                              <w:sz w:val="28"/>
                            </w:rPr>
                            <w:instrText xml:space="preserve"> PAGE </w:instrText>
                          </w:r>
                          <w:r>
                            <w:rPr/>
                            <w:fldChar w:fldCharType="separate"/>
                          </w:r>
                          <w:r>
                            <w:t>21</w:t>
                          </w:r>
                          <w:r>
                            <w:rPr/>
                            <w:fldChar w:fldCharType="end"/>
                          </w:r>
                          <w:r>
                            <w:rPr>
                              <w:rFonts w:ascii="Times New Roman" w:hAnsi="Times New Roman"/>
                              <w:sz w:val="28"/>
                            </w:rPr>
                            <w:t xml:space="preserve"> —</w:t>
                          </w:r>
                        </w:p>
                      </w:txbxContent>
                    </wps:txbx>
                    <wps:bodyPr lIns="0" rIns="0" tIns="0" bIns="0" upright="true">
                      <a:prstTxWarp prst="textNoShape"/>
                    </wps:bodyPr>
                  </wps:wsp>
                </a:graphicData>
              </a:graphic>
            </wp:anchor>
          </w:drawing>
        </mc:Choice>
        <mc:Fallback>
          <w:pict>
            <v:rect id="4099" filled="f" stroked="f" style="position:absolute;margin-left:275.0pt;margin-top:780.8pt;width:51.0pt;height:17.6pt;z-index:-2147483643;mso-position-horizontal-relative:page;mso-position-vertical-relative:page;mso-width-relative:page;mso-height-relative:page;mso-wrap-distance-left:0.0pt;mso-wrap-distance-right:0.0pt;visibility:visible;">
              <v:stroke on="f"/>
              <v:fill/>
              <v:textbox inset="0.0pt,0.0pt,0.0pt,0.0pt">
                <w:txbxContent>
                  <w:p>
                    <w:pPr>
                      <w:pStyle w:val="style0"/>
                      <w:spacing w:before="9"/>
                      <w:ind w:left="20" w:right="0" w:firstLine="0"/>
                      <w:jc w:val="left"/>
                      <w:rPr>
                        <w:rFonts w:ascii="Times New Roman" w:hAnsi="Times New Roman"/>
                        <w:sz w:val="28"/>
                      </w:rPr>
                    </w:pPr>
                    <w:r>
                      <w:rPr>
                        <w:rFonts w:ascii="Times New Roman" w:hAnsi="Times New Roman"/>
                        <w:sz w:val="28"/>
                      </w:rPr>
                      <w:t xml:space="preserve">— </w:t>
                    </w:r>
                    <w:r>
                      <w:rPr/>
                      <w:fldChar w:fldCharType="begin"/>
                    </w:r>
                    <w:r>
                      <w:rPr>
                        <w:rFonts w:ascii="Times New Roman" w:hAnsi="Times New Roman"/>
                        <w:sz w:val="28"/>
                      </w:rPr>
                      <w:instrText xml:space="preserve"> PAGE </w:instrText>
                    </w:r>
                    <w:r>
                      <w:rPr/>
                      <w:fldChar w:fldCharType="separate"/>
                    </w:r>
                    <w:r>
                      <w:t>21</w:t>
                    </w:r>
                    <w:r>
                      <w:rPr/>
                      <w:fldChar w:fldCharType="end"/>
                    </w:r>
                    <w:r>
                      <w:rPr>
                        <w:rFonts w:ascii="Times New Roman" w:hAnsi="Times New Roman"/>
                        <w:sz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239341B"/>
    <w:lvl w:ilvl="0">
      <w:start w:val="1"/>
      <w:numFmt w:val="decimal"/>
      <w:lvlText w:val="%1."/>
      <w:lvlJc w:val="left"/>
      <w:pPr>
        <w:ind w:left="126" w:hanging="485"/>
        <w:jc w:val="left"/>
      </w:pPr>
      <w:rPr>
        <w:rFonts w:ascii="Times New Roman" w:cs="Times New Roman" w:eastAsia="Times New Roman" w:hAnsi="Times New Roman" w:hint="default"/>
        <w:spacing w:val="8"/>
        <w:w w:val="100"/>
        <w:sz w:val="29"/>
        <w:szCs w:val="29"/>
        <w:lang w:val="zh-CN" w:bidi="zh-CN" w:eastAsia="zh-CN"/>
      </w:rPr>
    </w:lvl>
    <w:lvl w:ilvl="1">
      <w:start w:val="0"/>
      <w:numFmt w:val="bullet"/>
      <w:lvlText w:val="•"/>
      <w:lvlJc w:val="left"/>
      <w:pPr>
        <w:ind w:left="1032" w:hanging="485"/>
      </w:pPr>
      <w:rPr>
        <w:rFonts w:hint="default"/>
        <w:lang w:val="zh-CN" w:bidi="zh-CN" w:eastAsia="zh-CN"/>
      </w:rPr>
    </w:lvl>
    <w:lvl w:ilvl="2">
      <w:start w:val="0"/>
      <w:numFmt w:val="bullet"/>
      <w:lvlText w:val="•"/>
      <w:lvlJc w:val="left"/>
      <w:pPr>
        <w:ind w:left="1945" w:hanging="485"/>
      </w:pPr>
      <w:rPr>
        <w:rFonts w:hint="default"/>
        <w:lang w:val="zh-CN" w:bidi="zh-CN" w:eastAsia="zh-CN"/>
      </w:rPr>
    </w:lvl>
    <w:lvl w:ilvl="3">
      <w:start w:val="0"/>
      <w:numFmt w:val="bullet"/>
      <w:lvlText w:val="•"/>
      <w:lvlJc w:val="left"/>
      <w:pPr>
        <w:ind w:left="2857" w:hanging="485"/>
      </w:pPr>
      <w:rPr>
        <w:rFonts w:hint="default"/>
        <w:lang w:val="zh-CN" w:bidi="zh-CN" w:eastAsia="zh-CN"/>
      </w:rPr>
    </w:lvl>
    <w:lvl w:ilvl="4">
      <w:start w:val="0"/>
      <w:numFmt w:val="bullet"/>
      <w:lvlText w:val="•"/>
      <w:lvlJc w:val="left"/>
      <w:pPr>
        <w:ind w:left="3770" w:hanging="485"/>
      </w:pPr>
      <w:rPr>
        <w:rFonts w:hint="default"/>
        <w:lang w:val="zh-CN" w:bidi="zh-CN" w:eastAsia="zh-CN"/>
      </w:rPr>
    </w:lvl>
    <w:lvl w:ilvl="5">
      <w:start w:val="0"/>
      <w:numFmt w:val="bullet"/>
      <w:lvlText w:val="•"/>
      <w:lvlJc w:val="left"/>
      <w:pPr>
        <w:ind w:left="4683" w:hanging="485"/>
      </w:pPr>
      <w:rPr>
        <w:rFonts w:hint="default"/>
        <w:lang w:val="zh-CN" w:bidi="zh-CN" w:eastAsia="zh-CN"/>
      </w:rPr>
    </w:lvl>
    <w:lvl w:ilvl="6">
      <w:start w:val="0"/>
      <w:numFmt w:val="bullet"/>
      <w:lvlText w:val="•"/>
      <w:lvlJc w:val="left"/>
      <w:pPr>
        <w:ind w:left="5595" w:hanging="485"/>
      </w:pPr>
      <w:rPr>
        <w:rFonts w:hint="default"/>
        <w:lang w:val="zh-CN" w:bidi="zh-CN" w:eastAsia="zh-CN"/>
      </w:rPr>
    </w:lvl>
    <w:lvl w:ilvl="7">
      <w:start w:val="0"/>
      <w:numFmt w:val="bullet"/>
      <w:lvlText w:val="•"/>
      <w:lvlJc w:val="left"/>
      <w:pPr>
        <w:ind w:left="6508" w:hanging="485"/>
      </w:pPr>
      <w:rPr>
        <w:rFonts w:hint="default"/>
        <w:lang w:val="zh-CN" w:bidi="zh-CN" w:eastAsia="zh-CN"/>
      </w:rPr>
    </w:lvl>
    <w:lvl w:ilvl="8">
      <w:start w:val="0"/>
      <w:numFmt w:val="bullet"/>
      <w:lvlText w:val="•"/>
      <w:lvlJc w:val="left"/>
      <w:pPr>
        <w:ind w:left="7420" w:hanging="485"/>
      </w:pPr>
      <w:rPr>
        <w:rFonts w:hint="default"/>
        <w:lang w:val="zh-CN" w:bidi="zh-CN" w:eastAsia="zh-CN"/>
      </w:rPr>
    </w:lvl>
  </w:abstractNum>
  <w:abstractNum w:abstractNumId="1">
    <w:nsid w:val="00000001"/>
    <w:multiLevelType w:val="multilevel"/>
    <w:tmpl w:val="B5E306ED"/>
    <w:lvl w:ilvl="0">
      <w:start w:val="1"/>
      <w:numFmt w:val="decimal"/>
      <w:lvlText w:val="%1."/>
      <w:lvlJc w:val="left"/>
      <w:pPr>
        <w:ind w:left="126" w:hanging="485"/>
        <w:jc w:val="left"/>
      </w:pPr>
      <w:rPr>
        <w:rFonts w:ascii="Times New Roman" w:cs="Times New Roman" w:eastAsia="Times New Roman" w:hAnsi="Times New Roman" w:hint="default"/>
        <w:spacing w:val="8"/>
        <w:w w:val="100"/>
        <w:sz w:val="29"/>
        <w:szCs w:val="29"/>
        <w:lang w:val="zh-CN" w:bidi="zh-CN" w:eastAsia="zh-CN"/>
      </w:rPr>
    </w:lvl>
    <w:lvl w:ilvl="1">
      <w:start w:val="0"/>
      <w:numFmt w:val="bullet"/>
      <w:lvlText w:val="•"/>
      <w:lvlJc w:val="left"/>
      <w:pPr>
        <w:ind w:left="1032" w:hanging="485"/>
      </w:pPr>
      <w:rPr>
        <w:rFonts w:hint="default"/>
        <w:lang w:val="zh-CN" w:bidi="zh-CN" w:eastAsia="zh-CN"/>
      </w:rPr>
    </w:lvl>
    <w:lvl w:ilvl="2">
      <w:start w:val="0"/>
      <w:numFmt w:val="bullet"/>
      <w:lvlText w:val="•"/>
      <w:lvlJc w:val="left"/>
      <w:pPr>
        <w:ind w:left="1945" w:hanging="485"/>
      </w:pPr>
      <w:rPr>
        <w:rFonts w:hint="default"/>
        <w:lang w:val="zh-CN" w:bidi="zh-CN" w:eastAsia="zh-CN"/>
      </w:rPr>
    </w:lvl>
    <w:lvl w:ilvl="3">
      <w:start w:val="0"/>
      <w:numFmt w:val="bullet"/>
      <w:lvlText w:val="•"/>
      <w:lvlJc w:val="left"/>
      <w:pPr>
        <w:ind w:left="2857" w:hanging="485"/>
      </w:pPr>
      <w:rPr>
        <w:rFonts w:hint="default"/>
        <w:lang w:val="zh-CN" w:bidi="zh-CN" w:eastAsia="zh-CN"/>
      </w:rPr>
    </w:lvl>
    <w:lvl w:ilvl="4">
      <w:start w:val="0"/>
      <w:numFmt w:val="bullet"/>
      <w:lvlText w:val="•"/>
      <w:lvlJc w:val="left"/>
      <w:pPr>
        <w:ind w:left="3770" w:hanging="485"/>
      </w:pPr>
      <w:rPr>
        <w:rFonts w:hint="default"/>
        <w:lang w:val="zh-CN" w:bidi="zh-CN" w:eastAsia="zh-CN"/>
      </w:rPr>
    </w:lvl>
    <w:lvl w:ilvl="5">
      <w:start w:val="0"/>
      <w:numFmt w:val="bullet"/>
      <w:lvlText w:val="•"/>
      <w:lvlJc w:val="left"/>
      <w:pPr>
        <w:ind w:left="4683" w:hanging="485"/>
      </w:pPr>
      <w:rPr>
        <w:rFonts w:hint="default"/>
        <w:lang w:val="zh-CN" w:bidi="zh-CN" w:eastAsia="zh-CN"/>
      </w:rPr>
    </w:lvl>
    <w:lvl w:ilvl="6">
      <w:start w:val="0"/>
      <w:numFmt w:val="bullet"/>
      <w:lvlText w:val="•"/>
      <w:lvlJc w:val="left"/>
      <w:pPr>
        <w:ind w:left="5595" w:hanging="485"/>
      </w:pPr>
      <w:rPr>
        <w:rFonts w:hint="default"/>
        <w:lang w:val="zh-CN" w:bidi="zh-CN" w:eastAsia="zh-CN"/>
      </w:rPr>
    </w:lvl>
    <w:lvl w:ilvl="7">
      <w:start w:val="0"/>
      <w:numFmt w:val="bullet"/>
      <w:lvlText w:val="•"/>
      <w:lvlJc w:val="left"/>
      <w:pPr>
        <w:ind w:left="6508" w:hanging="485"/>
      </w:pPr>
      <w:rPr>
        <w:rFonts w:hint="default"/>
        <w:lang w:val="zh-CN" w:bidi="zh-CN" w:eastAsia="zh-CN"/>
      </w:rPr>
    </w:lvl>
    <w:lvl w:ilvl="8">
      <w:start w:val="0"/>
      <w:numFmt w:val="bullet"/>
      <w:lvlText w:val="•"/>
      <w:lvlJc w:val="left"/>
      <w:pPr>
        <w:ind w:left="7420" w:hanging="485"/>
      </w:pPr>
      <w:rPr>
        <w:rFonts w:hint="default"/>
        <w:lang w:val="zh-CN" w:bidi="zh-CN" w:eastAsia="zh-CN"/>
      </w:rPr>
    </w:lvl>
  </w:abstractNum>
  <w:abstractNum w:abstractNumId="2">
    <w:nsid w:val="00000002"/>
    <w:multiLevelType w:val="multilevel"/>
    <w:tmpl w:val="BF205925"/>
    <w:lvl w:ilvl="0">
      <w:start w:val="1"/>
      <w:numFmt w:val="decimal"/>
      <w:lvlText w:val="%1."/>
      <w:lvlJc w:val="left"/>
      <w:pPr>
        <w:ind w:left="126" w:hanging="485"/>
        <w:jc w:val="left"/>
      </w:pPr>
      <w:rPr>
        <w:rFonts w:ascii="Times New Roman" w:cs="Times New Roman" w:eastAsia="Times New Roman" w:hAnsi="Times New Roman" w:hint="default"/>
        <w:spacing w:val="8"/>
        <w:w w:val="100"/>
        <w:sz w:val="29"/>
        <w:szCs w:val="29"/>
        <w:lang w:val="zh-CN" w:bidi="zh-CN" w:eastAsia="zh-CN"/>
      </w:rPr>
    </w:lvl>
    <w:lvl w:ilvl="1">
      <w:start w:val="0"/>
      <w:numFmt w:val="bullet"/>
      <w:lvlText w:val="•"/>
      <w:lvlJc w:val="left"/>
      <w:pPr>
        <w:ind w:left="1032" w:hanging="485"/>
      </w:pPr>
      <w:rPr>
        <w:rFonts w:hint="default"/>
        <w:lang w:val="zh-CN" w:bidi="zh-CN" w:eastAsia="zh-CN"/>
      </w:rPr>
    </w:lvl>
    <w:lvl w:ilvl="2">
      <w:start w:val="0"/>
      <w:numFmt w:val="bullet"/>
      <w:lvlText w:val="•"/>
      <w:lvlJc w:val="left"/>
      <w:pPr>
        <w:ind w:left="1945" w:hanging="485"/>
      </w:pPr>
      <w:rPr>
        <w:rFonts w:hint="default"/>
        <w:lang w:val="zh-CN" w:bidi="zh-CN" w:eastAsia="zh-CN"/>
      </w:rPr>
    </w:lvl>
    <w:lvl w:ilvl="3">
      <w:start w:val="0"/>
      <w:numFmt w:val="bullet"/>
      <w:lvlText w:val="•"/>
      <w:lvlJc w:val="left"/>
      <w:pPr>
        <w:ind w:left="2857" w:hanging="485"/>
      </w:pPr>
      <w:rPr>
        <w:rFonts w:hint="default"/>
        <w:lang w:val="zh-CN" w:bidi="zh-CN" w:eastAsia="zh-CN"/>
      </w:rPr>
    </w:lvl>
    <w:lvl w:ilvl="4">
      <w:start w:val="0"/>
      <w:numFmt w:val="bullet"/>
      <w:lvlText w:val="•"/>
      <w:lvlJc w:val="left"/>
      <w:pPr>
        <w:ind w:left="3770" w:hanging="485"/>
      </w:pPr>
      <w:rPr>
        <w:rFonts w:hint="default"/>
        <w:lang w:val="zh-CN" w:bidi="zh-CN" w:eastAsia="zh-CN"/>
      </w:rPr>
    </w:lvl>
    <w:lvl w:ilvl="5">
      <w:start w:val="0"/>
      <w:numFmt w:val="bullet"/>
      <w:lvlText w:val="•"/>
      <w:lvlJc w:val="left"/>
      <w:pPr>
        <w:ind w:left="4683" w:hanging="485"/>
      </w:pPr>
      <w:rPr>
        <w:rFonts w:hint="default"/>
        <w:lang w:val="zh-CN" w:bidi="zh-CN" w:eastAsia="zh-CN"/>
      </w:rPr>
    </w:lvl>
    <w:lvl w:ilvl="6">
      <w:start w:val="0"/>
      <w:numFmt w:val="bullet"/>
      <w:lvlText w:val="•"/>
      <w:lvlJc w:val="left"/>
      <w:pPr>
        <w:ind w:left="5595" w:hanging="485"/>
      </w:pPr>
      <w:rPr>
        <w:rFonts w:hint="default"/>
        <w:lang w:val="zh-CN" w:bidi="zh-CN" w:eastAsia="zh-CN"/>
      </w:rPr>
    </w:lvl>
    <w:lvl w:ilvl="7">
      <w:start w:val="0"/>
      <w:numFmt w:val="bullet"/>
      <w:lvlText w:val="•"/>
      <w:lvlJc w:val="left"/>
      <w:pPr>
        <w:ind w:left="6508" w:hanging="485"/>
      </w:pPr>
      <w:rPr>
        <w:rFonts w:hint="default"/>
        <w:lang w:val="zh-CN" w:bidi="zh-CN" w:eastAsia="zh-CN"/>
      </w:rPr>
    </w:lvl>
    <w:lvl w:ilvl="8">
      <w:start w:val="0"/>
      <w:numFmt w:val="bullet"/>
      <w:lvlText w:val="•"/>
      <w:lvlJc w:val="left"/>
      <w:pPr>
        <w:ind w:left="7420" w:hanging="485"/>
      </w:pPr>
      <w:rPr>
        <w:rFonts w:hint="default"/>
        <w:lang w:val="zh-CN" w:bidi="zh-CN" w:eastAsia="zh-CN"/>
      </w:rPr>
    </w:lvl>
  </w:abstractNum>
  <w:abstractNum w:abstractNumId="3">
    <w:nsid w:val="00000003"/>
    <w:multiLevelType w:val="multilevel"/>
    <w:tmpl w:val="CF092B84"/>
    <w:lvl w:ilvl="0">
      <w:start w:val="1"/>
      <w:numFmt w:val="decimal"/>
      <w:lvlText w:val="%1."/>
      <w:lvlJc w:val="left"/>
      <w:pPr>
        <w:ind w:left="1009" w:hanging="243"/>
        <w:jc w:val="left"/>
      </w:pPr>
      <w:rPr>
        <w:rFonts w:ascii="Times New Roman" w:cs="Times New Roman" w:eastAsia="Times New Roman" w:hAnsi="Times New Roman" w:hint="default"/>
        <w:spacing w:val="3"/>
        <w:w w:val="100"/>
        <w:sz w:val="29"/>
        <w:szCs w:val="29"/>
        <w:lang w:val="zh-CN" w:bidi="zh-CN" w:eastAsia="zh-CN"/>
      </w:rPr>
    </w:lvl>
    <w:lvl w:ilvl="1">
      <w:start w:val="0"/>
      <w:numFmt w:val="bullet"/>
      <w:lvlText w:val="•"/>
      <w:lvlJc w:val="left"/>
      <w:pPr>
        <w:ind w:left="1824" w:hanging="243"/>
      </w:pPr>
      <w:rPr>
        <w:rFonts w:hint="default"/>
        <w:lang w:val="zh-CN" w:bidi="zh-CN" w:eastAsia="zh-CN"/>
      </w:rPr>
    </w:lvl>
    <w:lvl w:ilvl="2">
      <w:start w:val="0"/>
      <w:numFmt w:val="bullet"/>
      <w:lvlText w:val="•"/>
      <w:lvlJc w:val="left"/>
      <w:pPr>
        <w:ind w:left="2649" w:hanging="243"/>
      </w:pPr>
      <w:rPr>
        <w:rFonts w:hint="default"/>
        <w:lang w:val="zh-CN" w:bidi="zh-CN" w:eastAsia="zh-CN"/>
      </w:rPr>
    </w:lvl>
    <w:lvl w:ilvl="3">
      <w:start w:val="0"/>
      <w:numFmt w:val="bullet"/>
      <w:lvlText w:val="•"/>
      <w:lvlJc w:val="left"/>
      <w:pPr>
        <w:ind w:left="3473" w:hanging="243"/>
      </w:pPr>
      <w:rPr>
        <w:rFonts w:hint="default"/>
        <w:lang w:val="zh-CN" w:bidi="zh-CN" w:eastAsia="zh-CN"/>
      </w:rPr>
    </w:lvl>
    <w:lvl w:ilvl="4">
      <w:start w:val="0"/>
      <w:numFmt w:val="bullet"/>
      <w:lvlText w:val="•"/>
      <w:lvlJc w:val="left"/>
      <w:pPr>
        <w:ind w:left="4298" w:hanging="243"/>
      </w:pPr>
      <w:rPr>
        <w:rFonts w:hint="default"/>
        <w:lang w:val="zh-CN" w:bidi="zh-CN" w:eastAsia="zh-CN"/>
      </w:rPr>
    </w:lvl>
    <w:lvl w:ilvl="5">
      <w:start w:val="0"/>
      <w:numFmt w:val="bullet"/>
      <w:lvlText w:val="•"/>
      <w:lvlJc w:val="left"/>
      <w:pPr>
        <w:ind w:left="5123" w:hanging="243"/>
      </w:pPr>
      <w:rPr>
        <w:rFonts w:hint="default"/>
        <w:lang w:val="zh-CN" w:bidi="zh-CN" w:eastAsia="zh-CN"/>
      </w:rPr>
    </w:lvl>
    <w:lvl w:ilvl="6">
      <w:start w:val="0"/>
      <w:numFmt w:val="bullet"/>
      <w:lvlText w:val="•"/>
      <w:lvlJc w:val="left"/>
      <w:pPr>
        <w:ind w:left="5947" w:hanging="243"/>
      </w:pPr>
      <w:rPr>
        <w:rFonts w:hint="default"/>
        <w:lang w:val="zh-CN" w:bidi="zh-CN" w:eastAsia="zh-CN"/>
      </w:rPr>
    </w:lvl>
    <w:lvl w:ilvl="7">
      <w:start w:val="0"/>
      <w:numFmt w:val="bullet"/>
      <w:lvlText w:val="•"/>
      <w:lvlJc w:val="left"/>
      <w:pPr>
        <w:ind w:left="6772" w:hanging="243"/>
      </w:pPr>
      <w:rPr>
        <w:rFonts w:hint="default"/>
        <w:lang w:val="zh-CN" w:bidi="zh-CN" w:eastAsia="zh-CN"/>
      </w:rPr>
    </w:lvl>
    <w:lvl w:ilvl="8">
      <w:start w:val="0"/>
      <w:numFmt w:val="bullet"/>
      <w:lvlText w:val="•"/>
      <w:lvlJc w:val="left"/>
      <w:pPr>
        <w:ind w:left="7596" w:hanging="243"/>
      </w:pPr>
      <w:rPr>
        <w:rFonts w:hint="default"/>
        <w:lang w:val="zh-CN" w:bidi="zh-CN" w:eastAsia="zh-CN"/>
      </w:rPr>
    </w:lvl>
  </w:abstractNum>
  <w:abstractNum w:abstractNumId="4">
    <w:nsid w:val="00000004"/>
    <w:multiLevelType w:val="multilevel"/>
    <w:tmpl w:val="0053208E"/>
    <w:lvl w:ilvl="0">
      <w:start w:val="1"/>
      <w:numFmt w:val="decimal"/>
      <w:lvlText w:val="%1."/>
      <w:lvlJc w:val="left"/>
      <w:pPr>
        <w:ind w:left="1009" w:hanging="243"/>
        <w:jc w:val="left"/>
      </w:pPr>
      <w:rPr>
        <w:rFonts w:ascii="Times New Roman" w:cs="Times New Roman" w:eastAsia="Times New Roman" w:hAnsi="Times New Roman" w:hint="default"/>
        <w:spacing w:val="3"/>
        <w:w w:val="100"/>
        <w:sz w:val="29"/>
        <w:szCs w:val="29"/>
        <w:lang w:val="zh-CN" w:bidi="zh-CN" w:eastAsia="zh-CN"/>
      </w:rPr>
    </w:lvl>
    <w:lvl w:ilvl="1">
      <w:start w:val="0"/>
      <w:numFmt w:val="bullet"/>
      <w:lvlText w:val="•"/>
      <w:lvlJc w:val="left"/>
      <w:pPr>
        <w:ind w:left="1824" w:hanging="243"/>
      </w:pPr>
      <w:rPr>
        <w:rFonts w:hint="default"/>
        <w:lang w:val="zh-CN" w:bidi="zh-CN" w:eastAsia="zh-CN"/>
      </w:rPr>
    </w:lvl>
    <w:lvl w:ilvl="2">
      <w:start w:val="0"/>
      <w:numFmt w:val="bullet"/>
      <w:lvlText w:val="•"/>
      <w:lvlJc w:val="left"/>
      <w:pPr>
        <w:ind w:left="2649" w:hanging="243"/>
      </w:pPr>
      <w:rPr>
        <w:rFonts w:hint="default"/>
        <w:lang w:val="zh-CN" w:bidi="zh-CN" w:eastAsia="zh-CN"/>
      </w:rPr>
    </w:lvl>
    <w:lvl w:ilvl="3">
      <w:start w:val="0"/>
      <w:numFmt w:val="bullet"/>
      <w:lvlText w:val="•"/>
      <w:lvlJc w:val="left"/>
      <w:pPr>
        <w:ind w:left="3473" w:hanging="243"/>
      </w:pPr>
      <w:rPr>
        <w:rFonts w:hint="default"/>
        <w:lang w:val="zh-CN" w:bidi="zh-CN" w:eastAsia="zh-CN"/>
      </w:rPr>
    </w:lvl>
    <w:lvl w:ilvl="4">
      <w:start w:val="0"/>
      <w:numFmt w:val="bullet"/>
      <w:lvlText w:val="•"/>
      <w:lvlJc w:val="left"/>
      <w:pPr>
        <w:ind w:left="4298" w:hanging="243"/>
      </w:pPr>
      <w:rPr>
        <w:rFonts w:hint="default"/>
        <w:lang w:val="zh-CN" w:bidi="zh-CN" w:eastAsia="zh-CN"/>
      </w:rPr>
    </w:lvl>
    <w:lvl w:ilvl="5">
      <w:start w:val="0"/>
      <w:numFmt w:val="bullet"/>
      <w:lvlText w:val="•"/>
      <w:lvlJc w:val="left"/>
      <w:pPr>
        <w:ind w:left="5123" w:hanging="243"/>
      </w:pPr>
      <w:rPr>
        <w:rFonts w:hint="default"/>
        <w:lang w:val="zh-CN" w:bidi="zh-CN" w:eastAsia="zh-CN"/>
      </w:rPr>
    </w:lvl>
    <w:lvl w:ilvl="6">
      <w:start w:val="0"/>
      <w:numFmt w:val="bullet"/>
      <w:lvlText w:val="•"/>
      <w:lvlJc w:val="left"/>
      <w:pPr>
        <w:ind w:left="5947" w:hanging="243"/>
      </w:pPr>
      <w:rPr>
        <w:rFonts w:hint="default"/>
        <w:lang w:val="zh-CN" w:bidi="zh-CN" w:eastAsia="zh-CN"/>
      </w:rPr>
    </w:lvl>
    <w:lvl w:ilvl="7">
      <w:start w:val="0"/>
      <w:numFmt w:val="bullet"/>
      <w:lvlText w:val="•"/>
      <w:lvlJc w:val="left"/>
      <w:pPr>
        <w:ind w:left="6772" w:hanging="243"/>
      </w:pPr>
      <w:rPr>
        <w:rFonts w:hint="default"/>
        <w:lang w:val="zh-CN" w:bidi="zh-CN" w:eastAsia="zh-CN"/>
      </w:rPr>
    </w:lvl>
    <w:lvl w:ilvl="8">
      <w:start w:val="0"/>
      <w:numFmt w:val="bullet"/>
      <w:lvlText w:val="•"/>
      <w:lvlJc w:val="left"/>
      <w:pPr>
        <w:ind w:left="7596" w:hanging="243"/>
      </w:pPr>
      <w:rPr>
        <w:rFonts w:hint="default"/>
        <w:lang w:val="zh-CN" w:bidi="zh-CN" w:eastAsia="zh-CN"/>
      </w:rPr>
    </w:lvl>
  </w:abstractNum>
  <w:abstractNum w:abstractNumId="5">
    <w:nsid w:val="00000005"/>
    <w:multiLevelType w:val="multilevel"/>
    <w:tmpl w:val="0248C179"/>
    <w:lvl w:ilvl="0">
      <w:start w:val="1"/>
      <w:numFmt w:val="decimal"/>
      <w:lvlText w:val="%1."/>
      <w:lvlJc w:val="left"/>
      <w:pPr>
        <w:ind w:left="1014" w:hanging="243"/>
        <w:jc w:val="left"/>
      </w:pPr>
      <w:rPr>
        <w:rFonts w:ascii="Times New Roman" w:cs="Times New Roman" w:eastAsia="Times New Roman" w:hAnsi="Times New Roman" w:hint="default"/>
        <w:spacing w:val="3"/>
        <w:w w:val="100"/>
        <w:sz w:val="29"/>
        <w:szCs w:val="29"/>
        <w:lang w:val="zh-CN" w:bidi="zh-CN" w:eastAsia="zh-CN"/>
      </w:rPr>
    </w:lvl>
    <w:lvl w:ilvl="1">
      <w:start w:val="0"/>
      <w:numFmt w:val="bullet"/>
      <w:lvlText w:val="•"/>
      <w:lvlJc w:val="left"/>
      <w:pPr>
        <w:ind w:left="1842" w:hanging="243"/>
      </w:pPr>
      <w:rPr>
        <w:rFonts w:hint="default"/>
        <w:lang w:val="zh-CN" w:bidi="zh-CN" w:eastAsia="zh-CN"/>
      </w:rPr>
    </w:lvl>
    <w:lvl w:ilvl="2">
      <w:start w:val="0"/>
      <w:numFmt w:val="bullet"/>
      <w:lvlText w:val="•"/>
      <w:lvlJc w:val="left"/>
      <w:pPr>
        <w:ind w:left="2665" w:hanging="243"/>
      </w:pPr>
      <w:rPr>
        <w:rFonts w:hint="default"/>
        <w:lang w:val="zh-CN" w:bidi="zh-CN" w:eastAsia="zh-CN"/>
      </w:rPr>
    </w:lvl>
    <w:lvl w:ilvl="3">
      <w:start w:val="0"/>
      <w:numFmt w:val="bullet"/>
      <w:lvlText w:val="•"/>
      <w:lvlJc w:val="left"/>
      <w:pPr>
        <w:ind w:left="3487" w:hanging="243"/>
      </w:pPr>
      <w:rPr>
        <w:rFonts w:hint="default"/>
        <w:lang w:val="zh-CN" w:bidi="zh-CN" w:eastAsia="zh-CN"/>
      </w:rPr>
    </w:lvl>
    <w:lvl w:ilvl="4">
      <w:start w:val="0"/>
      <w:numFmt w:val="bullet"/>
      <w:lvlText w:val="•"/>
      <w:lvlJc w:val="left"/>
      <w:pPr>
        <w:ind w:left="4310" w:hanging="243"/>
      </w:pPr>
      <w:rPr>
        <w:rFonts w:hint="default"/>
        <w:lang w:val="zh-CN" w:bidi="zh-CN" w:eastAsia="zh-CN"/>
      </w:rPr>
    </w:lvl>
    <w:lvl w:ilvl="5">
      <w:start w:val="0"/>
      <w:numFmt w:val="bullet"/>
      <w:lvlText w:val="•"/>
      <w:lvlJc w:val="left"/>
      <w:pPr>
        <w:ind w:left="5133" w:hanging="243"/>
      </w:pPr>
      <w:rPr>
        <w:rFonts w:hint="default"/>
        <w:lang w:val="zh-CN" w:bidi="zh-CN" w:eastAsia="zh-CN"/>
      </w:rPr>
    </w:lvl>
    <w:lvl w:ilvl="6">
      <w:start w:val="0"/>
      <w:numFmt w:val="bullet"/>
      <w:lvlText w:val="•"/>
      <w:lvlJc w:val="left"/>
      <w:pPr>
        <w:ind w:left="5955" w:hanging="243"/>
      </w:pPr>
      <w:rPr>
        <w:rFonts w:hint="default"/>
        <w:lang w:val="zh-CN" w:bidi="zh-CN" w:eastAsia="zh-CN"/>
      </w:rPr>
    </w:lvl>
    <w:lvl w:ilvl="7">
      <w:start w:val="0"/>
      <w:numFmt w:val="bullet"/>
      <w:lvlText w:val="•"/>
      <w:lvlJc w:val="left"/>
      <w:pPr>
        <w:ind w:left="6778" w:hanging="243"/>
      </w:pPr>
      <w:rPr>
        <w:rFonts w:hint="default"/>
        <w:lang w:val="zh-CN" w:bidi="zh-CN" w:eastAsia="zh-CN"/>
      </w:rPr>
    </w:lvl>
    <w:lvl w:ilvl="8">
      <w:start w:val="0"/>
      <w:numFmt w:val="bullet"/>
      <w:lvlText w:val="•"/>
      <w:lvlJc w:val="left"/>
      <w:pPr>
        <w:ind w:left="7600" w:hanging="243"/>
      </w:pPr>
      <w:rPr>
        <w:rFonts w:hint="default"/>
        <w:lang w:val="zh-CN" w:bidi="zh-CN" w:eastAsia="zh-CN"/>
      </w:rPr>
    </w:lvl>
  </w:abstractNum>
  <w:abstractNum w:abstractNumId="6">
    <w:nsid w:val="00000006"/>
    <w:multiLevelType w:val="multilevel"/>
    <w:tmpl w:val="03D62ECE"/>
    <w:lvl w:ilvl="0">
      <w:start w:val="1"/>
      <w:numFmt w:val="decimal"/>
      <w:lvlText w:val="%1."/>
      <w:lvlJc w:val="left"/>
      <w:pPr>
        <w:ind w:left="1009" w:hanging="243"/>
        <w:jc w:val="left"/>
      </w:pPr>
      <w:rPr>
        <w:rFonts w:ascii="Times New Roman" w:cs="Times New Roman" w:eastAsia="Times New Roman" w:hAnsi="Times New Roman" w:hint="default"/>
        <w:spacing w:val="4"/>
        <w:w w:val="100"/>
        <w:sz w:val="29"/>
        <w:szCs w:val="29"/>
        <w:lang w:val="zh-CN" w:bidi="zh-CN" w:eastAsia="zh-CN"/>
      </w:rPr>
    </w:lvl>
    <w:lvl w:ilvl="1">
      <w:start w:val="0"/>
      <w:numFmt w:val="bullet"/>
      <w:lvlText w:val="•"/>
      <w:lvlJc w:val="left"/>
      <w:pPr>
        <w:ind w:left="1824" w:hanging="243"/>
      </w:pPr>
      <w:rPr>
        <w:rFonts w:hint="default"/>
        <w:lang w:val="zh-CN" w:bidi="zh-CN" w:eastAsia="zh-CN"/>
      </w:rPr>
    </w:lvl>
    <w:lvl w:ilvl="2">
      <w:start w:val="0"/>
      <w:numFmt w:val="bullet"/>
      <w:lvlText w:val="•"/>
      <w:lvlJc w:val="left"/>
      <w:pPr>
        <w:ind w:left="2649" w:hanging="243"/>
      </w:pPr>
      <w:rPr>
        <w:rFonts w:hint="default"/>
        <w:lang w:val="zh-CN" w:bidi="zh-CN" w:eastAsia="zh-CN"/>
      </w:rPr>
    </w:lvl>
    <w:lvl w:ilvl="3">
      <w:start w:val="0"/>
      <w:numFmt w:val="bullet"/>
      <w:lvlText w:val="•"/>
      <w:lvlJc w:val="left"/>
      <w:pPr>
        <w:ind w:left="3473" w:hanging="243"/>
      </w:pPr>
      <w:rPr>
        <w:rFonts w:hint="default"/>
        <w:lang w:val="zh-CN" w:bidi="zh-CN" w:eastAsia="zh-CN"/>
      </w:rPr>
    </w:lvl>
    <w:lvl w:ilvl="4">
      <w:start w:val="0"/>
      <w:numFmt w:val="bullet"/>
      <w:lvlText w:val="•"/>
      <w:lvlJc w:val="left"/>
      <w:pPr>
        <w:ind w:left="4298" w:hanging="243"/>
      </w:pPr>
      <w:rPr>
        <w:rFonts w:hint="default"/>
        <w:lang w:val="zh-CN" w:bidi="zh-CN" w:eastAsia="zh-CN"/>
      </w:rPr>
    </w:lvl>
    <w:lvl w:ilvl="5">
      <w:start w:val="0"/>
      <w:numFmt w:val="bullet"/>
      <w:lvlText w:val="•"/>
      <w:lvlJc w:val="left"/>
      <w:pPr>
        <w:ind w:left="5123" w:hanging="243"/>
      </w:pPr>
      <w:rPr>
        <w:rFonts w:hint="default"/>
        <w:lang w:val="zh-CN" w:bidi="zh-CN" w:eastAsia="zh-CN"/>
      </w:rPr>
    </w:lvl>
    <w:lvl w:ilvl="6">
      <w:start w:val="0"/>
      <w:numFmt w:val="bullet"/>
      <w:lvlText w:val="•"/>
      <w:lvlJc w:val="left"/>
      <w:pPr>
        <w:ind w:left="5947" w:hanging="243"/>
      </w:pPr>
      <w:rPr>
        <w:rFonts w:hint="default"/>
        <w:lang w:val="zh-CN" w:bidi="zh-CN" w:eastAsia="zh-CN"/>
      </w:rPr>
    </w:lvl>
    <w:lvl w:ilvl="7">
      <w:start w:val="0"/>
      <w:numFmt w:val="bullet"/>
      <w:lvlText w:val="•"/>
      <w:lvlJc w:val="left"/>
      <w:pPr>
        <w:ind w:left="6772" w:hanging="243"/>
      </w:pPr>
      <w:rPr>
        <w:rFonts w:hint="default"/>
        <w:lang w:val="zh-CN" w:bidi="zh-CN" w:eastAsia="zh-CN"/>
      </w:rPr>
    </w:lvl>
    <w:lvl w:ilvl="8">
      <w:start w:val="0"/>
      <w:numFmt w:val="bullet"/>
      <w:lvlText w:val="•"/>
      <w:lvlJc w:val="left"/>
      <w:pPr>
        <w:ind w:left="7596" w:hanging="243"/>
      </w:pPr>
      <w:rPr>
        <w:rFonts w:hint="default"/>
        <w:lang w:val="zh-CN" w:bidi="zh-CN" w:eastAsia="zh-CN"/>
      </w:rPr>
    </w:lvl>
  </w:abstractNum>
  <w:abstractNum w:abstractNumId="7">
    <w:nsid w:val="00000007"/>
    <w:multiLevelType w:val="multilevel"/>
    <w:tmpl w:val="25B654F3"/>
    <w:lvl w:ilvl="0">
      <w:start w:val="1"/>
      <w:numFmt w:val="decimal"/>
      <w:lvlText w:val="（%1）"/>
      <w:lvlJc w:val="left"/>
      <w:pPr>
        <w:ind w:left="126" w:hanging="807"/>
        <w:jc w:val="left"/>
      </w:pPr>
      <w:rPr>
        <w:rFonts w:ascii="仿宋_GB2312" w:cs="仿宋_GB2312" w:eastAsia="仿宋_GB2312" w:hAnsi="仿宋_GB2312" w:hint="default"/>
        <w:spacing w:val="1"/>
        <w:w w:val="99"/>
        <w:sz w:val="30"/>
        <w:szCs w:val="30"/>
        <w:lang w:val="zh-CN" w:bidi="zh-CN" w:eastAsia="zh-CN"/>
      </w:rPr>
    </w:lvl>
    <w:lvl w:ilvl="1">
      <w:start w:val="0"/>
      <w:numFmt w:val="bullet"/>
      <w:lvlText w:val="•"/>
      <w:lvlJc w:val="left"/>
      <w:pPr>
        <w:ind w:left="1032" w:hanging="807"/>
      </w:pPr>
      <w:rPr>
        <w:rFonts w:hint="default"/>
        <w:lang w:val="zh-CN" w:bidi="zh-CN" w:eastAsia="zh-CN"/>
      </w:rPr>
    </w:lvl>
    <w:lvl w:ilvl="2">
      <w:start w:val="0"/>
      <w:numFmt w:val="bullet"/>
      <w:lvlText w:val="•"/>
      <w:lvlJc w:val="left"/>
      <w:pPr>
        <w:ind w:left="1945" w:hanging="807"/>
      </w:pPr>
      <w:rPr>
        <w:rFonts w:hint="default"/>
        <w:lang w:val="zh-CN" w:bidi="zh-CN" w:eastAsia="zh-CN"/>
      </w:rPr>
    </w:lvl>
    <w:lvl w:ilvl="3">
      <w:start w:val="0"/>
      <w:numFmt w:val="bullet"/>
      <w:lvlText w:val="•"/>
      <w:lvlJc w:val="left"/>
      <w:pPr>
        <w:ind w:left="2857" w:hanging="807"/>
      </w:pPr>
      <w:rPr>
        <w:rFonts w:hint="default"/>
        <w:lang w:val="zh-CN" w:bidi="zh-CN" w:eastAsia="zh-CN"/>
      </w:rPr>
    </w:lvl>
    <w:lvl w:ilvl="4">
      <w:start w:val="0"/>
      <w:numFmt w:val="bullet"/>
      <w:lvlText w:val="•"/>
      <w:lvlJc w:val="left"/>
      <w:pPr>
        <w:ind w:left="3770" w:hanging="807"/>
      </w:pPr>
      <w:rPr>
        <w:rFonts w:hint="default"/>
        <w:lang w:val="zh-CN" w:bidi="zh-CN" w:eastAsia="zh-CN"/>
      </w:rPr>
    </w:lvl>
    <w:lvl w:ilvl="5">
      <w:start w:val="0"/>
      <w:numFmt w:val="bullet"/>
      <w:lvlText w:val="•"/>
      <w:lvlJc w:val="left"/>
      <w:pPr>
        <w:ind w:left="4683" w:hanging="807"/>
      </w:pPr>
      <w:rPr>
        <w:rFonts w:hint="default"/>
        <w:lang w:val="zh-CN" w:bidi="zh-CN" w:eastAsia="zh-CN"/>
      </w:rPr>
    </w:lvl>
    <w:lvl w:ilvl="6">
      <w:start w:val="0"/>
      <w:numFmt w:val="bullet"/>
      <w:lvlText w:val="•"/>
      <w:lvlJc w:val="left"/>
      <w:pPr>
        <w:ind w:left="5595" w:hanging="807"/>
      </w:pPr>
      <w:rPr>
        <w:rFonts w:hint="default"/>
        <w:lang w:val="zh-CN" w:bidi="zh-CN" w:eastAsia="zh-CN"/>
      </w:rPr>
    </w:lvl>
    <w:lvl w:ilvl="7">
      <w:start w:val="0"/>
      <w:numFmt w:val="bullet"/>
      <w:lvlText w:val="•"/>
      <w:lvlJc w:val="left"/>
      <w:pPr>
        <w:ind w:left="6508" w:hanging="807"/>
      </w:pPr>
      <w:rPr>
        <w:rFonts w:hint="default"/>
        <w:lang w:val="zh-CN" w:bidi="zh-CN" w:eastAsia="zh-CN"/>
      </w:rPr>
    </w:lvl>
    <w:lvl w:ilvl="8">
      <w:start w:val="0"/>
      <w:numFmt w:val="bullet"/>
      <w:lvlText w:val="•"/>
      <w:lvlJc w:val="left"/>
      <w:pPr>
        <w:ind w:left="7420" w:hanging="807"/>
      </w:pPr>
      <w:rPr>
        <w:rFonts w:hint="default"/>
        <w:lang w:val="zh-CN" w:bidi="zh-CN" w:eastAsia="zh-CN"/>
      </w:rPr>
    </w:lvl>
  </w:abstractNum>
  <w:abstractNum w:abstractNumId="8">
    <w:nsid w:val="00000008"/>
    <w:multiLevelType w:val="multilevel"/>
    <w:tmpl w:val="2A8F537B"/>
    <w:lvl w:ilvl="0">
      <w:start w:val="1"/>
      <w:numFmt w:val="decimal"/>
      <w:lvlText w:val="%1."/>
      <w:lvlJc w:val="left"/>
      <w:pPr>
        <w:ind w:left="126" w:hanging="485"/>
        <w:jc w:val="left"/>
      </w:pPr>
      <w:rPr>
        <w:rFonts w:ascii="Times New Roman" w:cs="Times New Roman" w:eastAsia="Times New Roman" w:hAnsi="Times New Roman" w:hint="default"/>
        <w:spacing w:val="8"/>
        <w:w w:val="100"/>
        <w:sz w:val="29"/>
        <w:szCs w:val="29"/>
        <w:lang w:val="zh-CN" w:bidi="zh-CN" w:eastAsia="zh-CN"/>
      </w:rPr>
    </w:lvl>
    <w:lvl w:ilvl="1">
      <w:start w:val="0"/>
      <w:numFmt w:val="bullet"/>
      <w:lvlText w:val="•"/>
      <w:lvlJc w:val="left"/>
      <w:pPr>
        <w:ind w:left="1032" w:hanging="485"/>
      </w:pPr>
      <w:rPr>
        <w:rFonts w:hint="default"/>
        <w:lang w:val="zh-CN" w:bidi="zh-CN" w:eastAsia="zh-CN"/>
      </w:rPr>
    </w:lvl>
    <w:lvl w:ilvl="2">
      <w:start w:val="0"/>
      <w:numFmt w:val="bullet"/>
      <w:lvlText w:val="•"/>
      <w:lvlJc w:val="left"/>
      <w:pPr>
        <w:ind w:left="1945" w:hanging="485"/>
      </w:pPr>
      <w:rPr>
        <w:rFonts w:hint="default"/>
        <w:lang w:val="zh-CN" w:bidi="zh-CN" w:eastAsia="zh-CN"/>
      </w:rPr>
    </w:lvl>
    <w:lvl w:ilvl="3">
      <w:start w:val="0"/>
      <w:numFmt w:val="bullet"/>
      <w:lvlText w:val="•"/>
      <w:lvlJc w:val="left"/>
      <w:pPr>
        <w:ind w:left="2857" w:hanging="485"/>
      </w:pPr>
      <w:rPr>
        <w:rFonts w:hint="default"/>
        <w:lang w:val="zh-CN" w:bidi="zh-CN" w:eastAsia="zh-CN"/>
      </w:rPr>
    </w:lvl>
    <w:lvl w:ilvl="4">
      <w:start w:val="0"/>
      <w:numFmt w:val="bullet"/>
      <w:lvlText w:val="•"/>
      <w:lvlJc w:val="left"/>
      <w:pPr>
        <w:ind w:left="3770" w:hanging="485"/>
      </w:pPr>
      <w:rPr>
        <w:rFonts w:hint="default"/>
        <w:lang w:val="zh-CN" w:bidi="zh-CN" w:eastAsia="zh-CN"/>
      </w:rPr>
    </w:lvl>
    <w:lvl w:ilvl="5">
      <w:start w:val="0"/>
      <w:numFmt w:val="bullet"/>
      <w:lvlText w:val="•"/>
      <w:lvlJc w:val="left"/>
      <w:pPr>
        <w:ind w:left="4683" w:hanging="485"/>
      </w:pPr>
      <w:rPr>
        <w:rFonts w:hint="default"/>
        <w:lang w:val="zh-CN" w:bidi="zh-CN" w:eastAsia="zh-CN"/>
      </w:rPr>
    </w:lvl>
    <w:lvl w:ilvl="6">
      <w:start w:val="0"/>
      <w:numFmt w:val="bullet"/>
      <w:lvlText w:val="•"/>
      <w:lvlJc w:val="left"/>
      <w:pPr>
        <w:ind w:left="5595" w:hanging="485"/>
      </w:pPr>
      <w:rPr>
        <w:rFonts w:hint="default"/>
        <w:lang w:val="zh-CN" w:bidi="zh-CN" w:eastAsia="zh-CN"/>
      </w:rPr>
    </w:lvl>
    <w:lvl w:ilvl="7">
      <w:start w:val="0"/>
      <w:numFmt w:val="bullet"/>
      <w:lvlText w:val="•"/>
      <w:lvlJc w:val="left"/>
      <w:pPr>
        <w:ind w:left="6508" w:hanging="485"/>
      </w:pPr>
      <w:rPr>
        <w:rFonts w:hint="default"/>
        <w:lang w:val="zh-CN" w:bidi="zh-CN" w:eastAsia="zh-CN"/>
      </w:rPr>
    </w:lvl>
    <w:lvl w:ilvl="8">
      <w:start w:val="0"/>
      <w:numFmt w:val="bullet"/>
      <w:lvlText w:val="•"/>
      <w:lvlJc w:val="left"/>
      <w:pPr>
        <w:ind w:left="7420" w:hanging="485"/>
      </w:pPr>
      <w:rPr>
        <w:rFonts w:hint="default"/>
        <w:lang w:val="zh-CN" w:bidi="zh-CN" w:eastAsia="zh-CN"/>
      </w:rPr>
    </w:lvl>
  </w:abstractNum>
  <w:abstractNum w:abstractNumId="9">
    <w:nsid w:val="00000009"/>
    <w:multiLevelType w:val="multilevel"/>
    <w:tmpl w:val="59ADCABA"/>
    <w:lvl w:ilvl="0">
      <w:start w:val="1"/>
      <w:numFmt w:val="decimal"/>
      <w:lvlText w:val="%1."/>
      <w:lvlJc w:val="left"/>
      <w:pPr>
        <w:ind w:left="1247" w:hanging="480"/>
        <w:jc w:val="left"/>
      </w:pPr>
      <w:rPr>
        <w:rFonts w:ascii="Times New Roman" w:cs="Times New Roman" w:eastAsia="Times New Roman" w:hAnsi="Times New Roman" w:hint="default"/>
        <w:spacing w:val="5"/>
        <w:w w:val="100"/>
        <w:sz w:val="29"/>
        <w:szCs w:val="29"/>
        <w:lang w:val="zh-CN" w:bidi="zh-CN" w:eastAsia="zh-CN"/>
      </w:rPr>
    </w:lvl>
    <w:lvl w:ilvl="1">
      <w:start w:val="0"/>
      <w:numFmt w:val="bullet"/>
      <w:lvlText w:val="•"/>
      <w:lvlJc w:val="left"/>
      <w:pPr>
        <w:ind w:left="2040" w:hanging="480"/>
      </w:pPr>
      <w:rPr>
        <w:rFonts w:hint="default"/>
        <w:lang w:val="zh-CN" w:bidi="zh-CN" w:eastAsia="zh-CN"/>
      </w:rPr>
    </w:lvl>
    <w:lvl w:ilvl="2">
      <w:start w:val="0"/>
      <w:numFmt w:val="bullet"/>
      <w:lvlText w:val="•"/>
      <w:lvlJc w:val="left"/>
      <w:pPr>
        <w:ind w:left="2841" w:hanging="480"/>
      </w:pPr>
      <w:rPr>
        <w:rFonts w:hint="default"/>
        <w:lang w:val="zh-CN" w:bidi="zh-CN" w:eastAsia="zh-CN"/>
      </w:rPr>
    </w:lvl>
    <w:lvl w:ilvl="3">
      <w:start w:val="0"/>
      <w:numFmt w:val="bullet"/>
      <w:lvlText w:val="•"/>
      <w:lvlJc w:val="left"/>
      <w:pPr>
        <w:ind w:left="3641" w:hanging="480"/>
      </w:pPr>
      <w:rPr>
        <w:rFonts w:hint="default"/>
        <w:lang w:val="zh-CN" w:bidi="zh-CN" w:eastAsia="zh-CN"/>
      </w:rPr>
    </w:lvl>
    <w:lvl w:ilvl="4">
      <w:start w:val="0"/>
      <w:numFmt w:val="bullet"/>
      <w:lvlText w:val="•"/>
      <w:lvlJc w:val="left"/>
      <w:pPr>
        <w:ind w:left="4442" w:hanging="480"/>
      </w:pPr>
      <w:rPr>
        <w:rFonts w:hint="default"/>
        <w:lang w:val="zh-CN" w:bidi="zh-CN" w:eastAsia="zh-CN"/>
      </w:rPr>
    </w:lvl>
    <w:lvl w:ilvl="5">
      <w:start w:val="0"/>
      <w:numFmt w:val="bullet"/>
      <w:lvlText w:val="•"/>
      <w:lvlJc w:val="left"/>
      <w:pPr>
        <w:ind w:left="5243" w:hanging="480"/>
      </w:pPr>
      <w:rPr>
        <w:rFonts w:hint="default"/>
        <w:lang w:val="zh-CN" w:bidi="zh-CN" w:eastAsia="zh-CN"/>
      </w:rPr>
    </w:lvl>
    <w:lvl w:ilvl="6">
      <w:start w:val="0"/>
      <w:numFmt w:val="bullet"/>
      <w:lvlText w:val="•"/>
      <w:lvlJc w:val="left"/>
      <w:pPr>
        <w:ind w:left="6043" w:hanging="480"/>
      </w:pPr>
      <w:rPr>
        <w:rFonts w:hint="default"/>
        <w:lang w:val="zh-CN" w:bidi="zh-CN" w:eastAsia="zh-CN"/>
      </w:rPr>
    </w:lvl>
    <w:lvl w:ilvl="7">
      <w:start w:val="0"/>
      <w:numFmt w:val="bullet"/>
      <w:lvlText w:val="•"/>
      <w:lvlJc w:val="left"/>
      <w:pPr>
        <w:ind w:left="6844" w:hanging="480"/>
      </w:pPr>
      <w:rPr>
        <w:rFonts w:hint="default"/>
        <w:lang w:val="zh-CN" w:bidi="zh-CN" w:eastAsia="zh-CN"/>
      </w:rPr>
    </w:lvl>
    <w:lvl w:ilvl="8">
      <w:start w:val="0"/>
      <w:numFmt w:val="bullet"/>
      <w:lvlText w:val="•"/>
      <w:lvlJc w:val="left"/>
      <w:pPr>
        <w:ind w:left="7644" w:hanging="480"/>
      </w:pPr>
      <w:rPr>
        <w:rFonts w:hint="default"/>
        <w:lang w:val="zh-CN" w:bidi="zh-CN" w:eastAsia="zh-CN"/>
      </w:rPr>
    </w:lvl>
  </w:abstractNum>
  <w:abstractNum w:abstractNumId="10">
    <w:nsid w:val="0000000A"/>
    <w:multiLevelType w:val="multilevel"/>
    <w:tmpl w:val="5A241D34"/>
    <w:lvl w:ilvl="0">
      <w:start w:val="1"/>
      <w:numFmt w:val="decimal"/>
      <w:lvlText w:val="%1."/>
      <w:lvlJc w:val="left"/>
      <w:pPr>
        <w:ind w:left="126" w:hanging="485"/>
        <w:jc w:val="left"/>
      </w:pPr>
      <w:rPr>
        <w:rFonts w:ascii="Times New Roman" w:cs="Times New Roman" w:eastAsia="Times New Roman" w:hAnsi="Times New Roman" w:hint="default"/>
        <w:spacing w:val="8"/>
        <w:w w:val="100"/>
        <w:sz w:val="29"/>
        <w:szCs w:val="29"/>
        <w:lang w:val="zh-CN" w:bidi="zh-CN" w:eastAsia="zh-CN"/>
      </w:rPr>
    </w:lvl>
    <w:lvl w:ilvl="1">
      <w:start w:val="2"/>
      <w:numFmt w:val="decimal"/>
      <w:lvlText w:val="%2."/>
      <w:lvlJc w:val="left"/>
      <w:pPr>
        <w:ind w:left="2216" w:hanging="480"/>
        <w:jc w:val="left"/>
      </w:pPr>
      <w:rPr>
        <w:rFonts w:ascii="Times New Roman" w:cs="Times New Roman" w:eastAsia="Times New Roman" w:hAnsi="Times New Roman" w:hint="default"/>
        <w:spacing w:val="5"/>
        <w:w w:val="100"/>
        <w:sz w:val="29"/>
        <w:szCs w:val="29"/>
        <w:lang w:val="zh-CN" w:bidi="zh-CN" w:eastAsia="zh-CN"/>
      </w:rPr>
    </w:lvl>
    <w:lvl w:ilvl="2">
      <w:start w:val="0"/>
      <w:numFmt w:val="bullet"/>
      <w:lvlText w:val="•"/>
      <w:lvlJc w:val="left"/>
      <w:pPr>
        <w:ind w:left="3000" w:hanging="480"/>
      </w:pPr>
      <w:rPr>
        <w:rFonts w:hint="default"/>
        <w:lang w:val="zh-CN" w:bidi="zh-CN" w:eastAsia="zh-CN"/>
      </w:rPr>
    </w:lvl>
    <w:lvl w:ilvl="3">
      <w:start w:val="0"/>
      <w:numFmt w:val="bullet"/>
      <w:lvlText w:val="•"/>
      <w:lvlJc w:val="left"/>
      <w:pPr>
        <w:ind w:left="3781" w:hanging="480"/>
      </w:pPr>
      <w:rPr>
        <w:rFonts w:hint="default"/>
        <w:lang w:val="zh-CN" w:bidi="zh-CN" w:eastAsia="zh-CN"/>
      </w:rPr>
    </w:lvl>
    <w:lvl w:ilvl="4">
      <w:start w:val="0"/>
      <w:numFmt w:val="bullet"/>
      <w:lvlText w:val="•"/>
      <w:lvlJc w:val="left"/>
      <w:pPr>
        <w:ind w:left="4562" w:hanging="480"/>
      </w:pPr>
      <w:rPr>
        <w:rFonts w:hint="default"/>
        <w:lang w:val="zh-CN" w:bidi="zh-CN" w:eastAsia="zh-CN"/>
      </w:rPr>
    </w:lvl>
    <w:lvl w:ilvl="5">
      <w:start w:val="0"/>
      <w:numFmt w:val="bullet"/>
      <w:lvlText w:val="•"/>
      <w:lvlJc w:val="left"/>
      <w:pPr>
        <w:ind w:left="5342" w:hanging="480"/>
      </w:pPr>
      <w:rPr>
        <w:rFonts w:hint="default"/>
        <w:lang w:val="zh-CN" w:bidi="zh-CN" w:eastAsia="zh-CN"/>
      </w:rPr>
    </w:lvl>
    <w:lvl w:ilvl="6">
      <w:start w:val="0"/>
      <w:numFmt w:val="bullet"/>
      <w:lvlText w:val="•"/>
      <w:lvlJc w:val="left"/>
      <w:pPr>
        <w:ind w:left="6123" w:hanging="480"/>
      </w:pPr>
      <w:rPr>
        <w:rFonts w:hint="default"/>
        <w:lang w:val="zh-CN" w:bidi="zh-CN" w:eastAsia="zh-CN"/>
      </w:rPr>
    </w:lvl>
    <w:lvl w:ilvl="7">
      <w:start w:val="0"/>
      <w:numFmt w:val="bullet"/>
      <w:lvlText w:val="•"/>
      <w:lvlJc w:val="left"/>
      <w:pPr>
        <w:ind w:left="6904" w:hanging="480"/>
      </w:pPr>
      <w:rPr>
        <w:rFonts w:hint="default"/>
        <w:lang w:val="zh-CN" w:bidi="zh-CN" w:eastAsia="zh-CN"/>
      </w:rPr>
    </w:lvl>
    <w:lvl w:ilvl="8">
      <w:start w:val="0"/>
      <w:numFmt w:val="bullet"/>
      <w:lvlText w:val="•"/>
      <w:lvlJc w:val="left"/>
      <w:pPr>
        <w:ind w:left="7684" w:hanging="480"/>
      </w:pPr>
      <w:rPr>
        <w:rFonts w:hint="default"/>
        <w:lang w:val="zh-CN" w:bidi="zh-CN" w:eastAsia="zh-CN"/>
      </w:rPr>
    </w:lvl>
  </w:abstractNum>
  <w:abstractNum w:abstractNumId="11">
    <w:nsid w:val="0000000B"/>
    <w:multiLevelType w:val="multilevel"/>
    <w:tmpl w:val="72183CF9"/>
    <w:lvl w:ilvl="0">
      <w:start w:val="1"/>
      <w:numFmt w:val="decimal"/>
      <w:lvlText w:val="%1."/>
      <w:lvlJc w:val="left"/>
      <w:pPr>
        <w:ind w:left="126" w:hanging="243"/>
        <w:jc w:val="left"/>
      </w:pPr>
      <w:rPr>
        <w:rFonts w:ascii="Times New Roman" w:cs="Times New Roman" w:eastAsia="Times New Roman" w:hAnsi="Times New Roman" w:hint="default"/>
        <w:spacing w:val="4"/>
        <w:w w:val="100"/>
        <w:sz w:val="29"/>
        <w:szCs w:val="29"/>
        <w:lang w:val="zh-CN" w:bidi="zh-CN" w:eastAsia="zh-CN"/>
      </w:rPr>
    </w:lvl>
    <w:lvl w:ilvl="1">
      <w:start w:val="0"/>
      <w:numFmt w:val="bullet"/>
      <w:lvlText w:val="•"/>
      <w:lvlJc w:val="left"/>
      <w:pPr>
        <w:ind w:left="1032" w:hanging="243"/>
      </w:pPr>
      <w:rPr>
        <w:rFonts w:hint="default"/>
        <w:lang w:val="zh-CN" w:bidi="zh-CN" w:eastAsia="zh-CN"/>
      </w:rPr>
    </w:lvl>
    <w:lvl w:ilvl="2">
      <w:start w:val="0"/>
      <w:numFmt w:val="bullet"/>
      <w:lvlText w:val="•"/>
      <w:lvlJc w:val="left"/>
      <w:pPr>
        <w:ind w:left="1945" w:hanging="243"/>
      </w:pPr>
      <w:rPr>
        <w:rFonts w:hint="default"/>
        <w:lang w:val="zh-CN" w:bidi="zh-CN" w:eastAsia="zh-CN"/>
      </w:rPr>
    </w:lvl>
    <w:lvl w:ilvl="3">
      <w:start w:val="0"/>
      <w:numFmt w:val="bullet"/>
      <w:lvlText w:val="•"/>
      <w:lvlJc w:val="left"/>
      <w:pPr>
        <w:ind w:left="2857" w:hanging="243"/>
      </w:pPr>
      <w:rPr>
        <w:rFonts w:hint="default"/>
        <w:lang w:val="zh-CN" w:bidi="zh-CN" w:eastAsia="zh-CN"/>
      </w:rPr>
    </w:lvl>
    <w:lvl w:ilvl="4">
      <w:start w:val="0"/>
      <w:numFmt w:val="bullet"/>
      <w:lvlText w:val="•"/>
      <w:lvlJc w:val="left"/>
      <w:pPr>
        <w:ind w:left="3770" w:hanging="243"/>
      </w:pPr>
      <w:rPr>
        <w:rFonts w:hint="default"/>
        <w:lang w:val="zh-CN" w:bidi="zh-CN" w:eastAsia="zh-CN"/>
      </w:rPr>
    </w:lvl>
    <w:lvl w:ilvl="5">
      <w:start w:val="0"/>
      <w:numFmt w:val="bullet"/>
      <w:lvlText w:val="•"/>
      <w:lvlJc w:val="left"/>
      <w:pPr>
        <w:ind w:left="4683" w:hanging="243"/>
      </w:pPr>
      <w:rPr>
        <w:rFonts w:hint="default"/>
        <w:lang w:val="zh-CN" w:bidi="zh-CN" w:eastAsia="zh-CN"/>
      </w:rPr>
    </w:lvl>
    <w:lvl w:ilvl="6">
      <w:start w:val="0"/>
      <w:numFmt w:val="bullet"/>
      <w:lvlText w:val="•"/>
      <w:lvlJc w:val="left"/>
      <w:pPr>
        <w:ind w:left="5595" w:hanging="243"/>
      </w:pPr>
      <w:rPr>
        <w:rFonts w:hint="default"/>
        <w:lang w:val="zh-CN" w:bidi="zh-CN" w:eastAsia="zh-CN"/>
      </w:rPr>
    </w:lvl>
    <w:lvl w:ilvl="7">
      <w:start w:val="0"/>
      <w:numFmt w:val="bullet"/>
      <w:lvlText w:val="•"/>
      <w:lvlJc w:val="left"/>
      <w:pPr>
        <w:ind w:left="6508" w:hanging="243"/>
      </w:pPr>
      <w:rPr>
        <w:rFonts w:hint="default"/>
        <w:lang w:val="zh-CN" w:bidi="zh-CN" w:eastAsia="zh-CN"/>
      </w:rPr>
    </w:lvl>
    <w:lvl w:ilvl="8">
      <w:start w:val="0"/>
      <w:numFmt w:val="bullet"/>
      <w:lvlText w:val="•"/>
      <w:lvlJc w:val="left"/>
      <w:pPr>
        <w:ind w:left="7420" w:hanging="243"/>
      </w:pPr>
      <w:rPr>
        <w:rFonts w:hint="default"/>
        <w:lang w:val="zh-CN" w:bidi="zh-CN" w:eastAsia="zh-CN"/>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rPr>
    </w:rPrDefault>
    <w:pPrDefault>
      <w:pPr/>
    </w:pPrDefault>
  </w:docDefaults>
  <w:style w:type="paragraph" w:default="1" w:styleId="style0">
    <w:name w:val="Normal"/>
    <w:next w:val="style0"/>
    <w:qFormat/>
    <w:uiPriority w:val="1"/>
    <w:pPr>
      <w:widowControl w:val="false"/>
      <w:autoSpaceDE w:val="false"/>
      <w:autoSpaceDN w:val="false"/>
      <w:spacing w:before="0" w:after="0" w:lineRule="auto" w:line="240"/>
      <w:ind w:left="0" w:right="0"/>
      <w:jc w:val="left"/>
    </w:pPr>
    <w:rPr>
      <w:rFonts w:ascii="仿宋" w:cs="仿宋" w:eastAsia="仿宋" w:hAnsi="仿宋"/>
      <w:sz w:val="22"/>
      <w:szCs w:val="22"/>
      <w:lang w:val="zh-CN" w:bidi="zh-CN" w:eastAsia="zh-CN"/>
    </w:rPr>
  </w:style>
  <w:style w:type="paragraph" w:styleId="style1">
    <w:name w:val="heading 1"/>
    <w:basedOn w:val="style0"/>
    <w:next w:val="style0"/>
    <w:qFormat/>
    <w:uiPriority w:val="1"/>
    <w:pPr>
      <w:spacing w:before="41"/>
      <w:ind w:right="147"/>
      <w:jc w:val="center"/>
      <w:outlineLvl w:val="1"/>
    </w:pPr>
    <w:rPr>
      <w:rFonts w:ascii="宋体" w:cs="宋体" w:eastAsia="宋体" w:hAnsi="宋体"/>
      <w:sz w:val="44"/>
      <w:szCs w:val="44"/>
      <w:lang w:val="zh-CN" w:bidi="zh-CN" w:eastAsia="zh-CN"/>
    </w:rPr>
  </w:style>
  <w:style w:type="paragraph" w:styleId="style2">
    <w:name w:val="heading 2"/>
    <w:basedOn w:val="style0"/>
    <w:next w:val="style0"/>
    <w:qFormat/>
    <w:uiPriority w:val="1"/>
    <w:pPr>
      <w:outlineLvl w:val="2"/>
    </w:pPr>
    <w:rPr>
      <w:rFonts w:ascii="宋体" w:cs="宋体" w:eastAsia="宋体" w:hAnsi="宋体"/>
      <w:sz w:val="40"/>
      <w:szCs w:val="40"/>
      <w:lang w:val="zh-CN" w:bidi="zh-CN" w:eastAsia="zh-CN"/>
    </w:rPr>
  </w:style>
  <w:style w:type="paragraph" w:styleId="style3">
    <w:name w:val="heading 3"/>
    <w:basedOn w:val="style0"/>
    <w:next w:val="style0"/>
    <w:qFormat/>
    <w:uiPriority w:val="1"/>
    <w:pPr>
      <w:ind w:left="126" w:firstLine="640"/>
      <w:outlineLvl w:val="3"/>
    </w:pPr>
    <w:rPr>
      <w:rFonts w:ascii="仿宋_GB2312" w:cs="仿宋_GB2312" w:eastAsia="仿宋_GB2312" w:hAnsi="仿宋_GB2312"/>
      <w:sz w:val="32"/>
      <w:szCs w:val="32"/>
      <w:lang w:val="zh-CN" w:bidi="zh-CN" w:eastAsia="zh-CN"/>
    </w:rPr>
  </w:style>
  <w:style w:type="character" w:default="1" w:styleId="style65">
    <w:name w:val="Default Paragraph Font"/>
    <w:next w:val="style65"/>
    <w:qFormat/>
    <w:uiPriority w:val="1"/>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1"/>
    <w:pPr/>
    <w:rPr>
      <w:rFonts w:ascii="仿宋" w:cs="仿宋" w:eastAsia="仿宋" w:hAnsi="仿宋"/>
      <w:sz w:val="31"/>
      <w:szCs w:val="31"/>
      <w:lang w:val="zh-CN" w:bidi="zh-CN" w:eastAsia="zh-CN"/>
    </w:rPr>
  </w:style>
  <w:style w:type="table" w:customStyle="1" w:styleId="style4097">
    <w:name w:val="Table Normal"/>
    <w:next w:val="style4097"/>
    <w:qFormat/>
    <w:uiPriority w:val="2"/>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1"/>
    <w:pPr>
      <w:ind w:left="126" w:firstLine="643"/>
    </w:pPr>
    <w:rPr>
      <w:rFonts w:ascii="仿宋" w:cs="仿宋" w:eastAsia="仿宋" w:hAnsi="仿宋"/>
      <w:lang w:val="zh-CN" w:bidi="zh-CN" w:eastAsia="zh-CN"/>
    </w:rPr>
  </w:style>
  <w:style w:type="paragraph" w:customStyle="1" w:styleId="style4098">
    <w:name w:val="Table Paragraph"/>
    <w:basedOn w:val="style0"/>
    <w:next w:val="style4098"/>
    <w:qFormat/>
    <w:uiPriority w:val="1"/>
    <w:pPr/>
    <w:rPr>
      <w:rFonts w:ascii="仿宋" w:cs="仿宋" w:eastAsia="仿宋" w:hAnsi="仿宋"/>
      <w:lang w:val="zh-CN" w:bidi="zh-CN"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Words>8212</Words>
  <Pages>23</Pages>
  <Characters>8685</Characters>
  <Application>WPS Office</Application>
  <DocSecurity>0</DocSecurity>
  <Paragraphs>1241</Paragraphs>
  <ScaleCrop>false</ScaleCrop>
  <LinksUpToDate>false</LinksUpToDate>
  <CharactersWithSpaces>8859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2023-04-27T07:28:00Z</dcterms:created>
  <dc:creator>Administrator</dc:creator>
  <lastModifiedBy>TNA-TN00</lastModifiedBy>
  <dcterms:modified xsi:type="dcterms:W3CDTF">2023-06-14T03:46:31Z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WPS 文字</vt:lpwstr>
  </property>
  <property fmtid="{D5CDD505-2E9C-101B-9397-08002B2CF9AE}" pid="4" name="LastSaved">
    <vt:filetime>2023-04-27T00:00:00Z</vt:filetime>
  </property>
  <property fmtid="{D5CDD505-2E9C-101B-9397-08002B2CF9AE}" pid="5" name="KSOProductBuildVer">
    <vt:lpwstr>2052-11.1.0.14309</vt:lpwstr>
  </property>
  <property fmtid="{D5CDD505-2E9C-101B-9397-08002B2CF9AE}" pid="6" name="ICV">
    <vt:lpwstr>326de6582a7a4600ae934a484c918eac_23</vt:lpwstr>
  </property>
</Properties>
</file>